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rPr>
          <w:color w:themeColor="text1" w:themeShade="80" w:val="1E1E1E"/>
        </w:rPr>
      </w:pPr>
      <w:r>
        <w:rPr>
          <w:color w:themeColor="text1" w:themeShade="80" w:val="1E1E1E"/>
        </w:rPr>
        <w:t xml:space="preserve">               </w:t>
      </w:r>
    </w:p>
    <w:p>
      <w:pPr>
        <w:pStyle w:val="Normal"/>
        <w:widowControl w:val="false"/>
        <w:numPr>
          <w:ilvl w:val="0"/>
          <w:numId w:val="0"/>
        </w:numPr>
        <w:spacing w:before="120" w:after="0"/>
        <w:jc w:val="center"/>
        <w:outlineLvl w:val="0"/>
        <w:rPr>
          <w:rFonts w:cs="Times New Roman"/>
          <w:b/>
          <w:color w:themeColor="text1" w:themeShade="80" w:val="1E1E1E"/>
        </w:rPr>
      </w:pPr>
      <w:r>
        <w:rPr>
          <w:rFonts w:cs="Times New Roman"/>
          <w:b/>
          <w:color w:themeColor="text1" w:themeShade="80" w:val="1E1E1E"/>
        </w:rPr>
        <w:t>ТЕХНИЧЕСКОЕ ЗАДАНИЕ</w:t>
      </w:r>
    </w:p>
    <w:p>
      <w:pPr>
        <w:pStyle w:val="Normal"/>
        <w:rPr>
          <w:rFonts w:cs="Times New Roman"/>
          <w:b/>
          <w:color w:themeColor="text1" w:themeShade="80" w:val="1E1E1E"/>
        </w:rPr>
      </w:pPr>
      <w:r>
        <w:rPr>
          <w:rFonts w:cs="Times New Roman"/>
          <w:b/>
          <w:color w:themeColor="text1" w:themeShade="80" w:val="1E1E1E"/>
        </w:rPr>
        <w:t xml:space="preserve"> </w:t>
      </w:r>
      <w:r>
        <w:rPr>
          <w:rFonts w:cs="Times New Roman"/>
          <w:b/>
          <w:color w:themeColor="text1" w:themeShade="80" w:val="1E1E1E"/>
        </w:rPr>
        <w:t>на выполнение работ по разработке проектной и рабочей документации на оснащение инженерно-техническими системами (средствами) обеспечения транспортной безопасности объектов транспортной инфраструктуры 1 категории, расположенных на автомобильных дорогах общего пользования межмуниципального и регионального значения Магаданской области в Ольском Муниципальном округе.</w:t>
      </w:r>
    </w:p>
    <w:p>
      <w:pPr>
        <w:pStyle w:val="Normal"/>
        <w:rPr>
          <w:color w:themeColor="text1" w:themeShade="80" w:val="1E1E1E"/>
        </w:rPr>
      </w:pPr>
      <w:r>
        <w:rPr>
          <w:color w:themeColor="text1" w:themeShade="80" w:val="1E1E1E"/>
        </w:rPr>
      </w:r>
    </w:p>
    <w:tbl>
      <w:tblPr>
        <w:tblW w:w="5000" w:type="pct"/>
        <w:jc w:val="center"/>
        <w:tblInd w:w="0" w:type="dxa"/>
        <w:tblLayout w:type="fixed"/>
        <w:tblCellMar>
          <w:top w:w="0" w:type="dxa"/>
          <w:start w:w="108" w:type="dxa"/>
          <w:bottom w:w="0" w:type="dxa"/>
          <w:end w:w="108" w:type="dxa"/>
        </w:tblCellMar>
        <w:tblLook w:val="01e0" w:noHBand="0" w:noVBand="0" w:firstColumn="1" w:lastRow="1" w:lastColumn="1" w:firstRow="1"/>
      </w:tblPr>
      <w:tblGrid>
        <w:gridCol w:w="2589"/>
        <w:gridCol w:w="7616"/>
      </w:tblGrid>
      <w:tr>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rPr>
                <w:b/>
                <w:color w:themeColor="text1" w:themeShade="80" w:val="1E1E1E"/>
              </w:rPr>
            </w:pPr>
            <w:r>
              <w:rPr>
                <w:b/>
                <w:color w:themeColor="text1" w:themeShade="80" w:val="1E1E1E"/>
              </w:rPr>
              <w:t>1.Наименование выполняемых работ</w:t>
            </w:r>
          </w:p>
        </w:tc>
        <w:tc>
          <w:tcPr>
            <w:tcW w:w="7616" w:type="dxa"/>
            <w:tcBorders>
              <w:top w:val="single" w:sz="4" w:space="0" w:color="000000"/>
              <w:start w:val="single" w:sz="4" w:space="0" w:color="000000"/>
              <w:bottom w:val="single" w:sz="4" w:space="0" w:color="000000"/>
              <w:end w:val="single" w:sz="4" w:space="0" w:color="000000"/>
            </w:tcBorders>
          </w:tcPr>
          <w:p>
            <w:pPr>
              <w:pStyle w:val="Normal"/>
              <w:spacing w:before="120" w:after="120"/>
              <w:rPr>
                <w:bCs/>
                <w:color w:themeColor="text1" w:themeShade="80" w:val="1E1E1E"/>
              </w:rPr>
            </w:pPr>
            <w:r>
              <w:rPr>
                <w:rFonts w:cs="Times New Roman"/>
                <w:color w:themeColor="text1" w:themeShade="80" w:val="1E1E1E"/>
              </w:rPr>
              <w:t>выполнение работ по разработке проектной и рабочей документации на оснащение инженерно-техническими системами (средствами) обеспечения транспортной безопасности объектов транспортной инфраструктуры 1 категории, расположенных на автомобильных дорогах общего пользования межмуниципального и регионального значения Магаданской области</w:t>
            </w:r>
            <w:r>
              <w:rPr/>
              <w:t xml:space="preserve"> </w:t>
            </w:r>
            <w:r>
              <w:rPr>
                <w:rFonts w:cs="Times New Roman"/>
                <w:color w:themeColor="text1" w:themeShade="80" w:val="1E1E1E"/>
              </w:rPr>
              <w:t>в Ольском Муниципальном округе.</w:t>
            </w:r>
          </w:p>
        </w:tc>
      </w:tr>
      <w:tr>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rPr>
                <w:b/>
                <w:color w:themeColor="text1" w:themeShade="80" w:val="1E1E1E"/>
              </w:rPr>
            </w:pPr>
            <w:r>
              <w:rPr>
                <w:b/>
                <w:color w:themeColor="text1" w:themeShade="80" w:val="1E1E1E"/>
              </w:rPr>
              <w:t>2.Заказчик</w:t>
            </w:r>
          </w:p>
        </w:tc>
        <w:tc>
          <w:tcPr>
            <w:tcW w:w="7616" w:type="dxa"/>
            <w:tcBorders>
              <w:top w:val="single" w:sz="4" w:space="0" w:color="000000"/>
              <w:start w:val="single" w:sz="4" w:space="0" w:color="000000"/>
              <w:bottom w:val="single" w:sz="4" w:space="0" w:color="000000"/>
              <w:end w:val="single" w:sz="4" w:space="0" w:color="000000"/>
            </w:tcBorders>
          </w:tcPr>
          <w:p>
            <w:pPr>
              <w:pStyle w:val="Normal"/>
              <w:spacing w:before="120" w:after="120"/>
              <w:rPr>
                <w:bCs/>
                <w:color w:themeColor="text1" w:themeShade="80" w:val="1E1E1E"/>
              </w:rPr>
            </w:pPr>
            <w:hyperlink r:id="rId2">
              <w:r>
                <w:rPr>
                  <w:rStyle w:val="Hyperlink"/>
                  <w:bCs/>
                  <w:color w:themeColor="text1" w:themeShade="80" w:val="1E1E1E"/>
                </w:rPr>
                <w:t>П</w:t>
              </w:r>
            </w:hyperlink>
            <w:r>
              <w:rPr>
                <w:rStyle w:val="Hyperlink"/>
                <w:bCs/>
                <w:color w:themeColor="text1" w:themeShade="80" w:val="1E1E1E"/>
              </w:rPr>
              <w:t>АО «Ростелеком»</w:t>
            </w:r>
          </w:p>
        </w:tc>
      </w:tr>
      <w:tr>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0" w:after="0"/>
              <w:rPr>
                <w:b/>
                <w:color w:themeColor="text1" w:themeShade="80" w:val="1E1E1E"/>
              </w:rPr>
            </w:pPr>
            <w:r>
              <w:rPr>
                <w:b/>
                <w:color w:themeColor="text1" w:themeShade="80" w:val="1E1E1E"/>
              </w:rPr>
              <w:t>3.Основание для проектирования, перечень нормативных документов, которыми необходимо руководствоваться при выполнении работ*:</w:t>
            </w:r>
          </w:p>
          <w:p>
            <w:pPr>
              <w:pStyle w:val="Normal"/>
              <w:spacing w:before="120" w:after="120"/>
              <w:rPr>
                <w:b/>
                <w:color w:themeColor="text1" w:themeShade="80" w:val="1E1E1E"/>
                <w:sz w:val="18"/>
                <w:szCs w:val="18"/>
              </w:rPr>
            </w:pPr>
            <w:r>
              <w:rPr>
                <w:rFonts w:cs="Times New Roman"/>
                <w:iCs/>
                <w:color w:themeColor="text1" w:themeShade="80" w:val="1E1E1E"/>
                <w:sz w:val="18"/>
                <w:szCs w:val="18"/>
              </w:rPr>
              <w:t>* в случаях содержания ссылок на нормативно-технические документы, в которые были внесены изменения (актуализация документов), либо признания документов утратившими силу, принятия их новых редакций или новых документов, взамен утративших силу в порядке, установленном законодательством Российской Федерации, используются требования документов с учетом изменений, актуализированных редакций документов либо документов, принятых взамен утративших силу (при наличии).</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6"/>
              </w:numPr>
              <w:spacing w:before="120" w:after="120"/>
              <w:ind w:hanging="360" w:start="379"/>
              <w:contextualSpacing/>
              <w:rPr>
                <w:bCs/>
                <w:color w:themeColor="text1" w:themeShade="80" w:val="1E1E1E"/>
              </w:rPr>
            </w:pPr>
            <w:r>
              <w:rPr>
                <w:bCs/>
                <w:color w:themeColor="text1" w:themeShade="80" w:val="1E1E1E"/>
              </w:rPr>
              <w:t>Указ Президента Российской Федерации от 31 марта 2010 № 403 «О создании комплексной системы обеспечения безопасности населения на транспорте»;</w:t>
            </w:r>
          </w:p>
          <w:p>
            <w:pPr>
              <w:pStyle w:val="ListParagraph"/>
              <w:numPr>
                <w:ilvl w:val="0"/>
                <w:numId w:val="6"/>
              </w:numPr>
              <w:ind w:hanging="360" w:start="379"/>
              <w:rPr>
                <w:bCs/>
                <w:color w:themeColor="text1" w:themeShade="80" w:val="1E1E1E"/>
              </w:rPr>
            </w:pPr>
            <w:r>
              <w:rPr>
                <w:bCs/>
                <w:color w:themeColor="text1" w:themeShade="80" w:val="1E1E1E"/>
              </w:rPr>
              <w:t>Федеральный закон от 09.02.2007 № 16- ФЗ (ред. от 08.03.2026) «О транспортной безопасности»;</w:t>
            </w:r>
          </w:p>
          <w:p>
            <w:pPr>
              <w:pStyle w:val="ListParagraph"/>
              <w:numPr>
                <w:ilvl w:val="0"/>
                <w:numId w:val="6"/>
              </w:numPr>
              <w:ind w:hanging="360" w:start="379"/>
              <w:rPr>
                <w:bCs/>
                <w:color w:themeColor="text1" w:themeShade="80" w:val="1E1E1E"/>
              </w:rPr>
            </w:pPr>
            <w:r>
              <w:rPr>
                <w:bCs/>
                <w:color w:themeColor="text1" w:themeShade="80" w:val="1E1E1E"/>
              </w:rPr>
              <w:t>Федеральный закон от 06.03.2006 № 35-ФЗ (ред. от 25.05.2026) «О противодействии терроризму»;</w:t>
            </w:r>
          </w:p>
          <w:p>
            <w:pPr>
              <w:pStyle w:val="ListParagraph"/>
              <w:numPr>
                <w:ilvl w:val="0"/>
                <w:numId w:val="6"/>
              </w:numPr>
              <w:ind w:hanging="360" w:start="379"/>
              <w:rPr>
                <w:bCs/>
                <w:color w:themeColor="text1" w:themeShade="80" w:val="1E1E1E"/>
              </w:rPr>
            </w:pPr>
            <w:r>
              <w:rPr>
                <w:bCs/>
                <w:color w:themeColor="text1" w:themeShade="80" w:val="1E1E1E"/>
              </w:rPr>
              <w:t xml:space="preserve">Федеральный закон от 22.07.2008 N 123-ФЗ (ред. от 31.07.2025) "Технический регламент о требованиях пожарной безопасности"; </w:t>
            </w:r>
          </w:p>
          <w:p>
            <w:pPr>
              <w:pStyle w:val="ListParagraph"/>
              <w:numPr>
                <w:ilvl w:val="0"/>
                <w:numId w:val="6"/>
              </w:numPr>
              <w:ind w:hanging="360" w:start="379"/>
              <w:rPr>
                <w:bCs/>
                <w:color w:themeColor="text1" w:themeShade="80" w:val="1E1E1E"/>
              </w:rPr>
            </w:pPr>
            <w:r>
              <w:rPr>
                <w:bCs/>
                <w:color w:themeColor="text1" w:themeShade="80" w:val="1E1E1E"/>
              </w:rPr>
              <w:t>Федеральный закон от 27.12.2002 N 184-ФЗ (ред. от 02.05.2026) "О техническом регулировании";</w:t>
            </w:r>
          </w:p>
          <w:p>
            <w:pPr>
              <w:pStyle w:val="ListParagraph"/>
              <w:numPr>
                <w:ilvl w:val="0"/>
                <w:numId w:val="6"/>
              </w:numPr>
              <w:ind w:hanging="360" w:start="379"/>
              <w:rPr>
                <w:bCs/>
                <w:color w:themeColor="text1" w:themeShade="80" w:val="1E1E1E"/>
              </w:rPr>
            </w:pPr>
            <w:r>
              <w:rPr>
                <w:color w:themeColor="text1" w:themeShade="80" w:val="1E1E1E"/>
                <w:shd w:fill="FFFFFF" w:val="clear"/>
              </w:rPr>
              <w:t>Постановление Правительства РФ от 18 сентября 2023 г. N 1518 «Об утверждении перечня работ, непосредственно связанных с обеспечением транспортной безопасности, и признании утратившими силу некоторых актов Правительства Российской Федерации</w:t>
            </w:r>
            <w:r>
              <w:rPr>
                <w:rFonts w:ascii="PT Serif" w:hAnsi="PT Serif"/>
                <w:color w:themeColor="text1" w:themeShade="80" w:val="1E1E1E"/>
                <w:sz w:val="23"/>
                <w:szCs w:val="23"/>
                <w:shd w:fill="FFFFFF" w:val="clear"/>
              </w:rPr>
              <w:t>»</w:t>
            </w:r>
            <w:r>
              <w:rPr>
                <w:bCs/>
                <w:color w:themeColor="text1" w:themeShade="80" w:val="1E1E1E"/>
              </w:rPr>
              <w:t>;</w:t>
            </w:r>
          </w:p>
          <w:p>
            <w:pPr>
              <w:pStyle w:val="ListParagraph"/>
              <w:numPr>
                <w:ilvl w:val="0"/>
                <w:numId w:val="6"/>
              </w:numPr>
              <w:ind w:hanging="360" w:start="379"/>
              <w:rPr>
                <w:bCs/>
                <w:color w:themeColor="text1" w:themeShade="80" w:val="1E1E1E"/>
              </w:rPr>
            </w:pPr>
            <w:r>
              <w:rPr>
                <w:bCs/>
                <w:color w:themeColor="text1" w:themeShade="80" w:val="1E1E1E"/>
              </w:rPr>
              <w:t>Приказ Минтранса России от 02 июля 2021 г. № 225 «Об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p>
            <w:pPr>
              <w:pStyle w:val="ListParagraph"/>
              <w:numPr>
                <w:ilvl w:val="0"/>
                <w:numId w:val="6"/>
              </w:numPr>
              <w:ind w:hanging="360" w:start="379"/>
              <w:rPr>
                <w:bCs/>
                <w:color w:themeColor="text1" w:themeShade="80" w:val="1E1E1E"/>
              </w:rPr>
            </w:pPr>
            <w:r>
              <w:rPr>
                <w:bCs/>
                <w:color w:themeColor="text1" w:themeShade="80" w:val="1E1E1E"/>
              </w:rPr>
              <w:t>Приказ Минтранса России от 01 ноября 2021 г. № 370 «О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p>
            <w:pPr>
              <w:pStyle w:val="ListParagraph"/>
              <w:numPr>
                <w:ilvl w:val="0"/>
                <w:numId w:val="6"/>
              </w:numPr>
              <w:ind w:hanging="360" w:start="379"/>
              <w:rPr>
                <w:color w:themeColor="text1" w:themeShade="80" w:val="1E1E1E"/>
              </w:rPr>
            </w:pPr>
            <w:r>
              <w:rPr>
                <w:color w:themeColor="text1" w:themeShade="80" w:val="1E1E1E"/>
              </w:rPr>
              <w:t>Постановление Правительства РФ № 2051 от 14.11.2022 г. (с изм. от 15.09.2023г) «Об утверждении Правил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планах и паспортах обеспечения транспортной безопасности объектов транспортной инфраструктуры и (или) транспортных средств, которые являются информацией ограниченного доступа, и признании утратившими силу некоторых актов Правительства Российской Федерации»;</w:t>
            </w:r>
          </w:p>
          <w:p>
            <w:pPr>
              <w:pStyle w:val="ListParagraph"/>
              <w:numPr>
                <w:ilvl w:val="0"/>
                <w:numId w:val="6"/>
              </w:numPr>
              <w:ind w:hanging="360" w:start="379"/>
              <w:rPr>
                <w:color w:themeColor="text1" w:themeShade="80" w:val="1E1E1E"/>
              </w:rPr>
            </w:pPr>
            <w:r>
              <w:rPr>
                <w:color w:themeColor="text1" w:themeShade="80" w:val="1E1E1E"/>
              </w:rPr>
              <w:t>Постановление Правительства Российской Федерации от 14.11.2022 № 2049 «Об утверждении Правил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p>
            <w:pPr>
              <w:pStyle w:val="ListParagraph"/>
              <w:numPr>
                <w:ilvl w:val="0"/>
                <w:numId w:val="6"/>
              </w:numPr>
              <w:ind w:hanging="360" w:start="379"/>
              <w:rPr>
                <w:bCs/>
                <w:color w:themeColor="text1" w:themeShade="80" w:val="1E1E1E"/>
              </w:rPr>
            </w:pPr>
            <w:r>
              <w:rPr>
                <w:bCs/>
                <w:color w:themeColor="text1" w:themeShade="80" w:val="1E1E1E"/>
              </w:rPr>
              <w:t>Федеральный закон от 30.12.2009 № 384 – ФЗ «Технический регламент о безопасности зданий и сооружений» (ред. от 25.12.2023);</w:t>
            </w:r>
          </w:p>
          <w:p>
            <w:pPr>
              <w:pStyle w:val="ListParagraph"/>
              <w:numPr>
                <w:ilvl w:val="0"/>
                <w:numId w:val="6"/>
              </w:numPr>
              <w:ind w:hanging="360" w:start="379"/>
              <w:rPr>
                <w:bCs/>
                <w:color w:themeColor="text1" w:themeShade="80" w:val="1E1E1E"/>
              </w:rPr>
            </w:pPr>
            <w:r>
              <w:rPr>
                <w:bCs/>
                <w:color w:themeColor="text1" w:themeShade="80" w:val="1E1E1E"/>
              </w:rPr>
              <w:t>Постановление Правительства РФ от 31.12.2020 N 2418 (с изм. от 25.03.2026) "Об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w:t>
            </w:r>
          </w:p>
          <w:p>
            <w:pPr>
              <w:pStyle w:val="ListParagraph"/>
              <w:numPr>
                <w:ilvl w:val="0"/>
                <w:numId w:val="6"/>
              </w:numPr>
              <w:ind w:hanging="360" w:start="379"/>
              <w:rPr>
                <w:bCs/>
                <w:color w:themeColor="text1" w:themeShade="80" w:val="1E1E1E"/>
              </w:rPr>
            </w:pPr>
            <w:r>
              <w:rPr>
                <w:bCs/>
                <w:color w:themeColor="text1" w:themeShade="80" w:val="1E1E1E"/>
              </w:rPr>
              <w:t>Постановление Правительства Российской Федерации от 21 декабря 2020 года № 2201 (с изм. от 25.03.2026)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w:t>
            </w:r>
          </w:p>
          <w:p>
            <w:pPr>
              <w:pStyle w:val="ListParagraph"/>
              <w:numPr>
                <w:ilvl w:val="0"/>
                <w:numId w:val="6"/>
              </w:numPr>
              <w:ind w:hanging="360" w:start="379"/>
              <w:rPr>
                <w:bCs/>
                <w:color w:themeColor="text1" w:themeShade="80" w:val="1E1E1E"/>
              </w:rPr>
            </w:pPr>
            <w:r>
              <w:rPr>
                <w:bCs/>
                <w:color w:themeColor="text1" w:themeShade="80" w:val="1E1E1E"/>
              </w:rPr>
              <w:t>Постановление Правительства РФ от 16.02.2008 N 87 (ред. от 21.10.2025) "О составе разделов проектной документации и требованиях к их содержанию";</w:t>
            </w:r>
          </w:p>
          <w:p>
            <w:pPr>
              <w:pStyle w:val="ListParagraph"/>
              <w:numPr>
                <w:ilvl w:val="0"/>
                <w:numId w:val="6"/>
              </w:numPr>
              <w:ind w:hanging="360" w:start="379"/>
              <w:rPr>
                <w:bCs/>
                <w:color w:themeColor="text1" w:themeShade="80" w:val="1E1E1E"/>
              </w:rPr>
            </w:pPr>
            <w:r>
              <w:rPr>
                <w:bCs/>
                <w:color w:themeColor="text1" w:themeShade="80" w:val="1E1E1E"/>
              </w:rPr>
              <w:t xml:space="preserve">Постановление Правительства Российской Федерации от 26 сентября 2016 года № 969 (с изм. от 30.08.2025)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w:t>
            </w:r>
            <w:r>
              <w:rPr>
                <w:color w:themeColor="text1" w:themeShade="80" w:val="1E1E1E"/>
              </w:rPr>
              <w:t>или документа его заменяющего</w:t>
            </w:r>
            <w:r>
              <w:rPr>
                <w:bCs/>
                <w:color w:themeColor="text1" w:themeShade="80" w:val="1E1E1E"/>
              </w:rPr>
              <w:t>;</w:t>
            </w:r>
          </w:p>
          <w:p>
            <w:pPr>
              <w:pStyle w:val="ListParagraph"/>
              <w:numPr>
                <w:ilvl w:val="0"/>
                <w:numId w:val="6"/>
              </w:numPr>
              <w:ind w:hanging="360" w:start="379"/>
              <w:rPr>
                <w:bCs/>
                <w:color w:themeColor="text1" w:themeShade="80" w:val="1E1E1E"/>
              </w:rPr>
            </w:pPr>
            <w:r>
              <w:rPr>
                <w:rStyle w:val="Emphasis"/>
                <w:i w:val="false"/>
                <w:iCs w:val="false"/>
                <w:color w:themeColor="text1" w:themeShade="80" w:val="1E1E1E"/>
                <w:shd w:fill="FFFFFF" w:val="clear"/>
              </w:rPr>
              <w:t>Федеральный</w:t>
            </w:r>
            <w:r>
              <w:rPr>
                <w:color w:themeColor="text1" w:themeShade="80" w:val="1E1E1E"/>
                <w:shd w:fill="FFFFFF" w:val="clear"/>
              </w:rPr>
              <w:t> </w:t>
            </w:r>
            <w:r>
              <w:rPr>
                <w:rStyle w:val="Emphasis"/>
                <w:i w:val="false"/>
                <w:iCs w:val="false"/>
                <w:color w:themeColor="text1" w:themeShade="80" w:val="1E1E1E"/>
                <w:shd w:fill="FFFFFF" w:val="clear"/>
              </w:rPr>
              <w:t>закон</w:t>
            </w:r>
            <w:r>
              <w:rPr>
                <w:color w:themeColor="text1" w:themeShade="80" w:val="1E1E1E"/>
                <w:shd w:fill="FFFFFF" w:val="clear"/>
              </w:rPr>
              <w:t> от 30 декабря 2009 г. N 384-ФЗ</w:t>
            </w:r>
            <w:r>
              <w:rPr>
                <w:color w:themeColor="text1" w:themeShade="80" w:val="1E1E1E"/>
              </w:rPr>
              <w:br/>
            </w:r>
            <w:r>
              <w:rPr>
                <w:color w:themeColor="text1" w:themeShade="80" w:val="1E1E1E"/>
                <w:shd w:fill="FFFFFF" w:val="clear"/>
              </w:rPr>
              <w:t>"</w:t>
            </w:r>
            <w:r>
              <w:rPr>
                <w:rStyle w:val="Emphasis"/>
                <w:i w:val="false"/>
                <w:iCs w:val="false"/>
                <w:color w:themeColor="text1" w:themeShade="80" w:val="1E1E1E"/>
                <w:shd w:fill="FFFFFF" w:val="clear"/>
              </w:rPr>
              <w:t>Технический</w:t>
            </w:r>
            <w:r>
              <w:rPr>
                <w:color w:themeColor="text1" w:themeShade="80" w:val="1E1E1E"/>
                <w:shd w:fill="FFFFFF" w:val="clear"/>
              </w:rPr>
              <w:t> </w:t>
            </w:r>
            <w:r>
              <w:rPr>
                <w:rStyle w:val="Emphasis"/>
                <w:i w:val="false"/>
                <w:iCs w:val="false"/>
                <w:color w:themeColor="text1" w:themeShade="80" w:val="1E1E1E"/>
                <w:shd w:fill="FFFFFF" w:val="clear"/>
              </w:rPr>
              <w:t>регламент</w:t>
            </w:r>
            <w:r>
              <w:rPr>
                <w:color w:themeColor="text1" w:themeShade="80" w:val="1E1E1E"/>
                <w:shd w:fill="FFFFFF" w:val="clear"/>
              </w:rPr>
              <w:t> о </w:t>
            </w:r>
            <w:r>
              <w:rPr>
                <w:rStyle w:val="Emphasis"/>
                <w:i w:val="false"/>
                <w:iCs w:val="false"/>
                <w:color w:themeColor="text1" w:themeShade="80" w:val="1E1E1E"/>
                <w:shd w:fill="FFFFFF" w:val="clear"/>
              </w:rPr>
              <w:t>безопасности</w:t>
            </w:r>
            <w:r>
              <w:rPr>
                <w:color w:themeColor="text1" w:themeShade="80" w:val="1E1E1E"/>
                <w:shd w:fill="FFFFFF" w:val="clear"/>
              </w:rPr>
              <w:t> </w:t>
            </w:r>
            <w:r>
              <w:rPr>
                <w:rStyle w:val="Emphasis"/>
                <w:i w:val="false"/>
                <w:iCs w:val="false"/>
                <w:color w:themeColor="text1" w:themeShade="80" w:val="1E1E1E"/>
                <w:shd w:fill="FFFFFF" w:val="clear"/>
              </w:rPr>
              <w:t>зданий</w:t>
            </w:r>
            <w:r>
              <w:rPr>
                <w:color w:themeColor="text1" w:themeShade="80" w:val="1E1E1E"/>
                <w:shd w:fill="FFFFFF" w:val="clear"/>
              </w:rPr>
              <w:t> и </w:t>
            </w:r>
            <w:r>
              <w:rPr>
                <w:rStyle w:val="Emphasis"/>
                <w:i w:val="false"/>
                <w:iCs w:val="false"/>
                <w:color w:themeColor="text1" w:themeShade="80" w:val="1E1E1E"/>
                <w:shd w:fill="FFFFFF" w:val="clear"/>
              </w:rPr>
              <w:t>сооружений</w:t>
            </w:r>
            <w:r>
              <w:rPr>
                <w:color w:themeColor="text1" w:themeShade="80" w:val="1E1E1E"/>
                <w:shd w:fill="FFFFFF" w:val="clear"/>
              </w:rPr>
              <w:t>" (ред. от 25.12.2023);</w:t>
            </w:r>
          </w:p>
          <w:p>
            <w:pPr>
              <w:pStyle w:val="ListParagraph"/>
              <w:numPr>
                <w:ilvl w:val="0"/>
                <w:numId w:val="6"/>
              </w:numPr>
              <w:ind w:hanging="360" w:start="379"/>
              <w:rPr>
                <w:bCs/>
                <w:color w:themeColor="text1" w:themeShade="80" w:val="1E1E1E"/>
              </w:rPr>
            </w:pPr>
            <w:r>
              <w:rPr>
                <w:color w:themeColor="text1" w:themeShade="80" w:val="1E1E1E"/>
                <w:shd w:fill="FFFFFF" w:val="clear"/>
              </w:rPr>
              <w:t>Приказ Федерального агентства по техническому регулированию и метрологии от 2 апреля 2020 г. N 687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 N 384-ФЗ "Технический регламент о безопасности зданий и сооружений" (ред. 05.09.2024);</w:t>
            </w:r>
          </w:p>
          <w:p>
            <w:pPr>
              <w:pStyle w:val="ListParagraph"/>
              <w:numPr>
                <w:ilvl w:val="0"/>
                <w:numId w:val="6"/>
              </w:numPr>
              <w:ind w:hanging="360" w:start="379"/>
              <w:rPr>
                <w:bCs/>
                <w:color w:themeColor="text1" w:themeShade="80" w:val="1E1E1E"/>
              </w:rPr>
            </w:pPr>
            <w:r>
              <w:rPr>
                <w:bCs/>
                <w:color w:themeColor="text1" w:themeShade="80" w:val="1E1E1E"/>
              </w:rPr>
              <w:t>Федеральный Закон Российской Федерации № 152-ФЗ от 27.07.2006 года «О персональных данных» (ред. 07.07.2025);</w:t>
            </w:r>
          </w:p>
          <w:p>
            <w:pPr>
              <w:pStyle w:val="ListParagraph"/>
              <w:numPr>
                <w:ilvl w:val="0"/>
                <w:numId w:val="6"/>
              </w:numPr>
              <w:ind w:hanging="360" w:start="379"/>
              <w:rPr>
                <w:bCs/>
                <w:color w:themeColor="text1" w:themeShade="80" w:val="1E1E1E"/>
              </w:rPr>
            </w:pPr>
            <w:r>
              <w:rPr>
                <w:color w:themeColor="text1" w:themeShade="80" w:val="1E1E1E"/>
                <w:shd w:fill="FFFFFF" w:val="clear"/>
              </w:rPr>
              <w:t>Постановление Правительства РФ от 16 ноября 2015 г. N 1236 "Об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(ред. от 09.12.2025);</w:t>
            </w:r>
          </w:p>
          <w:p>
            <w:pPr>
              <w:pStyle w:val="ListParagraph"/>
              <w:numPr>
                <w:ilvl w:val="0"/>
                <w:numId w:val="6"/>
              </w:numPr>
              <w:ind w:hanging="360" w:start="379"/>
              <w:rPr>
                <w:bCs/>
                <w:color w:themeColor="text1" w:themeShade="80" w:val="1E1E1E"/>
              </w:rPr>
            </w:pPr>
            <w:r>
              <w:rPr>
                <w:bCs/>
                <w:color w:themeColor="text1" w:themeShade="80" w:val="1E1E1E"/>
              </w:rPr>
              <w:t>Указ Президента Российской Федерации от 30.03.2022 № 166 "О мерах по обеспечению технологической независимости и безопасности критической информационной инфраструктуры Российской Федерации" (ред. 07.04.2025);</w:t>
            </w:r>
          </w:p>
          <w:p>
            <w:pPr>
              <w:pStyle w:val="ListParagraph"/>
              <w:numPr>
                <w:ilvl w:val="0"/>
                <w:numId w:val="6"/>
              </w:numPr>
              <w:ind w:hanging="357" w:start="374"/>
              <w:rPr>
                <w:bCs/>
                <w:color w:themeColor="text1" w:themeShade="80" w:val="1E1E1E"/>
              </w:rPr>
            </w:pPr>
            <w:r>
              <w:rPr>
                <w:color w:themeColor="text1" w:themeShade="80" w:val="1E1E1E"/>
                <w:shd w:fill="FFFFFF" w:val="clear"/>
              </w:rPr>
              <w:t>ГОСТ Р 56103-2014 "Защита информации. Автоматизированные системы в защищенном исполнении. Организация и содержание работ по защите от преднамеренных силовых электромагнитных воздействий. Общие положения" (утв. приказом Федерального агентства по техническому регулированию и метрологии от 10 сентября 2014 г. N 1046-ст</w:t>
            </w:r>
            <w:r>
              <w:rPr>
                <w:bCs/>
                <w:color w:themeColor="text1" w:themeShade="80" w:val="1E1E1E"/>
              </w:rPr>
              <w:t>;</w:t>
            </w:r>
          </w:p>
          <w:p>
            <w:pPr>
              <w:pStyle w:val="ListParagraph"/>
              <w:numPr>
                <w:ilvl w:val="0"/>
                <w:numId w:val="6"/>
              </w:numPr>
              <w:ind w:hanging="357" w:start="374"/>
              <w:rPr>
                <w:bCs/>
                <w:color w:themeColor="text1" w:themeShade="80" w:val="1E1E1E"/>
              </w:rPr>
            </w:pPr>
            <w:r>
              <w:rPr>
                <w:bCs/>
                <w:color w:themeColor="text1" w:themeShade="80" w:val="1E1E1E"/>
              </w:rPr>
              <w:t>ГОСТ Р 51624-2000 «Защита информации. Автоматизированные системы в защищенном исполнении», принят и введен в действие Постановлением Госстандарта России от 30 июня 2000 года № 175-ст;</w:t>
            </w:r>
          </w:p>
          <w:p>
            <w:pPr>
              <w:pStyle w:val="ListParagraph"/>
              <w:numPr>
                <w:ilvl w:val="0"/>
                <w:numId w:val="6"/>
              </w:numPr>
              <w:ind w:hanging="357" w:start="374"/>
              <w:rPr>
                <w:color w:themeColor="text1" w:themeShade="80" w:val="1E1E1E"/>
                <w:shd w:fill="FFFFFF" w:val="clear"/>
              </w:rPr>
            </w:pPr>
            <w:r>
              <w:rPr>
                <w:bCs/>
                <w:color w:themeColor="text1" w:themeShade="80" w:val="1E1E1E"/>
              </w:rPr>
              <w:t xml:space="preserve">«Специальные требования и рекомендации по технической защите конфиденциальной информации (СТР-К)», </w:t>
            </w:r>
            <w:r>
              <w:rPr>
                <w:color w:themeColor="text1" w:themeShade="80" w:val="1E1E1E"/>
                <w:shd w:fill="FFFFFF" w:val="clear"/>
              </w:rPr>
              <w:t>утвержденные приказом Гостехкомиссии России от 30.08.2002 N 282;</w:t>
            </w:r>
          </w:p>
          <w:p>
            <w:pPr>
              <w:pStyle w:val="ListParagraph"/>
              <w:numPr>
                <w:ilvl w:val="0"/>
                <w:numId w:val="6"/>
              </w:numPr>
              <w:ind w:hanging="360" w:start="381"/>
              <w:rPr>
                <w:bCs/>
                <w:color w:themeColor="text1" w:themeShade="80" w:val="1E1E1E"/>
              </w:rPr>
            </w:pPr>
            <w:r>
              <w:rPr>
                <w:color w:themeColor="text1" w:themeShade="80" w:val="1E1E1E"/>
                <w:shd w:fill="FFFFFF" w:val="clear"/>
              </w:rPr>
              <w:t>Приказ Федеральной службы по техническому и экспортному</w:t>
            </w:r>
            <w:r>
              <w:rPr>
                <w:bCs/>
                <w:color w:themeColor="text1" w:themeShade="80" w:val="1E1E1E"/>
              </w:rPr>
              <w:t xml:space="preserve"> контролю от 11 апреля 2025 г.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pPr>
              <w:pStyle w:val="ListParagraph"/>
              <w:numPr>
                <w:ilvl w:val="0"/>
                <w:numId w:val="6"/>
              </w:numPr>
              <w:ind w:hanging="357" w:start="374"/>
              <w:rPr>
                <w:bCs/>
                <w:color w:themeColor="text1" w:themeShade="80" w:val="1E1E1E"/>
              </w:rPr>
            </w:pPr>
            <w:r>
              <w:rPr>
                <w:bCs/>
                <w:color w:themeColor="text1" w:themeShade="80" w:val="1E1E1E"/>
              </w:rPr>
              <w:t>Федеральный Закон от 27.07.2006 № 149-ФЗ (ред. от 29.12.2025) «Об информации, информационных технологиях и о защите информации»;</w:t>
            </w:r>
          </w:p>
          <w:p>
            <w:pPr>
              <w:pStyle w:val="ListParagraph"/>
              <w:numPr>
                <w:ilvl w:val="0"/>
                <w:numId w:val="6"/>
              </w:numPr>
              <w:ind w:hanging="357" w:start="374"/>
              <w:rPr>
                <w:bCs/>
                <w:color w:themeColor="text1" w:themeShade="80" w:val="1E1E1E"/>
              </w:rPr>
            </w:pPr>
            <w:r>
              <w:rPr>
                <w:bCs/>
                <w:color w:themeColor="text1" w:themeShade="80" w:val="1E1E1E"/>
              </w:rPr>
              <w:t>Приказ Министерства транспорта Российской Федерации от 24.11.2008 № 192 Об утверждении порядка организации охраны объектов ведомственной охраной Министерства транспорта Российской Федерации</w:t>
            </w:r>
            <w:r>
              <w:rPr>
                <w:color w:themeColor="text1" w:themeShade="80" w:val="1E1E1E"/>
              </w:rPr>
              <w:t xml:space="preserve"> </w:t>
            </w:r>
            <w:r>
              <w:rPr>
                <w:bCs/>
                <w:color w:themeColor="text1" w:themeShade="80" w:val="1E1E1E"/>
              </w:rPr>
              <w:t>(с изменениями от 07.08.2019);</w:t>
            </w:r>
          </w:p>
          <w:p>
            <w:pPr>
              <w:pStyle w:val="ListParagraph"/>
              <w:numPr>
                <w:ilvl w:val="0"/>
                <w:numId w:val="6"/>
              </w:numPr>
              <w:ind w:hanging="360" w:start="379"/>
              <w:rPr>
                <w:bCs/>
                <w:color w:themeColor="text1" w:themeShade="80" w:val="1E1E1E"/>
              </w:rPr>
            </w:pPr>
            <w:r>
              <w:rPr>
                <w:color w:themeColor="text1" w:themeShade="80" w:val="1E1E1E"/>
              </w:rPr>
              <w:t>Перечень типовых отраслевых объектов критической информационной инфраструктуры, функционирующих в сфере транспорта (утвержденный Министерством транспорта РФ 26.04.2024 г.);</w:t>
            </w:r>
          </w:p>
          <w:p>
            <w:pPr>
              <w:pStyle w:val="ListParagraph"/>
              <w:numPr>
                <w:ilvl w:val="0"/>
                <w:numId w:val="6"/>
              </w:numPr>
              <w:ind w:hanging="360" w:start="379"/>
              <w:rPr>
                <w:bCs/>
                <w:color w:themeColor="text1" w:themeShade="80" w:val="1E1E1E"/>
              </w:rPr>
            </w:pPr>
            <w:r>
              <w:rPr>
                <w:color w:themeColor="text1" w:themeShade="80" w:val="1E1E1E"/>
              </w:rPr>
              <w:t>Федеральный закон от 26 июля 2017 г. N 187-ФЗ "О безопасности критической информационной инфраструктуры Российской Федерации" (с изм. от 07.04.2025 г);</w:t>
            </w:r>
          </w:p>
          <w:p>
            <w:pPr>
              <w:pStyle w:val="ListParagraph"/>
              <w:numPr>
                <w:ilvl w:val="0"/>
                <w:numId w:val="6"/>
              </w:numPr>
              <w:ind w:hanging="360" w:start="379"/>
              <w:rPr>
                <w:bCs/>
                <w:color w:themeColor="text1" w:themeShade="80" w:val="1E1E1E"/>
              </w:rPr>
            </w:pPr>
            <w:r>
              <w:rPr>
                <w:color w:themeColor="text1" w:themeShade="80" w:val="1E1E1E"/>
              </w:rPr>
              <w:t>Постановление Правительства РФ от 8 февраля 2018 г. N 127 "Об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 (с изм. от 07.11.2025 г);</w:t>
            </w:r>
          </w:p>
          <w:p>
            <w:pPr>
              <w:pStyle w:val="ListParagraph"/>
              <w:numPr>
                <w:ilvl w:val="0"/>
                <w:numId w:val="6"/>
              </w:numPr>
              <w:ind w:hanging="360" w:start="379"/>
              <w:rPr>
                <w:color w:themeColor="text1" w:themeShade="80" w:val="1E1E1E"/>
              </w:rPr>
            </w:pPr>
            <w:r>
              <w:rPr>
                <w:color w:themeColor="text1" w:themeShade="80" w:val="1E1E1E"/>
              </w:rPr>
              <w:t>Распоряжение Правительства Российской Федерации от 26 февраля 2026 г. № 360-р (с изм. от 27.05.2026);</w:t>
            </w:r>
          </w:p>
          <w:p>
            <w:pPr>
              <w:pStyle w:val="ListParagraph"/>
              <w:numPr>
                <w:ilvl w:val="0"/>
                <w:numId w:val="6"/>
              </w:numPr>
              <w:ind w:hanging="360" w:start="381"/>
              <w:rPr>
                <w:bCs/>
                <w:color w:themeColor="text1" w:themeShade="80" w:val="1E1E1E"/>
              </w:rPr>
            </w:pPr>
            <w:r>
              <w:rPr>
                <w:bCs/>
                <w:color w:themeColor="text1" w:themeShade="80" w:val="1E1E1E"/>
              </w:rPr>
              <w:t>Постановление Правительства РФ от 3 июня 2020 г. N 814 "Об определении объектов транспортной инфраструктуры, вокруг которых устанавливаются зоны безопасности" (с изм. от 30.04.2025 г.);</w:t>
            </w:r>
          </w:p>
          <w:p>
            <w:pPr>
              <w:pStyle w:val="ListParagraph"/>
              <w:numPr>
                <w:ilvl w:val="0"/>
                <w:numId w:val="6"/>
              </w:numPr>
              <w:ind w:hanging="360" w:start="381"/>
              <w:rPr>
                <w:bCs/>
                <w:color w:themeColor="text1" w:themeShade="80" w:val="1E1E1E"/>
              </w:rPr>
            </w:pPr>
            <w:r>
              <w:rPr>
                <w:bCs/>
                <w:color w:themeColor="text1" w:themeShade="80" w:val="1E1E1E"/>
              </w:rPr>
              <w:t>Постановление Правительства Российской Федерации от 30 апреля 2025 г. N 588 "Об особенностях защиты от актов незаконного вмешательства с использованием беспилотных аппаратов объектов транспортной инфраструктуры и (или) групп объектов транспортной инфраструктуры, вокруг которых устанавливаются зоны безопасности";</w:t>
            </w:r>
          </w:p>
          <w:p>
            <w:pPr>
              <w:pStyle w:val="ListParagraph"/>
              <w:numPr>
                <w:ilvl w:val="0"/>
                <w:numId w:val="6"/>
              </w:numPr>
              <w:ind w:hanging="360" w:start="379"/>
              <w:rPr>
                <w:bCs/>
                <w:color w:themeColor="text1" w:themeShade="80" w:val="1E1E1E"/>
              </w:rPr>
            </w:pPr>
            <w:r>
              <w:rPr>
                <w:bCs/>
                <w:color w:themeColor="text1" w:themeShade="80" w:val="1E1E1E"/>
              </w:rPr>
              <w:t>Утвержденный результат оценки уязвимости объектов транспортной инфраструктуры;</w:t>
            </w:r>
          </w:p>
          <w:p>
            <w:pPr>
              <w:pStyle w:val="ListParagraph"/>
              <w:numPr>
                <w:ilvl w:val="0"/>
                <w:numId w:val="6"/>
              </w:numPr>
              <w:spacing w:before="120" w:after="120"/>
              <w:ind w:hanging="360" w:start="379"/>
              <w:contextualSpacing/>
              <w:rPr>
                <w:bCs/>
                <w:color w:themeColor="text1" w:themeShade="80" w:val="1E1E1E"/>
              </w:rPr>
            </w:pPr>
            <w:r>
              <w:rPr>
                <w:bCs/>
                <w:color w:themeColor="text1" w:themeShade="80" w:val="1E1E1E"/>
              </w:rPr>
              <w:t>Утвержденный план обеспечения транспортной безопасности объектов транспортной инфраструктуры.</w:t>
            </w:r>
          </w:p>
        </w:tc>
      </w:tr>
      <w:tr>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rPr>
                <w:b/>
                <w:color w:themeColor="text1" w:themeShade="80" w:val="1E1E1E"/>
              </w:rPr>
            </w:pPr>
            <w:r>
              <w:rPr>
                <w:b/>
                <w:color w:themeColor="text1" w:themeShade="80" w:val="1E1E1E"/>
              </w:rPr>
              <w:t>4.Цели и задачи разработки проекта:</w:t>
            </w:r>
          </w:p>
        </w:tc>
        <w:tc>
          <w:tcPr>
            <w:tcW w:w="7616" w:type="dxa"/>
            <w:tcBorders>
              <w:top w:val="single" w:sz="4" w:space="0" w:color="000000"/>
              <w:start w:val="single" w:sz="4" w:space="0" w:color="000000"/>
              <w:bottom w:val="single" w:sz="4" w:space="0" w:color="000000"/>
              <w:end w:val="single" w:sz="4" w:space="0" w:color="000000"/>
            </w:tcBorders>
          </w:tcPr>
          <w:p>
            <w:pPr>
              <w:pStyle w:val="Normal"/>
              <w:spacing w:before="120" w:after="120"/>
              <w:rPr>
                <w:bCs/>
                <w:color w:themeColor="text1" w:themeShade="80" w:val="1E1E1E"/>
              </w:rPr>
            </w:pPr>
            <w:r>
              <w:rPr>
                <w:rFonts w:eastAsia="Times New Roman" w:cs="Times New Roman"/>
                <w:color w:themeColor="text1" w:themeShade="80" w:val="1E1E1E"/>
                <w:lang w:bidi="ru-RU"/>
              </w:rPr>
              <w:t>Разработка технических решений на оснащение объектов транспортной инфраструктуры (далее – ОТИ) инженерно-техническими системами (средствами) обеспечения транспортной безопасности, обеспечивающими требования к антитеррористической защищенности объектов транспортной инфраструктуры с учетом уровней безопасности, в целях приведения в соответствие с требованиями Постановления Правительства Российской Федерации от 21.12.2020 № 2201</w:t>
            </w:r>
            <w:r>
              <w:rPr>
                <w:rFonts w:eastAsia="Times New Roman" w:cs="Times New Roman"/>
                <w:color w:themeColor="text1" w:themeShade="80" w:val="1E1E1E"/>
              </w:rPr>
              <w:t>, и Постановления Правительства Российской Федерации от 26.09.2016 № 969 и другими действующими в 2026 году нормами и правилами</w:t>
            </w:r>
          </w:p>
        </w:tc>
      </w:tr>
      <w:tr>
        <w:trPr>
          <w:trHeight w:val="90"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rPr>
                <w:b/>
                <w:color w:themeColor="text1" w:themeShade="80" w:val="1E1E1E"/>
              </w:rPr>
            </w:pPr>
            <w:r>
              <w:rPr>
                <w:b/>
                <w:color w:themeColor="text1" w:themeShade="80" w:val="1E1E1E"/>
              </w:rPr>
              <w:t>5.Исполнитель:</w:t>
            </w:r>
          </w:p>
        </w:tc>
        <w:tc>
          <w:tcPr>
            <w:tcW w:w="7616" w:type="dxa"/>
            <w:tcBorders>
              <w:top w:val="single" w:sz="4" w:space="0" w:color="000000"/>
              <w:start w:val="single" w:sz="4" w:space="0" w:color="000000"/>
              <w:bottom w:val="single" w:sz="4" w:space="0" w:color="000000"/>
              <w:end w:val="single" w:sz="4" w:space="0" w:color="000000"/>
            </w:tcBorders>
          </w:tcPr>
          <w:p>
            <w:pPr>
              <w:pStyle w:val="Normal"/>
              <w:spacing w:before="120" w:after="120"/>
              <w:rPr>
                <w:bCs/>
                <w:color w:themeColor="text1" w:themeShade="80" w:val="1E1E1E"/>
              </w:rPr>
            </w:pPr>
            <w:r>
              <w:rPr>
                <w:color w:themeColor="text1" w:themeShade="80" w:val="1E1E1E"/>
              </w:rPr>
              <w:t>По результатам торгов</w:t>
            </w:r>
          </w:p>
        </w:tc>
      </w:tr>
      <w:tr>
        <w:trPr>
          <w:trHeight w:val="80"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color w:themeColor="text1" w:themeShade="80" w:val="1E1E1E"/>
              </w:rPr>
            </w:pPr>
            <w:r>
              <w:rPr>
                <w:b/>
                <w:color w:themeColor="text1" w:themeShade="80" w:val="1E1E1E"/>
              </w:rPr>
              <w:t>6.Источник финансирования:</w:t>
            </w:r>
          </w:p>
        </w:tc>
        <w:tc>
          <w:tcPr>
            <w:tcW w:w="7616" w:type="dxa"/>
            <w:tcBorders>
              <w:top w:val="single" w:sz="4" w:space="0" w:color="000000"/>
              <w:start w:val="single" w:sz="4" w:space="0" w:color="000000"/>
              <w:bottom w:val="single" w:sz="4" w:space="0" w:color="000000"/>
              <w:end w:val="single" w:sz="4" w:space="0" w:color="000000"/>
            </w:tcBorders>
          </w:tcPr>
          <w:p>
            <w:pPr>
              <w:pStyle w:val="Normal"/>
              <w:spacing w:before="120" w:after="120"/>
              <w:rPr>
                <w:color w:themeColor="text1" w:themeShade="80" w:val="1E1E1E"/>
              </w:rPr>
            </w:pPr>
            <w:r>
              <w:rPr>
                <w:color w:themeColor="text1" w:themeShade="80" w:val="1E1E1E"/>
              </w:rPr>
              <w:t>Областной бюджет Магаданской области</w:t>
            </w:r>
          </w:p>
        </w:tc>
      </w:tr>
      <w:tr>
        <w:trPr>
          <w:trHeight w:val="80"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rPr>
                <w:b/>
                <w:color w:themeColor="text1" w:themeShade="80" w:val="1E1E1E"/>
              </w:rPr>
            </w:pPr>
            <w:r>
              <w:rPr>
                <w:b/>
                <w:color w:themeColor="text1" w:themeShade="80" w:val="1E1E1E"/>
              </w:rPr>
              <w:t xml:space="preserve">7.Проектируемые участки (оснащаемые объекты транспортной инфраструктуры дорожного хозяйства) </w:t>
            </w:r>
          </w:p>
        </w:tc>
        <w:tc>
          <w:tcPr>
            <w:tcW w:w="7616"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0" w:leader="none"/>
              </w:tabs>
              <w:spacing w:before="120" w:after="0"/>
              <w:rPr>
                <w:color w:themeColor="text1" w:val="3C3C3C"/>
              </w:rPr>
            </w:pPr>
            <w:r>
              <w:rPr>
                <w:bCs/>
                <w:color w:themeColor="text1" w:val="3C3C3C"/>
              </w:rPr>
              <w:t>Единый пункт управления обеспечения транспортной безопасности ПУОТБ 1 г. Магадан, для мостов:</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р. Ола км 30+010 а/д Солнечный – Ола (длина – 472,95 м, реестровый номер - ДХК0000762, категория объекта – первая),</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р. Угликан км 3+410 а/д Ола – Гадля (длина – 36,38 м, реестровый номер - ДХК0000763, категория объекта – первая).</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 xml:space="preserve">р. Армань км 51+402 а/д Магадан – Балаганное – Талон (длина – 444,02 м, реестровый номер - ДХК0000753, категория объекта – первая), </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 xml:space="preserve">р. Ольховка км 59+853 а/д Магадан – Балаганное – Талон (длина – 39,76 м, реестровый номер - ДХК0000754, категория объекта – первая), </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р. Магаданка км 6+931 а/д Магадан – Балаганное – Талон (длина – 39,75 м, реестровый номер - ДХК0000751, категория объекта – первая).</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 xml:space="preserve">р. Дукча км 9+187 а/д Солнечный – Ола (длина – 57,87 м, реестровый номер - ДХК0000761, категория объекта – первая), </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 xml:space="preserve">р. Сухая км 50+469 а/д Магадан – Балаганное – Талон (длина – 57,78 м, реестровый номер - ДХК0000752, категория объекта – первая), </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р. Широкая км 60+274 а/д Магадан – Балаганное – Талон (длина – 39,75 м, реестровый номер - ДХК0000755, категория объекта – первая),</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руч. Быстрый км 141+047 а/д Магадан – Балаганное – Талон (длина – 33,75, реестровый номер - ДХК0000758, категория объекта – первая),</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р. Невтанджа км 144+211 а/д Магадан – Балаганное – Талон (длина – 51,80 м, реестровый номер - ДХК0000759, категория объекта – первая),</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 xml:space="preserve">р. Игонджа км 145+068 а/д Магадан – Балаганное – Талон (длина – 137,50 м, реестровый номер - ДХК0000760, категория объекта – первая), </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р. Танон км 14+503 а/д Колчаковский ключ – Клепка (длина – 50,60 м, ДХК0000750, категория объекта – первая),</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 xml:space="preserve">р. Ойра км 69+278 а/д Магадан – Балаганное – Талон (длина – 75,85 м, реестровый номер - ДХК0000756, категория объекта – первая), </w:t>
            </w:r>
          </w:p>
          <w:p>
            <w:pPr>
              <w:pStyle w:val="ListParagraph"/>
              <w:widowControl w:val="false"/>
              <w:numPr>
                <w:ilvl w:val="0"/>
                <w:numId w:val="64"/>
              </w:numPr>
              <w:tabs>
                <w:tab w:val="clear" w:pos="708"/>
                <w:tab w:val="left" w:pos="0" w:leader="none"/>
              </w:tabs>
              <w:spacing w:before="120" w:after="0"/>
              <w:contextualSpacing/>
              <w:rPr>
                <w:color w:themeColor="text1" w:val="3C3C3C"/>
              </w:rPr>
            </w:pPr>
            <w:r>
              <w:rPr>
                <w:color w:themeColor="text1" w:val="3C3C3C"/>
              </w:rPr>
              <w:t>р. Речка км 79+699 а/д Магадан – Балаганное – Талон (длина – 75,80 м, реестровый номер - ДХК0000757, категория объекта – первая).</w:t>
            </w:r>
          </w:p>
          <w:p>
            <w:pPr>
              <w:pStyle w:val="Normal"/>
              <w:widowControl w:val="false"/>
              <w:tabs>
                <w:tab w:val="clear" w:pos="708"/>
                <w:tab w:val="left" w:pos="0" w:leader="none"/>
              </w:tabs>
              <w:spacing w:before="120" w:after="0"/>
              <w:ind w:start="360"/>
              <w:rPr>
                <w:bCs/>
                <w:color w:themeColor="text1" w:val="3C3C3C"/>
              </w:rPr>
            </w:pPr>
            <w:r>
              <w:rPr>
                <w:bCs/>
                <w:color w:themeColor="text1" w:val="3C3C3C"/>
              </w:rPr>
              <w:t xml:space="preserve">Пункт группы быстрого реагирования в п. Тауйск для мостов через  - </w:t>
            </w:r>
          </w:p>
          <w:p>
            <w:pPr>
              <w:pStyle w:val="ListParagraph"/>
              <w:widowControl w:val="false"/>
              <w:numPr>
                <w:ilvl w:val="0"/>
                <w:numId w:val="65"/>
              </w:numPr>
              <w:tabs>
                <w:tab w:val="clear" w:pos="708"/>
                <w:tab w:val="left" w:pos="0" w:leader="none"/>
              </w:tabs>
              <w:spacing w:before="120" w:after="0"/>
              <w:contextualSpacing/>
              <w:rPr>
                <w:color w:themeColor="text1" w:val="3C3C3C"/>
              </w:rPr>
            </w:pPr>
            <w:r>
              <w:rPr>
                <w:bCs/>
                <w:color w:themeColor="text1" w:val="3C3C3C"/>
              </w:rPr>
              <w:t xml:space="preserve">р.  Речка </w:t>
            </w:r>
            <w:r>
              <w:rPr>
                <w:color w:themeColor="text1" w:val="3C3C3C"/>
              </w:rPr>
              <w:t>км 79+699 а/д Магадан – Балаганное – Талон;</w:t>
            </w:r>
          </w:p>
          <w:p>
            <w:pPr>
              <w:pStyle w:val="ListParagraph"/>
              <w:widowControl w:val="false"/>
              <w:numPr>
                <w:ilvl w:val="0"/>
                <w:numId w:val="65"/>
              </w:numPr>
              <w:tabs>
                <w:tab w:val="clear" w:pos="708"/>
                <w:tab w:val="left" w:pos="0" w:leader="none"/>
              </w:tabs>
              <w:spacing w:before="120" w:after="0"/>
              <w:contextualSpacing/>
              <w:rPr>
                <w:color w:themeColor="text1" w:val="3C3C3C"/>
              </w:rPr>
            </w:pPr>
            <w:r>
              <w:rPr>
                <w:color w:themeColor="text1" w:val="3C3C3C"/>
              </w:rPr>
              <w:t>р. Ойра км 69+278 а/д Магадан – Балаганное – Талон;</w:t>
            </w:r>
          </w:p>
          <w:p>
            <w:pPr>
              <w:pStyle w:val="ListParagraph"/>
              <w:widowControl w:val="false"/>
              <w:numPr>
                <w:ilvl w:val="0"/>
                <w:numId w:val="65"/>
              </w:numPr>
              <w:tabs>
                <w:tab w:val="clear" w:pos="708"/>
                <w:tab w:val="left" w:pos="0" w:leader="none"/>
              </w:tabs>
              <w:spacing w:before="120" w:after="0"/>
              <w:contextualSpacing/>
              <w:rPr>
                <w:color w:themeColor="text1" w:val="3C3C3C"/>
              </w:rPr>
            </w:pPr>
            <w:r>
              <w:rPr>
                <w:color w:themeColor="text1" w:val="3C3C3C"/>
              </w:rPr>
              <w:t>р. Широкая км 60+274 а/д Магадан – Балаганное – Талон;</w:t>
            </w:r>
          </w:p>
          <w:p>
            <w:pPr>
              <w:pStyle w:val="ListParagraph"/>
              <w:widowControl w:val="false"/>
              <w:numPr>
                <w:ilvl w:val="0"/>
                <w:numId w:val="65"/>
              </w:numPr>
              <w:tabs>
                <w:tab w:val="clear" w:pos="708"/>
                <w:tab w:val="left" w:pos="0" w:leader="none"/>
              </w:tabs>
              <w:spacing w:before="120" w:after="0"/>
              <w:contextualSpacing/>
              <w:rPr>
                <w:color w:themeColor="text1" w:val="3C3C3C"/>
              </w:rPr>
            </w:pPr>
            <w:r>
              <w:rPr>
                <w:color w:themeColor="text1" w:val="3C3C3C"/>
              </w:rPr>
              <w:t>р. Ольховка км 59+853 а/д Магадан – Балаганное – Талон;</w:t>
            </w:r>
          </w:p>
          <w:p>
            <w:pPr>
              <w:pStyle w:val="ListParagraph"/>
              <w:widowControl w:val="false"/>
              <w:numPr>
                <w:ilvl w:val="0"/>
                <w:numId w:val="65"/>
              </w:numPr>
              <w:tabs>
                <w:tab w:val="clear" w:pos="708"/>
                <w:tab w:val="left" w:pos="0" w:leader="none"/>
              </w:tabs>
              <w:spacing w:before="120" w:after="0"/>
              <w:contextualSpacing/>
              <w:rPr>
                <w:color w:themeColor="text1" w:val="3C3C3C"/>
              </w:rPr>
            </w:pPr>
            <w:r>
              <w:rPr>
                <w:color w:themeColor="text1" w:val="3C3C3C"/>
              </w:rPr>
              <w:t>руч. Быстрый км 141+047 а/д Магадан – Балаганное – Талон;</w:t>
            </w:r>
          </w:p>
          <w:p>
            <w:pPr>
              <w:pStyle w:val="ListParagraph"/>
              <w:widowControl w:val="false"/>
              <w:numPr>
                <w:ilvl w:val="0"/>
                <w:numId w:val="65"/>
              </w:numPr>
              <w:tabs>
                <w:tab w:val="clear" w:pos="708"/>
                <w:tab w:val="left" w:pos="0" w:leader="none"/>
              </w:tabs>
              <w:spacing w:before="120" w:after="0"/>
              <w:contextualSpacing/>
              <w:rPr>
                <w:color w:themeColor="text1" w:val="3C3C3C"/>
              </w:rPr>
            </w:pPr>
            <w:r>
              <w:rPr>
                <w:color w:themeColor="text1" w:val="3C3C3C"/>
              </w:rPr>
              <w:t>р. Невтанджа км 144+211 а/д Магадан – Балаганное – Талон;</w:t>
            </w:r>
          </w:p>
          <w:p>
            <w:pPr>
              <w:pStyle w:val="Normal"/>
              <w:rPr>
                <w:rFonts w:cs="Times New Roman"/>
              </w:rPr>
            </w:pPr>
            <w:r>
              <w:rPr>
                <w:rFonts w:cs="Times New Roman"/>
              </w:rPr>
              <w:t>Работы по разработке проектной и рабочей документации на оснащение инженерно-техническими системами (средствами) обеспечения транспортной безопасности проводятся для объектов:</w:t>
            </w:r>
          </w:p>
          <w:p>
            <w:pPr>
              <w:pStyle w:val="Normal"/>
              <w:rPr>
                <w:rFonts w:cs="Times New Roman"/>
              </w:rPr>
            </w:pPr>
            <w:r>
              <w:rPr>
                <w:rFonts w:cs="Times New Roman"/>
              </w:rPr>
              <w:t>- Пункт управления обеспечения транспортной безопасности (</w:t>
            </w:r>
            <w:r>
              <w:rPr>
                <w:rFonts w:cs="Times New Roman"/>
                <w:b/>
              </w:rPr>
              <w:t>единый</w:t>
            </w:r>
            <w:r>
              <w:rPr>
                <w:rFonts w:cs="Times New Roman"/>
              </w:rPr>
              <w:t xml:space="preserve"> </w:t>
            </w:r>
            <w:r>
              <w:rPr>
                <w:rFonts w:cs="Times New Roman"/>
                <w:b/>
              </w:rPr>
              <w:t xml:space="preserve">ПУОТБ) </w:t>
            </w:r>
            <w:r>
              <w:rPr>
                <w:rFonts w:cs="Times New Roman"/>
              </w:rPr>
              <w:t xml:space="preserve"> г. Магадан (место размещения ПУОТБ определяется на этапе инженерных изысканий) и ОТИ, отнесенные к нему:</w:t>
            </w:r>
          </w:p>
          <w:p>
            <w:pPr>
              <w:pStyle w:val="ListParagraph"/>
              <w:widowControl w:val="false"/>
              <w:numPr>
                <w:ilvl w:val="0"/>
                <w:numId w:val="68"/>
              </w:numPr>
              <w:tabs>
                <w:tab w:val="clear" w:pos="708"/>
                <w:tab w:val="left" w:pos="0" w:leader="none"/>
              </w:tabs>
              <w:spacing w:before="120" w:after="0"/>
              <w:contextualSpacing/>
              <w:rPr/>
            </w:pPr>
            <w:r>
              <w:rPr/>
              <w:t>р. Ола км 30+010 а/д Солнечный – Ола (длина – 472,95 м, реестровый номер - ДХК0000762, категория объекта – первая),</w:t>
            </w:r>
          </w:p>
          <w:p>
            <w:pPr>
              <w:pStyle w:val="ListParagraph"/>
              <w:numPr>
                <w:ilvl w:val="0"/>
                <w:numId w:val="68"/>
              </w:numPr>
              <w:spacing w:lineRule="auto" w:line="276" w:before="0" w:after="200"/>
              <w:contextualSpacing/>
              <w:rPr/>
            </w:pPr>
            <w:r>
              <w:rPr/>
              <w:t>р. Угликан км 3+410 а/д Ола – Гадля (длина – 36,38 м, реестровый номер - ДХК0000763, категория объекта – первая).</w:t>
            </w:r>
          </w:p>
          <w:p>
            <w:pPr>
              <w:pStyle w:val="ListParagraph"/>
              <w:numPr>
                <w:ilvl w:val="0"/>
                <w:numId w:val="68"/>
              </w:numPr>
              <w:spacing w:lineRule="auto" w:line="276" w:before="0" w:after="200"/>
              <w:contextualSpacing/>
              <w:rPr/>
            </w:pPr>
            <w:r>
              <w:rPr/>
              <w:t xml:space="preserve">р. Армань км 51+402 а/д </w:t>
            </w:r>
            <w:bookmarkStart w:id="0" w:name="_GoBack"/>
            <w:bookmarkEnd w:id="0"/>
            <w:r>
              <w:rPr/>
              <w:t xml:space="preserve">Магадан – Балаганное – Талон (длина – 444,02 м, реестровый номер - ДХК0000753, категория объекта – первая), </w:t>
            </w:r>
          </w:p>
          <w:p>
            <w:pPr>
              <w:pStyle w:val="ListParagraph"/>
              <w:widowControl w:val="false"/>
              <w:numPr>
                <w:ilvl w:val="0"/>
                <w:numId w:val="68"/>
              </w:numPr>
              <w:tabs>
                <w:tab w:val="clear" w:pos="708"/>
                <w:tab w:val="left" w:pos="0" w:leader="none"/>
              </w:tabs>
              <w:spacing w:before="120" w:after="0"/>
              <w:contextualSpacing/>
              <w:rPr/>
            </w:pPr>
            <w:r>
              <w:rPr/>
              <w:t xml:space="preserve">р. Ольховка км 59+853 а/д Магадан – Балаганное – Талон (длина – 39,76 м, реестровый номер - ДХК0000754, категория объекта – первая), </w:t>
            </w:r>
          </w:p>
          <w:p>
            <w:pPr>
              <w:pStyle w:val="ListParagraph"/>
              <w:numPr>
                <w:ilvl w:val="0"/>
                <w:numId w:val="68"/>
              </w:numPr>
              <w:spacing w:lineRule="auto" w:line="276" w:before="0" w:after="200"/>
              <w:contextualSpacing/>
              <w:rPr/>
            </w:pPr>
            <w:r>
              <w:rPr/>
              <w:t>р. Магаданка км 6+931 а/д Магадан – Балаганное – Талон (длина – 39,75 м, реестровый номер - ДХК0000751, категория объекта – первая).</w:t>
            </w:r>
          </w:p>
          <w:p>
            <w:pPr>
              <w:pStyle w:val="ListParagraph"/>
              <w:widowControl w:val="false"/>
              <w:numPr>
                <w:ilvl w:val="0"/>
                <w:numId w:val="68"/>
              </w:numPr>
              <w:tabs>
                <w:tab w:val="clear" w:pos="708"/>
                <w:tab w:val="left" w:pos="0" w:leader="none"/>
              </w:tabs>
              <w:spacing w:before="120" w:after="0"/>
              <w:contextualSpacing/>
              <w:rPr/>
            </w:pPr>
            <w:r>
              <w:rPr/>
              <w:t xml:space="preserve">р. Дукча км 9+187 а/д Солнечный – Ола (длина – 57,87 м, реестровый номер - ДХК0000761, категория объекта – первая), </w:t>
            </w:r>
          </w:p>
          <w:p>
            <w:pPr>
              <w:pStyle w:val="ListParagraph"/>
              <w:widowControl w:val="false"/>
              <w:numPr>
                <w:ilvl w:val="0"/>
                <w:numId w:val="68"/>
              </w:numPr>
              <w:tabs>
                <w:tab w:val="clear" w:pos="708"/>
                <w:tab w:val="left" w:pos="0" w:leader="none"/>
              </w:tabs>
              <w:spacing w:before="120" w:after="0"/>
              <w:contextualSpacing/>
              <w:rPr/>
            </w:pPr>
            <w:r>
              <w:rPr/>
              <w:t xml:space="preserve">р. Сухая км 50+469 а/д Магадан – Балаганное – Талон (длина – 57,78 м, реестровый номер - ДХК0000752, категория объекта – первая), </w:t>
            </w:r>
          </w:p>
          <w:p>
            <w:pPr>
              <w:pStyle w:val="ListParagraph"/>
              <w:numPr>
                <w:ilvl w:val="0"/>
                <w:numId w:val="68"/>
              </w:numPr>
              <w:spacing w:lineRule="auto" w:line="276" w:before="0" w:after="200"/>
              <w:contextualSpacing/>
              <w:rPr/>
            </w:pPr>
            <w:r>
              <w:rPr/>
              <w:t>р. Широкая км 60+274 а/д Магадан – Балаганное – Талон (длина – 39,75 м, реестровый номер - ДХК0000755, категория объекта – первая),</w:t>
            </w:r>
          </w:p>
          <w:p>
            <w:pPr>
              <w:pStyle w:val="ListParagraph"/>
              <w:widowControl w:val="false"/>
              <w:numPr>
                <w:ilvl w:val="0"/>
                <w:numId w:val="68"/>
              </w:numPr>
              <w:tabs>
                <w:tab w:val="clear" w:pos="708"/>
                <w:tab w:val="left" w:pos="0" w:leader="none"/>
              </w:tabs>
              <w:spacing w:before="120" w:after="0"/>
              <w:contextualSpacing/>
              <w:rPr/>
            </w:pPr>
            <w:r>
              <w:rPr/>
              <w:t>руч. Быстрый км 141+047 а/д Магадан – Балаганное – Талон (длина – 33,75, реестровый номер - ДХК0000758, категория объекта – первая),</w:t>
            </w:r>
          </w:p>
          <w:p>
            <w:pPr>
              <w:pStyle w:val="ListParagraph"/>
              <w:widowControl w:val="false"/>
              <w:numPr>
                <w:ilvl w:val="0"/>
                <w:numId w:val="68"/>
              </w:numPr>
              <w:tabs>
                <w:tab w:val="clear" w:pos="708"/>
                <w:tab w:val="left" w:pos="0" w:leader="none"/>
              </w:tabs>
              <w:spacing w:before="120" w:after="0"/>
              <w:contextualSpacing/>
              <w:rPr/>
            </w:pPr>
            <w:r>
              <w:rPr/>
              <w:t>р. Невтанджа км 144+211 а/д Магадан – Балаганное – Талон (длина – 51,80 м, реестровый номер - ДХК0000759, категория объекта – первая),</w:t>
            </w:r>
          </w:p>
          <w:p>
            <w:pPr>
              <w:pStyle w:val="ListParagraph"/>
              <w:widowControl w:val="false"/>
              <w:numPr>
                <w:ilvl w:val="0"/>
                <w:numId w:val="68"/>
              </w:numPr>
              <w:tabs>
                <w:tab w:val="clear" w:pos="708"/>
                <w:tab w:val="left" w:pos="0" w:leader="none"/>
              </w:tabs>
              <w:spacing w:before="120" w:after="0"/>
              <w:contextualSpacing/>
              <w:rPr/>
            </w:pPr>
            <w:r>
              <w:rPr/>
              <w:t xml:space="preserve">р. Игонджа км 145+068 а/д Магадан – Балаганное – Талон (длина – 137,50 м, реестровый номер - ДХК0000760, категория объекта – первая), </w:t>
            </w:r>
          </w:p>
          <w:p>
            <w:pPr>
              <w:pStyle w:val="ListParagraph"/>
              <w:numPr>
                <w:ilvl w:val="0"/>
                <w:numId w:val="68"/>
              </w:numPr>
              <w:spacing w:lineRule="auto" w:line="276" w:before="0" w:after="200"/>
              <w:contextualSpacing/>
              <w:rPr/>
            </w:pPr>
            <w:r>
              <w:rPr/>
              <w:t>р. Танон км 14+503 а/д Колчаковский ключ – Клепка (длина – 50,60 м, ДХК0000750, категория объекта – первая),</w:t>
            </w:r>
          </w:p>
          <w:p>
            <w:pPr>
              <w:pStyle w:val="ListParagraph"/>
              <w:widowControl w:val="false"/>
              <w:numPr>
                <w:ilvl w:val="0"/>
                <w:numId w:val="68"/>
              </w:numPr>
              <w:tabs>
                <w:tab w:val="clear" w:pos="708"/>
                <w:tab w:val="left" w:pos="0" w:leader="none"/>
              </w:tabs>
              <w:spacing w:before="120" w:after="0"/>
              <w:contextualSpacing/>
              <w:rPr/>
            </w:pPr>
            <w:r>
              <w:rPr/>
              <w:t xml:space="preserve">р. Ойра км 69+278 а/д Магадан – Балаганное – Талон (длина – 75,85 м, реестровый номер - ДХК0000756, категория объекта – первая), </w:t>
            </w:r>
          </w:p>
          <w:p>
            <w:pPr>
              <w:pStyle w:val="ListParagraph"/>
              <w:widowControl w:val="false"/>
              <w:numPr>
                <w:ilvl w:val="0"/>
                <w:numId w:val="68"/>
              </w:numPr>
              <w:tabs>
                <w:tab w:val="clear" w:pos="708"/>
                <w:tab w:val="left" w:pos="0" w:leader="none"/>
              </w:tabs>
              <w:spacing w:before="120" w:after="0"/>
              <w:contextualSpacing/>
              <w:rPr/>
            </w:pPr>
            <w:r>
              <w:rPr/>
              <w:t>р. Речка км 79+699 а/д Магадан – Балаганное – Талон (длина – 75,80 м, реестровый номер - ДХК0000757, категория объекта – первая).</w:t>
            </w:r>
          </w:p>
          <w:p>
            <w:pPr>
              <w:pStyle w:val="Normal"/>
              <w:rPr>
                <w:rFonts w:cs="Times New Roman"/>
              </w:rPr>
            </w:pPr>
            <w:r>
              <w:rPr>
                <w:rFonts w:cs="Times New Roman"/>
              </w:rPr>
              <w:t>- Пункт размещения группы быстрого реагирования, с интеграцией в ПУОТБ 1, в п. Тауйск для ОТИ:</w:t>
            </w:r>
          </w:p>
          <w:p>
            <w:pPr>
              <w:pStyle w:val="ListParagraph"/>
              <w:widowControl w:val="false"/>
              <w:numPr>
                <w:ilvl w:val="0"/>
                <w:numId w:val="69"/>
              </w:numPr>
              <w:tabs>
                <w:tab w:val="clear" w:pos="708"/>
                <w:tab w:val="left" w:pos="0" w:leader="none"/>
              </w:tabs>
              <w:spacing w:before="120" w:after="0"/>
              <w:contextualSpacing/>
              <w:rPr/>
            </w:pPr>
            <w:r>
              <w:rPr/>
              <w:t xml:space="preserve">р. Ойра км 69+278 а/д Магадан – Балаганное – Талон </w:t>
            </w:r>
          </w:p>
          <w:p>
            <w:pPr>
              <w:pStyle w:val="ListParagraph"/>
              <w:numPr>
                <w:ilvl w:val="0"/>
                <w:numId w:val="69"/>
              </w:numPr>
              <w:spacing w:lineRule="auto" w:line="276" w:before="0" w:after="200"/>
              <w:contextualSpacing/>
              <w:rPr/>
            </w:pPr>
            <w:r>
              <w:rPr/>
              <w:t xml:space="preserve">р. Речка км 79+699 а/д Магадан – Балаганное – Талон </w:t>
            </w:r>
          </w:p>
          <w:p>
            <w:pPr>
              <w:pStyle w:val="ListParagraph"/>
              <w:numPr>
                <w:ilvl w:val="0"/>
                <w:numId w:val="69"/>
              </w:numPr>
              <w:spacing w:lineRule="auto" w:line="276" w:before="0" w:after="200"/>
              <w:contextualSpacing/>
              <w:rPr/>
            </w:pPr>
            <w:r>
              <w:rPr/>
              <w:t xml:space="preserve">р. Широкая км 60+274 а/д Магадан – Балаганное – Талон </w:t>
            </w:r>
          </w:p>
          <w:p>
            <w:pPr>
              <w:pStyle w:val="ListParagraph"/>
              <w:widowControl w:val="false"/>
              <w:numPr>
                <w:ilvl w:val="0"/>
                <w:numId w:val="69"/>
              </w:numPr>
              <w:tabs>
                <w:tab w:val="clear" w:pos="708"/>
                <w:tab w:val="left" w:pos="0" w:leader="none"/>
              </w:tabs>
              <w:spacing w:before="120" w:after="0"/>
              <w:contextualSpacing/>
              <w:rPr/>
            </w:pPr>
            <w:r>
              <w:rPr/>
              <w:t xml:space="preserve">руч. Быстрый км 141+047 а/д Магадан – Балаганное – Талон </w:t>
            </w:r>
          </w:p>
          <w:p>
            <w:pPr>
              <w:pStyle w:val="ListParagraph"/>
              <w:widowControl w:val="false"/>
              <w:numPr>
                <w:ilvl w:val="0"/>
                <w:numId w:val="69"/>
              </w:numPr>
              <w:tabs>
                <w:tab w:val="clear" w:pos="708"/>
                <w:tab w:val="left" w:pos="0" w:leader="none"/>
              </w:tabs>
              <w:spacing w:before="120" w:after="0"/>
              <w:contextualSpacing/>
              <w:rPr/>
            </w:pPr>
            <w:r>
              <w:rPr/>
              <w:t xml:space="preserve">р. Невтанджа км 144+211 а/д Магадан – Балаганное – Талон </w:t>
            </w:r>
          </w:p>
          <w:p>
            <w:pPr>
              <w:pStyle w:val="ListParagraph"/>
              <w:numPr>
                <w:ilvl w:val="0"/>
                <w:numId w:val="69"/>
              </w:numPr>
              <w:spacing w:lineRule="auto" w:line="276" w:before="0" w:after="200"/>
              <w:contextualSpacing/>
              <w:rPr/>
            </w:pPr>
            <w:r>
              <w:rPr/>
              <w:t>р. Игонджа км 145+068 а/д Магадан – Балаганное – Талон</w:t>
            </w:r>
          </w:p>
          <w:p>
            <w:pPr>
              <w:pStyle w:val="ListParagraph"/>
              <w:numPr>
                <w:ilvl w:val="0"/>
                <w:numId w:val="69"/>
              </w:numPr>
              <w:spacing w:lineRule="auto" w:line="276" w:before="0" w:after="200"/>
              <w:contextualSpacing/>
              <w:rPr/>
            </w:pPr>
            <w:r>
              <w:rPr/>
              <w:t>р. Ольховка км 59+853 а/д Магадан – Балаганное – Талон</w:t>
            </w:r>
          </w:p>
          <w:p>
            <w:pPr>
              <w:pStyle w:val="Normal"/>
              <w:rPr>
                <w:rFonts w:cs="Times New Roman"/>
                <w:b/>
              </w:rPr>
            </w:pPr>
            <w:r>
              <w:rPr>
                <w:rFonts w:cs="Times New Roman"/>
                <w:b/>
              </w:rPr>
              <w:t>Работы по каждому ОТИ проводятся с выделением следующих этапов:</w:t>
            </w:r>
          </w:p>
          <w:p>
            <w:pPr>
              <w:pStyle w:val="ListParagraph"/>
              <w:numPr>
                <w:ilvl w:val="0"/>
                <w:numId w:val="70"/>
              </w:numPr>
              <w:spacing w:lineRule="auto" w:line="276" w:before="0" w:after="200"/>
              <w:contextualSpacing/>
              <w:rPr/>
            </w:pPr>
            <w:r>
              <w:rPr/>
              <w:t>Этап 1 «Выполнение инженерных изысканий и документация по планировке территории»;</w:t>
            </w:r>
          </w:p>
          <w:p>
            <w:pPr>
              <w:pStyle w:val="ListParagraph"/>
              <w:numPr>
                <w:ilvl w:val="0"/>
                <w:numId w:val="70"/>
              </w:numPr>
              <w:spacing w:lineRule="auto" w:line="276" w:before="0" w:after="200"/>
              <w:contextualSpacing/>
              <w:rPr/>
            </w:pPr>
            <w:r>
              <w:rPr/>
              <w:t>Этап 2 «Проектная документация»;</w:t>
            </w:r>
          </w:p>
          <w:p>
            <w:pPr>
              <w:pStyle w:val="ListParagraph"/>
              <w:numPr>
                <w:ilvl w:val="0"/>
                <w:numId w:val="70"/>
              </w:numPr>
              <w:spacing w:lineRule="auto" w:line="276" w:before="0" w:after="200"/>
              <w:contextualSpacing/>
              <w:rPr/>
            </w:pPr>
            <w:r>
              <w:rPr/>
              <w:t>Этап 3 «Сметная документация»;</w:t>
            </w:r>
          </w:p>
          <w:p>
            <w:pPr>
              <w:pStyle w:val="ListParagraph"/>
              <w:numPr>
                <w:ilvl w:val="0"/>
                <w:numId w:val="70"/>
              </w:numPr>
              <w:spacing w:lineRule="auto" w:line="276" w:before="0" w:after="200"/>
              <w:contextualSpacing/>
              <w:rPr/>
            </w:pPr>
            <w:r>
              <w:rPr/>
              <w:t>Этап 4 «Рабочая документация».</w:t>
            </w:r>
          </w:p>
          <w:p>
            <w:pPr>
              <w:pStyle w:val="Normal"/>
              <w:widowControl w:val="false"/>
              <w:tabs>
                <w:tab w:val="clear" w:pos="708"/>
                <w:tab w:val="left" w:pos="0" w:leader="none"/>
              </w:tabs>
              <w:spacing w:before="120" w:after="0"/>
              <w:rPr>
                <w:color w:themeColor="text1" w:val="3C3C3C"/>
              </w:rPr>
            </w:pPr>
            <w:r>
              <w:rPr>
                <w:color w:themeColor="text1" w:val="3C3C3C"/>
              </w:rPr>
              <w:t>Местоположение ПУ ОТБ (ЕПУ ОТБ) определяется комиссионно на этапе обследования. При необходимости правоустанавливающие документы на земляные участки, и/или помещения (участки помещений), планируемые к использованию в обеспечении ТБ с учетом доведения до нормативного состояния в соответствии с требованиями, действующего законодательства, выполняется Заказчиком на этапе проектирования.</w:t>
            </w:r>
          </w:p>
          <w:p>
            <w:pPr>
              <w:pStyle w:val="Normal"/>
              <w:widowControl w:val="false"/>
              <w:tabs>
                <w:tab w:val="clear" w:pos="708"/>
                <w:tab w:val="left" w:pos="0" w:leader="none"/>
              </w:tabs>
              <w:spacing w:before="120" w:after="0"/>
              <w:rPr>
                <w:color w:themeColor="text1" w:themeShade="80" w:val="1E1E1E"/>
              </w:rPr>
            </w:pPr>
            <w:r>
              <w:rPr>
                <w:color w:themeColor="text1" w:val="3C3C3C"/>
              </w:rPr>
              <w:t>Перечень мероприятий на указанных объектах, необходимых при разработке проектной документации в соответствии с Постановлением Правительства РФ от 3 июня 2020 г. N 814 определяется Заказчиком на этапе проектирования.</w:t>
            </w:r>
          </w:p>
        </w:tc>
      </w:tr>
      <w:tr>
        <w:trPr>
          <w:trHeight w:val="80"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rFonts w:eastAsia="Times New Roman" w:cs="Times New Roman"/>
                <w:b/>
                <w:bCs/>
                <w:color w:themeColor="text1" w:themeShade="80" w:val="1E1E1E"/>
                <w:lang w:eastAsia="ar-SA"/>
              </w:rPr>
              <w:t>8.Исходные данные для проектирования:</w:t>
            </w:r>
          </w:p>
        </w:tc>
        <w:tc>
          <w:tcPr>
            <w:tcW w:w="7616" w:type="dxa"/>
            <w:tcBorders>
              <w:top w:val="single" w:sz="4" w:space="0" w:color="000000"/>
              <w:start w:val="single" w:sz="4" w:space="0" w:color="000000"/>
              <w:bottom w:val="single" w:sz="4" w:space="0" w:color="000000"/>
              <w:end w:val="single" w:sz="4" w:space="0" w:color="000000"/>
            </w:tcBorders>
          </w:tcPr>
          <w:p>
            <w:pPr>
              <w:pStyle w:val="Normal"/>
              <w:spacing w:before="120" w:after="120"/>
              <w:rPr>
                <w:color w:themeColor="text1" w:themeShade="80" w:val="1E1E1E"/>
              </w:rPr>
            </w:pPr>
            <w:r>
              <w:rPr>
                <w:rFonts w:eastAsia="Times New Roman" w:cs="Times New Roman"/>
                <w:color w:themeColor="text1" w:themeShade="80" w:val="1E1E1E"/>
              </w:rPr>
              <w:t xml:space="preserve">Исходные данные для выполнения работ, согласно </w:t>
            </w:r>
            <w:r>
              <w:rPr>
                <w:rFonts w:eastAsia="Times New Roman" w:cs="Times New Roman"/>
                <w:color w:themeColor="text1" w:themeShade="80" w:val="1E1E1E"/>
              </w:rPr>
              <w:t>Договору</w:t>
            </w:r>
            <w:r>
              <w:rPr>
                <w:rFonts w:eastAsia="Times New Roman" w:cs="Times New Roman"/>
                <w:color w:themeColor="text1" w:themeShade="80" w:val="1E1E1E"/>
              </w:rPr>
              <w:t>, являются:</w:t>
            </w:r>
          </w:p>
          <w:p>
            <w:pPr>
              <w:pStyle w:val="ListParagraph"/>
              <w:numPr>
                <w:ilvl w:val="0"/>
                <w:numId w:val="7"/>
              </w:numPr>
              <w:rPr>
                <w:color w:themeColor="text1" w:themeShade="80" w:val="1E1E1E"/>
              </w:rPr>
            </w:pPr>
            <w:r>
              <w:rPr>
                <w:color w:themeColor="text1" w:themeShade="80" w:val="1E1E1E"/>
                <w:shd w:fill="FEFEFE" w:val="clear"/>
              </w:rPr>
              <w:t>копия одного из имеющихся у СТИ документа (может быть: акт осмотра ОТИ, раздел проектной (рабочей) документации на ОТИ, раздел технического паспорта ОТИ), подтверждающего технические и технологические характеристики ОТИ</w:t>
            </w:r>
          </w:p>
          <w:p>
            <w:pPr>
              <w:pStyle w:val="ListParagraph"/>
              <w:widowControl w:val="false"/>
              <w:numPr>
                <w:ilvl w:val="0"/>
                <w:numId w:val="7"/>
              </w:numPr>
              <w:spacing w:before="120" w:after="0"/>
              <w:contextualSpacing/>
              <w:rPr>
                <w:color w:themeColor="text1" w:themeShade="80" w:val="1E1E1E"/>
              </w:rPr>
            </w:pPr>
            <w:r>
              <w:rPr>
                <w:color w:themeColor="text1" w:themeShade="80" w:val="1E1E1E"/>
              </w:rPr>
              <w:t>результаты оценки (дополнительной оценки) уязвимости объектов транспортной инфраструктуры;</w:t>
            </w:r>
          </w:p>
          <w:p>
            <w:pPr>
              <w:pStyle w:val="ListParagraph"/>
              <w:widowControl w:val="false"/>
              <w:numPr>
                <w:ilvl w:val="0"/>
                <w:numId w:val="7"/>
              </w:numPr>
              <w:spacing w:before="120" w:after="0"/>
              <w:contextualSpacing/>
              <w:rPr>
                <w:color w:themeColor="text1" w:themeShade="80" w:val="1E1E1E"/>
              </w:rPr>
            </w:pPr>
            <w:r>
              <w:rPr>
                <w:color w:themeColor="text1" w:themeShade="80" w:val="1E1E1E"/>
              </w:rPr>
              <w:t>планы обеспечения транспортной безопасности; изменения (дополнения) в планы обеспечения транспортной безопасности объекта транспортной инфраструктуры;</w:t>
            </w:r>
          </w:p>
          <w:p>
            <w:pPr>
              <w:pStyle w:val="ListParagraph"/>
              <w:widowControl w:val="false"/>
              <w:numPr>
                <w:ilvl w:val="0"/>
                <w:numId w:val="7"/>
              </w:numPr>
              <w:spacing w:before="120" w:after="0"/>
              <w:contextualSpacing/>
              <w:rPr>
                <w:color w:themeColor="text1" w:themeShade="80" w:val="1E1E1E"/>
              </w:rPr>
            </w:pPr>
            <w:r>
              <w:rPr>
                <w:color w:themeColor="text1" w:themeShade="80" w:val="1E1E1E"/>
              </w:rPr>
              <w:t>внутренние организационно-распорядительные документы субъекта транспортной инфраструктуры в области обеспечения транспортной безопасности;</w:t>
            </w:r>
          </w:p>
          <w:p>
            <w:pPr>
              <w:pStyle w:val="ListParagraph"/>
              <w:numPr>
                <w:ilvl w:val="0"/>
                <w:numId w:val="7"/>
              </w:numPr>
              <w:rPr>
                <w:color w:themeColor="text1" w:themeShade="80" w:val="1E1E1E"/>
              </w:rPr>
            </w:pPr>
            <w:r>
              <w:rPr>
                <w:color w:themeColor="text1" w:themeShade="80" w:val="1E1E1E"/>
              </w:rPr>
              <w:t>инженерные изыскания на объект транспортной инфраструктуры (при наличии);</w:t>
            </w:r>
          </w:p>
          <w:p>
            <w:pPr>
              <w:pStyle w:val="ListParagraph"/>
              <w:numPr>
                <w:ilvl w:val="0"/>
                <w:numId w:val="7"/>
              </w:numPr>
              <w:rPr>
                <w:color w:themeColor="text1" w:themeShade="80" w:val="1E1E1E"/>
              </w:rPr>
            </w:pPr>
            <w:r>
              <w:rPr>
                <w:color w:themeColor="text1" w:themeShade="80" w:val="1E1E1E"/>
              </w:rPr>
              <w:t>схема размещения модульных зданий пунктов управления обеспечения транспортной безопасности, модульных зданий контрольно-пропускных пунктов, модульных зданий постов обеспечения транспортной безопасности;</w:t>
            </w:r>
          </w:p>
          <w:p>
            <w:pPr>
              <w:pStyle w:val="Normal"/>
              <w:rPr>
                <w:color w:themeColor="text1" w:themeShade="80" w:val="1E1E1E"/>
              </w:rPr>
            </w:pPr>
            <w:r>
              <w:rPr/>
              <w:t>Получение</w:t>
            </w:r>
            <w:r>
              <w:rPr>
                <w:color w:themeColor="accent1" w:val="004077"/>
              </w:rPr>
              <w:t xml:space="preserve"> </w:t>
            </w:r>
            <w:r>
              <w:rPr/>
              <w:t xml:space="preserve">иных сведений и документов, необходимых для проектирования, осуществляется собственными силами Исполнителя, при необходимости – совместно с Заказчиком (Исполнитель выполняет подготовку, Заказчик направляет). Допускается выдача доверенности на получение необходимых документов от имени Заказчика в рамках исполнения </w:t>
            </w:r>
            <w:r>
              <w:rPr/>
              <w:t>Договора</w:t>
            </w:r>
            <w:r>
              <w:rPr/>
              <w:t>.</w:t>
            </w:r>
          </w:p>
          <w:p>
            <w:pPr>
              <w:pStyle w:val="Normal"/>
              <w:rPr>
                <w:color w:themeColor="text1" w:themeShade="80" w:val="1E1E1E"/>
              </w:rPr>
            </w:pPr>
            <w:r>
              <w:rPr>
                <w:rFonts w:eastAsia="Times New Roman" w:cs="Times New Roman"/>
                <w:color w:themeColor="text1" w:themeShade="80" w:val="1E1E1E"/>
              </w:rPr>
              <w:t>Проектирование технических систем и инженерных сооружений обеспечения транспортной безопасности должно быть основано на результатах проведенной оценки (дополнительной оценки) уязвимости, плане обеспечения транспортной безопасности, изменениях (дополнениях) в план обеспечения транспортной безопасности. Результаты оценки (дополнительной оценки) уязвимости объектов транспортной инфраструктуры, а также</w:t>
            </w:r>
            <w:r>
              <w:rPr>
                <w:color w:themeColor="text1" w:themeShade="80" w:val="1E1E1E"/>
              </w:rPr>
              <w:t xml:space="preserve"> планы обеспечения транспортной безопасности являются информацией с грифом ограничения «Для служебного пользования» в соответствии с требованиями Постановления Правительства РФ № 2051 от 14.11.2022 г. «Об утверждении Правил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планах и паспортах обеспечения транспортной безопасности объектов транспортной инфраструктуры и (или) транспортных средств, которые являются информацией ограниченного доступа, и признании утратившими силу некоторых актов Правительства Российской Федерации».</w:t>
            </w:r>
          </w:p>
          <w:p>
            <w:pPr>
              <w:pStyle w:val="Normal"/>
              <w:rPr>
                <w:color w:themeColor="text1" w:themeShade="80" w:val="1E1E1E"/>
              </w:rPr>
            </w:pPr>
            <w:r>
              <w:rPr/>
              <w:t>Исходные данные предоставляются Исполнителю исключительно по месту нахождения Заказчика – г. Магадан, ул. Набережная р. Магаданки, д. 15, в рабочие дни с 9:00 до 17:45 (перерыв с 12:30 до 14:00) (по местному времени), в соответствии с согласованным заранее с Заказчиком План-графиком выполнения работ.</w:t>
            </w:r>
          </w:p>
          <w:p>
            <w:pPr>
              <w:pStyle w:val="Normal"/>
              <w:rPr>
                <w:color w:themeColor="text1" w:themeShade="80" w:val="1E1E1E"/>
              </w:rPr>
            </w:pPr>
            <w:r>
              <w:rPr>
                <w:color w:themeColor="text1" w:themeShade="80" w:val="1E1E1E"/>
              </w:rPr>
              <w:t xml:space="preserve">  </w:t>
            </w:r>
            <w:r>
              <w:rPr>
                <w:color w:themeColor="text1" w:themeShade="80" w:val="1E1E1E"/>
              </w:rPr>
              <w:t xml:space="preserve">В ходе исполнения Договора исполнителю необходимо обеспечить у лица направленного  </w:t>
            </w:r>
            <w:r>
              <w:rPr>
                <w:rFonts w:cs="Times New Roman"/>
              </w:rPr>
              <w:t xml:space="preserve">для ознакомления с документами, сбора необходимой документации и информации в документах, в том числе с грифом «Для служебного пользования», </w:t>
            </w:r>
            <w:r>
              <w:rPr>
                <w:color w:themeColor="text1" w:themeShade="80" w:val="1E1E1E"/>
              </w:rPr>
              <w:t xml:space="preserve">действующими свидетельствами о аттестации </w:t>
            </w:r>
            <w:r>
              <w:rPr>
                <w:rFonts w:cs="Times New Roman"/>
              </w:rPr>
              <w:t>в качестве лица, ответственного за обеспечение транспортной безопасности на объекте транспортной инфраструктуры и (или) транспортного средства, и персонала специализированных организаций, вид транспорта: дорожное хозяйство, автомобильный транспорт, должно иметь при себе паспорт гражданина Российской Федерации, документы, срок действия которых соответствует требованиям действующего законодательства, подтверждающие соответствие требованиям стати 10 Федерального закона № 16-ФЗ «О транспортной безопасности» от 09.02.2007г.,</w:t>
            </w:r>
            <w:r>
              <w:rPr>
                <w:rFonts w:cs="Times New Roman"/>
                <w:b/>
                <w:bCs/>
              </w:rPr>
              <w:t xml:space="preserve"> </w:t>
            </w:r>
            <w:r>
              <w:rPr>
                <w:rFonts w:cs="Times New Roman"/>
              </w:rPr>
              <w:t>в том числе свидетельство об аттестации сил обеспечения транспортной безопасности.</w:t>
            </w:r>
          </w:p>
          <w:p>
            <w:pPr>
              <w:pStyle w:val="Normal"/>
              <w:tabs>
                <w:tab w:val="clear" w:pos="708"/>
                <w:tab w:val="left" w:pos="142" w:leader="none"/>
                <w:tab w:val="left" w:pos="426" w:leader="none"/>
              </w:tabs>
              <w:spacing w:before="120" w:after="0"/>
              <w:ind w:firstLine="709"/>
              <w:contextualSpacing/>
              <w:rPr>
                <w:rFonts w:eastAsia="Times New Roman" w:cs="Times New Roman"/>
                <w:b/>
                <w:u w:val="single"/>
              </w:rPr>
            </w:pPr>
            <w:r>
              <w:rPr>
                <w:rFonts w:eastAsia="Times New Roman" w:cs="Times New Roman"/>
                <w:color w:themeColor="text1" w:val="3C3C3C"/>
                <w:shd w:fill="FFFFFF" w:val="clear"/>
              </w:rPr>
              <w:t xml:space="preserve">Должностные лица Подрядчика, в соответствии с требованиями ч.3, ст.9 Федерального закона от 09.02.2007г. № 16-ФЗ «О транспортной безопасности», должны быть допущены к работе с </w:t>
            </w:r>
            <w:r>
              <w:rPr>
                <w:rFonts w:cs="Times New Roman"/>
                <w:color w:themeColor="text1" w:val="3C3C3C"/>
                <w:shd w:fill="FFFFFF" w:val="clear"/>
              </w:rPr>
              <w:t>информацией ограниченного доступа.</w:t>
            </w:r>
          </w:p>
        </w:tc>
      </w:tr>
      <w:tr>
        <w:trPr>
          <w:trHeight w:val="80"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 xml:space="preserve">9.Идентификационные признаки объекта, которые устанавливаются в соответствии со статьей 4 Федерального закона от 30 декабря 2009 г. N 384-ФЗ "Технический регламент о безопасности зданий и сооружений" </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8"/>
              </w:numPr>
              <w:spacing w:before="120" w:after="0"/>
              <w:ind w:hanging="360" w:start="379"/>
              <w:contextualSpacing/>
              <w:rPr>
                <w:color w:themeColor="text1" w:themeShade="80" w:val="1E1E1E"/>
              </w:rPr>
            </w:pPr>
            <w:r>
              <w:rPr>
                <w:color w:themeColor="text1" w:themeShade="80" w:val="1E1E1E"/>
              </w:rPr>
              <w:t xml:space="preserve">Назначение объекта - </w:t>
            </w:r>
            <w:r>
              <w:rPr>
                <w:color w:themeColor="text1" w:themeShade="80" w:val="1E1E1E"/>
                <w:lang w:bidi="ru-RU"/>
              </w:rPr>
              <w:t xml:space="preserve">в состав ИТСОТБ входят здания и сооружения следующего назначения в соответствии с общероссийским классификатором основных фондов ОК 013-2014 (ОКОФ) - </w:t>
            </w:r>
            <w:r>
              <w:rPr>
                <w:color w:themeColor="text1" w:themeShade="80" w:val="1E1E1E"/>
              </w:rPr>
              <w:t>здания производственные и прочие, не включенные в другие группировки</w:t>
            </w:r>
            <w:r>
              <w:rPr>
                <w:color w:themeColor="text1" w:themeShade="80" w:val="1E1E1E"/>
                <w:lang w:bidi="ru-RU"/>
              </w:rPr>
              <w:t xml:space="preserve"> (</w:t>
            </w:r>
            <w:r>
              <w:rPr>
                <w:color w:themeColor="text1" w:themeShade="80" w:val="1E1E1E"/>
              </w:rPr>
              <w:t>210.00.13.11.110</w:t>
            </w:r>
            <w:r>
              <w:rPr>
                <w:color w:themeColor="text1" w:themeShade="80" w:val="1E1E1E"/>
                <w:lang w:bidi="ru-RU"/>
              </w:rPr>
              <w:t>).</w:t>
            </w:r>
            <w:r>
              <w:rPr>
                <w:color w:themeColor="text1" w:themeShade="80" w:val="1E1E1E"/>
              </w:rPr>
              <w:t xml:space="preserve"> </w:t>
            </w:r>
            <w:r>
              <w:rPr>
                <w:color w:themeColor="text1" w:themeShade="80" w:val="1E1E1E"/>
                <w:lang w:bidi="ru-RU"/>
              </w:rPr>
              <w:t>Состав и тип зданий определить проектом.</w:t>
            </w:r>
          </w:p>
          <w:p>
            <w:pPr>
              <w:pStyle w:val="ListParagraph"/>
              <w:numPr>
                <w:ilvl w:val="0"/>
                <w:numId w:val="8"/>
              </w:numPr>
              <w:ind w:hanging="360" w:start="379"/>
              <w:rPr>
                <w:color w:themeColor="text1" w:themeShade="80" w:val="1E1E1E"/>
              </w:rPr>
            </w:pPr>
            <w:r>
              <w:rPr>
                <w:color w:themeColor="text1" w:themeShade="80" w:val="1E1E1E"/>
              </w:rPr>
              <w:t xml:space="preserve">Принадлежность к объектам транспортной инфраструктуры и к другим объектам, функционально-технологические особенности, которые влияют на их безопасность - </w:t>
            </w:r>
            <w:r>
              <w:rPr>
                <w:color w:themeColor="text1" w:themeShade="80" w:val="1E1E1E"/>
                <w:lang w:bidi="ru-RU"/>
              </w:rPr>
              <w:t>здания и сооружения, разрабатываемые в составе ИТСОТБ, не являются объектами транспортной инфраструктуры автомобильного транспорта общего пользования.</w:t>
            </w:r>
          </w:p>
          <w:p>
            <w:pPr>
              <w:pStyle w:val="ListParagraph"/>
              <w:numPr>
                <w:ilvl w:val="0"/>
                <w:numId w:val="8"/>
              </w:numPr>
              <w:ind w:hanging="360" w:start="379"/>
              <w:rPr>
                <w:color w:themeColor="text1" w:themeShade="80" w:val="1E1E1E"/>
              </w:rPr>
            </w:pPr>
            <w:r>
              <w:rPr>
                <w:color w:themeColor="text1" w:themeShade="80" w:val="1E1E1E"/>
              </w:rPr>
              <w:t xml:space="preserve">Возможность возникновения опасных природных процессов, явлений и техногенных воздействий на территории, на которой будет осуществляться строительство объекта - идентификация проводится в соответствии с районированием территории Российской Федерации по уровню опасности природных процессов и явлений, утверждённым уполномоченным федеральным органом исполнительной власти, данными многолетних наблюдений за природными процессами и явлениями, проводимыми соответствии с законодательством Российской Федерации, а также результатами инженерных изысканий на территории, на которой будет осуществляться строительство, реконструкция, эксплуатация здания или сооружения. Районирование проводится: </w:t>
            </w:r>
          </w:p>
          <w:p>
            <w:pPr>
              <w:pStyle w:val="ListParagraph"/>
              <w:numPr>
                <w:ilvl w:val="0"/>
                <w:numId w:val="9"/>
              </w:numPr>
              <w:rPr>
                <w:color w:themeColor="text1" w:themeShade="80" w:val="1E1E1E"/>
              </w:rPr>
            </w:pPr>
            <w:r>
              <w:rPr>
                <w:color w:themeColor="text1" w:themeShade="80" w:val="1E1E1E"/>
              </w:rPr>
              <w:t xml:space="preserve">по сейсмичности; </w:t>
            </w:r>
          </w:p>
          <w:p>
            <w:pPr>
              <w:pStyle w:val="ListParagraph"/>
              <w:numPr>
                <w:ilvl w:val="0"/>
                <w:numId w:val="9"/>
              </w:numPr>
              <w:rPr>
                <w:color w:themeColor="text1" w:themeShade="80" w:val="1E1E1E"/>
              </w:rPr>
            </w:pPr>
            <w:r>
              <w:rPr>
                <w:color w:themeColor="text1" w:themeShade="80" w:val="1E1E1E"/>
              </w:rPr>
              <w:t>по опасным геологическим процессам (оползни, обвалы, сели, лавины, карст подтопление, переработка берегов, пучение, наледеобразование, термокарст, затопление);</w:t>
            </w:r>
          </w:p>
          <w:p>
            <w:pPr>
              <w:pStyle w:val="ListParagraph"/>
              <w:numPr>
                <w:ilvl w:val="0"/>
                <w:numId w:val="9"/>
              </w:numPr>
              <w:rPr>
                <w:color w:themeColor="text1" w:themeShade="80" w:val="1E1E1E"/>
              </w:rPr>
            </w:pPr>
            <w:r>
              <w:rPr>
                <w:color w:themeColor="text1" w:themeShade="80" w:val="1E1E1E"/>
              </w:rPr>
              <w:t>по наледеобразованию;</w:t>
            </w:r>
          </w:p>
          <w:p>
            <w:pPr>
              <w:pStyle w:val="ListParagraph"/>
              <w:numPr>
                <w:ilvl w:val="0"/>
                <w:numId w:val="9"/>
              </w:numPr>
              <w:rPr>
                <w:color w:themeColor="text1" w:themeShade="80" w:val="1E1E1E"/>
              </w:rPr>
            </w:pPr>
            <w:r>
              <w:rPr>
                <w:color w:themeColor="text1" w:themeShade="80" w:val="1E1E1E"/>
              </w:rPr>
              <w:t>по иным опасным природным явлениям.</w:t>
            </w:r>
          </w:p>
          <w:p>
            <w:pPr>
              <w:pStyle w:val="ListParagraph"/>
              <w:numPr>
                <w:ilvl w:val="0"/>
                <w:numId w:val="8"/>
              </w:numPr>
              <w:ind w:hanging="360" w:start="379"/>
              <w:rPr>
                <w:color w:themeColor="text1" w:themeShade="80" w:val="1E1E1E"/>
              </w:rPr>
            </w:pPr>
            <w:r>
              <w:rPr>
                <w:color w:themeColor="text1" w:themeShade="80" w:val="1E1E1E"/>
              </w:rPr>
              <w:t xml:space="preserve">Принадлежность к опасным производственным объектам - </w:t>
            </w:r>
            <w:r>
              <w:rPr>
                <w:bCs/>
                <w:color w:themeColor="text1" w:themeShade="80" w:val="1E1E1E"/>
              </w:rPr>
              <w:t>в соответствии с признаками, указанными в приложении 1 Федерального закона от 21.07.1997 № 116-ФЗ «О промышленной безопасности опасных производственных объектов», в составе ИТСОТБ отсутствуют здания и сооружения, относящиеся к опасным производственным объектам.</w:t>
            </w:r>
          </w:p>
          <w:p>
            <w:pPr>
              <w:pStyle w:val="ListParagraph"/>
              <w:numPr>
                <w:ilvl w:val="0"/>
                <w:numId w:val="8"/>
              </w:numPr>
              <w:ind w:hanging="360" w:start="379"/>
              <w:rPr>
                <w:color w:themeColor="text1" w:themeShade="80" w:val="1E1E1E"/>
              </w:rPr>
            </w:pPr>
            <w:r>
              <w:rPr>
                <w:color w:themeColor="text1" w:themeShade="80" w:val="1E1E1E"/>
              </w:rPr>
              <w:t>Пожарная и взрывопожарная опасность объекта - к</w:t>
            </w:r>
            <w:r>
              <w:rPr>
                <w:bCs/>
                <w:color w:themeColor="text1" w:themeShade="80" w:val="1E1E1E"/>
              </w:rPr>
              <w:t>атегория зданий и сооружений производственного и складского назначения по пожарной и взрывопожарной опасности – «В» (уточнить при разработке проектной документации).</w:t>
            </w:r>
          </w:p>
          <w:p>
            <w:pPr>
              <w:pStyle w:val="ListParagraph"/>
              <w:widowControl w:val="false"/>
              <w:numPr>
                <w:ilvl w:val="0"/>
                <w:numId w:val="8"/>
              </w:numPr>
              <w:spacing w:before="120" w:after="0"/>
              <w:ind w:hanging="360" w:start="379"/>
              <w:contextualSpacing/>
              <w:rPr>
                <w:bCs/>
                <w:color w:themeColor="text1" w:themeShade="80" w:val="1E1E1E"/>
              </w:rPr>
            </w:pPr>
            <w:r>
              <w:rPr>
                <w:color w:themeColor="text1" w:themeShade="80" w:val="1E1E1E"/>
              </w:rPr>
              <w:t xml:space="preserve">Наличие в объекте помещений с постоянным пребыванием людей - </w:t>
            </w:r>
            <w:r>
              <w:rPr>
                <w:bCs/>
                <w:color w:themeColor="text1" w:themeShade="80" w:val="1E1E1E"/>
              </w:rPr>
              <w:t>в составе проектируемых систем ИТСОТБ могут быть следующие здания и сооружения с наличием помещений с постоянным пребыванием людей (определить при проектировании):</w:t>
            </w:r>
          </w:p>
          <w:p>
            <w:pPr>
              <w:pStyle w:val="ListParagraph"/>
              <w:widowControl w:val="false"/>
              <w:numPr>
                <w:ilvl w:val="0"/>
                <w:numId w:val="10"/>
              </w:numPr>
              <w:spacing w:before="120" w:after="0"/>
              <w:contextualSpacing/>
              <w:rPr>
                <w:bCs/>
                <w:color w:themeColor="text1" w:themeShade="80" w:val="1E1E1E"/>
              </w:rPr>
            </w:pPr>
            <w:r>
              <w:rPr>
                <w:bCs/>
                <w:color w:themeColor="text1" w:themeShade="80" w:val="1E1E1E"/>
              </w:rPr>
              <w:t>модульные здания пункта управления обеспечения транспортной безопасности в соответствии со схемой размещения, предоставляемой заказчиком;</w:t>
            </w:r>
          </w:p>
          <w:p>
            <w:pPr>
              <w:pStyle w:val="ListParagraph"/>
              <w:widowControl w:val="false"/>
              <w:numPr>
                <w:ilvl w:val="0"/>
                <w:numId w:val="10"/>
              </w:numPr>
              <w:spacing w:before="120" w:after="0"/>
              <w:contextualSpacing/>
              <w:rPr>
                <w:bCs/>
                <w:color w:themeColor="text1" w:themeShade="80" w:val="1E1E1E"/>
              </w:rPr>
            </w:pPr>
            <w:r>
              <w:rPr>
                <w:bCs/>
                <w:color w:themeColor="text1" w:themeShade="80" w:val="1E1E1E"/>
              </w:rPr>
              <w:t>модульные здания контрольно-пропускных пунктов в соответствии со схемой размещения, предоставляемой заказчиком;</w:t>
            </w:r>
          </w:p>
          <w:p>
            <w:pPr>
              <w:pStyle w:val="ListParagraph"/>
              <w:numPr>
                <w:ilvl w:val="0"/>
                <w:numId w:val="10"/>
              </w:numPr>
              <w:rPr>
                <w:color w:themeColor="text1" w:themeShade="80" w:val="1E1E1E"/>
              </w:rPr>
            </w:pPr>
            <w:r>
              <w:rPr>
                <w:bCs/>
                <w:color w:themeColor="text1" w:themeShade="80" w:val="1E1E1E"/>
              </w:rPr>
              <w:t>модульные здания постов обеспечения транспортной безопасности в соответствии со схемой размещения, предоставляемой Заказчиком.</w:t>
            </w:r>
          </w:p>
          <w:p>
            <w:pPr>
              <w:pStyle w:val="ListParagraph"/>
              <w:numPr>
                <w:ilvl w:val="0"/>
                <w:numId w:val="8"/>
              </w:numPr>
              <w:spacing w:before="120" w:after="120"/>
              <w:ind w:hanging="360" w:start="379"/>
              <w:contextualSpacing/>
              <w:rPr>
                <w:color w:themeColor="text1" w:themeShade="80" w:val="1E1E1E"/>
              </w:rPr>
            </w:pPr>
            <w:r>
              <w:rPr>
                <w:color w:themeColor="text1" w:themeShade="80" w:val="1E1E1E"/>
              </w:rPr>
              <w:t>Уровень ответственности зданий и сооружений - нормальный</w:t>
            </w:r>
          </w:p>
        </w:tc>
      </w:tr>
      <w:tr>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rPr>
                <w:b/>
                <w:color w:themeColor="text1" w:themeShade="80" w:val="1E1E1E"/>
              </w:rPr>
            </w:pPr>
            <w:r>
              <w:rPr>
                <w:b/>
                <w:color w:themeColor="text1" w:themeShade="80" w:val="1E1E1E"/>
              </w:rPr>
              <w:t>10.Виды Работ</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11"/>
              </w:numPr>
              <w:spacing w:before="120" w:after="120"/>
              <w:ind w:hanging="379" w:start="379"/>
              <w:contextualSpacing/>
              <w:rPr>
                <w:color w:themeColor="text1" w:themeShade="80" w:val="1E1E1E"/>
              </w:rPr>
            </w:pPr>
            <w:r>
              <w:rPr>
                <w:color w:themeColor="text1" w:themeShade="80" w:val="1E1E1E"/>
              </w:rPr>
              <w:t>Подготовка необходимых документов для получения технических условий или иных форматов документов для подключения.</w:t>
            </w:r>
          </w:p>
          <w:p>
            <w:pPr>
              <w:pStyle w:val="ListParagraph"/>
              <w:numPr>
                <w:ilvl w:val="1"/>
                <w:numId w:val="12"/>
              </w:numPr>
              <w:rPr>
                <w:color w:themeColor="text1" w:themeShade="80" w:val="1E1E1E"/>
              </w:rPr>
            </w:pPr>
            <w:r>
              <w:rPr>
                <w:color w:themeColor="text1" w:themeShade="80" w:val="1E1E1E"/>
              </w:rPr>
              <w:t xml:space="preserve">В случае получения разрешения на технологическое присоединение к электрической сети в т.ч.: </w:t>
            </w:r>
          </w:p>
          <w:p>
            <w:pPr>
              <w:pStyle w:val="ListParagraph"/>
              <w:numPr>
                <w:ilvl w:val="0"/>
                <w:numId w:val="13"/>
              </w:numPr>
              <w:rPr>
                <w:color w:themeColor="text1" w:themeShade="80" w:val="1E1E1E"/>
              </w:rPr>
            </w:pPr>
            <w:r>
              <w:rPr>
                <w:color w:themeColor="text1" w:themeShade="80" w:val="1E1E1E"/>
              </w:rPr>
              <w:t>подготовка требований (технических условий) на технологическое присоединение к электрической сети. Перечень объектов, на которых необходимо выполнение данных работ уточняется Заказчиком при проектировании;</w:t>
            </w:r>
          </w:p>
          <w:p>
            <w:pPr>
              <w:pStyle w:val="ListParagraph"/>
              <w:numPr>
                <w:ilvl w:val="0"/>
                <w:numId w:val="13"/>
              </w:numPr>
              <w:rPr>
                <w:strike/>
                <w:color w:themeColor="text1" w:themeShade="80" w:val="1E1E1E"/>
              </w:rPr>
            </w:pPr>
            <w:r>
              <w:rPr>
                <w:color w:themeColor="text1" w:themeShade="80" w:val="1E1E1E"/>
              </w:rPr>
              <w:t xml:space="preserve">оформление заявок на технологическое присоединение объектов к электрическим сетям с предоставлением Заказчику необходимых документов (доверенностей). Перечень объектов, на которых необходимо выполнение данных работ уточняется Заказчиком при проектировании; </w:t>
            </w:r>
          </w:p>
          <w:p>
            <w:pPr>
              <w:pStyle w:val="ListParagraph"/>
              <w:numPr>
                <w:ilvl w:val="0"/>
                <w:numId w:val="13"/>
              </w:numPr>
              <w:rPr>
                <w:bCs/>
                <w:color w:themeColor="text1" w:themeShade="80" w:val="1E1E1E"/>
              </w:rPr>
            </w:pPr>
            <w:r>
              <w:rPr>
                <w:bCs/>
                <w:color w:themeColor="text1" w:themeShade="80" w:val="1E1E1E"/>
              </w:rPr>
              <w:t xml:space="preserve">разработка проектной и рабочей документации на подключение объектов транспортной инфраструктуры (далее - ОТИ) к внешнему источнику электроснабжения. Перечень объектов, </w:t>
            </w:r>
            <w:r>
              <w:rPr>
                <w:color w:themeColor="text1" w:themeShade="80" w:val="1E1E1E"/>
              </w:rPr>
              <w:t>на которых необходимо выполнение данных работ уточняется Заказчиком при проектировании;</w:t>
            </w:r>
          </w:p>
          <w:p>
            <w:pPr>
              <w:pStyle w:val="ListParagraph"/>
              <w:numPr>
                <w:ilvl w:val="0"/>
                <w:numId w:val="13"/>
              </w:numPr>
              <w:rPr>
                <w:bCs/>
                <w:color w:themeColor="text1" w:themeShade="80" w:val="1E1E1E"/>
              </w:rPr>
            </w:pPr>
            <w:r>
              <w:rPr>
                <w:bCs/>
                <w:color w:themeColor="text1" w:themeShade="80" w:val="1E1E1E"/>
              </w:rPr>
              <w:t xml:space="preserve">подготовка запросов технических условий на технологическое присоединение к каналам (кабелям) связи с выдачей заказчику необходимых документов (требований к каналам связи и среде передачи). Перечень объектов, </w:t>
            </w:r>
            <w:r>
              <w:rPr>
                <w:color w:themeColor="text1" w:themeShade="80" w:val="1E1E1E"/>
              </w:rPr>
              <w:t>на которых необходимо выполнение данных работ уточняется Заказчиком при проектировании</w:t>
            </w:r>
            <w:r>
              <w:rPr>
                <w:bCs/>
                <w:color w:themeColor="text1" w:themeShade="80" w:val="1E1E1E"/>
              </w:rPr>
              <w:t xml:space="preserve">. </w:t>
            </w:r>
          </w:p>
          <w:p>
            <w:pPr>
              <w:pStyle w:val="ListParagraph"/>
              <w:numPr>
                <w:ilvl w:val="1"/>
                <w:numId w:val="12"/>
              </w:numPr>
              <w:rPr>
                <w:color w:themeColor="text1" w:themeShade="80" w:val="1E1E1E"/>
              </w:rPr>
            </w:pPr>
            <w:r>
              <w:rPr>
                <w:color w:themeColor="text1" w:themeShade="80" w:val="1E1E1E"/>
              </w:rPr>
              <w:t xml:space="preserve">Визуальное обследование объектов для оценки возможности полного исполнения решений оценки уязвимости и планов обеспечения транспортной безопасности. </w:t>
            </w:r>
          </w:p>
          <w:p>
            <w:pPr>
              <w:pStyle w:val="ListParagraph"/>
              <w:ind w:start="792"/>
              <w:rPr>
                <w:color w:themeColor="text1" w:themeShade="80" w:val="1E1E1E"/>
              </w:rPr>
            </w:pPr>
            <w:r>
              <w:rPr>
                <w:color w:themeColor="text1" w:themeShade="80" w:val="1E1E1E"/>
              </w:rPr>
              <w:t>В случае необходимости, Исполнитель работ обязан провести дополнительную оценку уязвимости ОТИ и утвердить их в Федеральном дорожном агентстве (Росавтодор), а также обеспечить внесение изменений в Планы обеспечения транспортной безопасности объектов транспортной инфраструктуры и утвердить их в Федеральном дорожном агентстве (Росавтодор) – осуществляется средствами и силами Исполнителя.</w:t>
            </w:r>
          </w:p>
          <w:p>
            <w:pPr>
              <w:pStyle w:val="ListParagraph"/>
              <w:ind w:start="792"/>
              <w:rPr>
                <w:color w:themeColor="text1" w:themeShade="80" w:val="1E1E1E"/>
              </w:rPr>
            </w:pPr>
            <w:r>
              <w:rPr>
                <w:color w:themeColor="text1" w:themeShade="80" w:val="1E1E1E"/>
              </w:rPr>
              <w:t xml:space="preserve">Визуальное обследование ОТИ и ПУОТБ проводится исключительно совместно с представителем Заказчика, с согласованным заранее с Заказчиком План-графиком выполнения работ и предоставлением сотрудникам Исполнителя выданных пропусков на проход в зону транспортной безопасности ОТИ. Визуальное обследование выполняется до начала выполнения инженерных изысканий. </w:t>
            </w:r>
          </w:p>
          <w:p>
            <w:pPr>
              <w:pStyle w:val="ListParagraph"/>
              <w:numPr>
                <w:ilvl w:val="1"/>
                <w:numId w:val="12"/>
              </w:numPr>
              <w:rPr>
                <w:color w:themeColor="text1" w:themeShade="80" w:val="1E1E1E"/>
              </w:rPr>
            </w:pPr>
            <w:r>
              <w:rPr>
                <w:color w:themeColor="text1" w:themeShade="80" w:val="1E1E1E"/>
              </w:rPr>
              <w:t>Выполнение инженерных изысканий для обоснованного выполнения проектных работ.</w:t>
            </w:r>
          </w:p>
          <w:p>
            <w:pPr>
              <w:pStyle w:val="ListParagraph"/>
              <w:numPr>
                <w:ilvl w:val="1"/>
                <w:numId w:val="12"/>
              </w:numPr>
              <w:rPr>
                <w:color w:themeColor="text1" w:themeShade="80" w:val="1E1E1E"/>
              </w:rPr>
            </w:pPr>
            <w:r>
              <w:rPr>
                <w:bCs/>
                <w:color w:themeColor="text1" w:themeShade="80" w:val="1E1E1E"/>
              </w:rPr>
              <w:t>Определение необходимого состава инженерно-технических систем обеспечения транспортной безопасности (далее – ИТСОТБ) объектов</w:t>
            </w:r>
            <w:r>
              <w:rPr>
                <w:color w:themeColor="text1" w:themeShade="80" w:val="1E1E1E"/>
              </w:rPr>
              <w:t xml:space="preserve"> </w:t>
            </w:r>
            <w:r>
              <w:rPr>
                <w:bCs/>
                <w:color w:themeColor="text1" w:themeShade="80" w:val="1E1E1E"/>
              </w:rPr>
              <w:t>по результатам обследования, на основании утвержденного плана обеспечения транспортной безопасности, а при необходимости, с корректировкой планов обеспечения транспортной безопасности.</w:t>
            </w:r>
          </w:p>
          <w:p>
            <w:pPr>
              <w:pStyle w:val="ListParagraph"/>
              <w:numPr>
                <w:ilvl w:val="0"/>
                <w:numId w:val="11"/>
              </w:numPr>
              <w:ind w:hanging="379" w:start="379"/>
              <w:rPr>
                <w:color w:themeColor="text1" w:themeShade="80" w:val="1E1E1E"/>
              </w:rPr>
            </w:pPr>
            <w:r>
              <w:rPr>
                <w:color w:themeColor="text1" w:themeShade="80" w:val="1E1E1E"/>
              </w:rPr>
              <w:t>Разработка проектной и рабочей документации.</w:t>
            </w:r>
          </w:p>
          <w:p>
            <w:pPr>
              <w:pStyle w:val="ListParagraph"/>
              <w:numPr>
                <w:ilvl w:val="1"/>
                <w:numId w:val="11"/>
              </w:numPr>
              <w:rPr>
                <w:color w:themeColor="text1" w:themeShade="80" w:val="1E1E1E"/>
              </w:rPr>
            </w:pPr>
            <w:r>
              <w:rPr>
                <w:color w:themeColor="text1" w:themeShade="80" w:val="1E1E1E"/>
              </w:rPr>
              <w:t>Разработка проектной документации по оснащению объектов транспортной инфраструктуры инженерно-техническими системами:</w:t>
            </w:r>
          </w:p>
          <w:p>
            <w:pPr>
              <w:pStyle w:val="ListParagraph"/>
              <w:numPr>
                <w:ilvl w:val="0"/>
                <w:numId w:val="14"/>
              </w:numPr>
              <w:rPr>
                <w:color w:themeColor="text1" w:themeShade="80" w:val="1E1E1E"/>
              </w:rPr>
            </w:pPr>
            <w:r>
              <w:rPr>
                <w:color w:themeColor="text1" w:themeShade="80" w:val="1E1E1E"/>
              </w:rPr>
              <w:t>средства инженерно-технической укрепленности (СИТУ);</w:t>
            </w:r>
          </w:p>
          <w:p>
            <w:pPr>
              <w:pStyle w:val="ListParagraph"/>
              <w:numPr>
                <w:ilvl w:val="0"/>
                <w:numId w:val="14"/>
              </w:numPr>
              <w:rPr>
                <w:color w:themeColor="text1" w:themeShade="80" w:val="1E1E1E"/>
              </w:rPr>
            </w:pPr>
            <w:r>
              <w:rPr>
                <w:color w:themeColor="text1" w:themeShade="80" w:val="1E1E1E"/>
              </w:rPr>
              <w:t>систему сбора и обработки информации (ССОИ);</w:t>
            </w:r>
          </w:p>
          <w:p>
            <w:pPr>
              <w:pStyle w:val="ListParagraph"/>
              <w:numPr>
                <w:ilvl w:val="0"/>
                <w:numId w:val="14"/>
              </w:numPr>
              <w:rPr>
                <w:color w:themeColor="text1" w:themeShade="80" w:val="1E1E1E"/>
              </w:rPr>
            </w:pPr>
            <w:r>
              <w:rPr>
                <w:color w:themeColor="text1" w:themeShade="80" w:val="1E1E1E"/>
              </w:rPr>
              <w:t>система охранного телевизионного наблюдения (СОТН);</w:t>
            </w:r>
          </w:p>
          <w:p>
            <w:pPr>
              <w:pStyle w:val="ListParagraph"/>
              <w:numPr>
                <w:ilvl w:val="0"/>
                <w:numId w:val="14"/>
              </w:numPr>
              <w:rPr>
                <w:color w:themeColor="text1" w:themeShade="80" w:val="1E1E1E"/>
              </w:rPr>
            </w:pPr>
            <w:r>
              <w:rPr>
                <w:color w:themeColor="text1" w:themeShade="80" w:val="1E1E1E"/>
              </w:rPr>
              <w:t xml:space="preserve">систему охранной и тревожной сигнализации (СОТС); </w:t>
            </w:r>
          </w:p>
          <w:p>
            <w:pPr>
              <w:pStyle w:val="ListParagraph"/>
              <w:numPr>
                <w:ilvl w:val="0"/>
                <w:numId w:val="14"/>
              </w:numPr>
              <w:rPr>
                <w:color w:themeColor="text1" w:themeShade="80" w:val="1E1E1E"/>
              </w:rPr>
            </w:pPr>
            <w:r>
              <w:rPr>
                <w:color w:themeColor="text1" w:themeShade="80" w:val="1E1E1E"/>
              </w:rPr>
              <w:t>систему пожарной сигнализации для модульных объектов с передачей дублирующего сигнала в единый центр;</w:t>
            </w:r>
          </w:p>
          <w:p>
            <w:pPr>
              <w:pStyle w:val="ListParagraph"/>
              <w:numPr>
                <w:ilvl w:val="0"/>
                <w:numId w:val="14"/>
              </w:numPr>
              <w:rPr>
                <w:color w:themeColor="text1" w:themeShade="80" w:val="1E1E1E"/>
              </w:rPr>
            </w:pPr>
            <w:r>
              <w:rPr>
                <w:color w:themeColor="text1" w:themeShade="80" w:val="1E1E1E"/>
              </w:rPr>
              <w:t>систему контроля управления доступом (СКУД);</w:t>
            </w:r>
          </w:p>
          <w:p>
            <w:pPr>
              <w:pStyle w:val="ListParagraph"/>
              <w:numPr>
                <w:ilvl w:val="0"/>
                <w:numId w:val="14"/>
              </w:numPr>
              <w:rPr>
                <w:color w:themeColor="text1" w:themeShade="80" w:val="1E1E1E"/>
              </w:rPr>
            </w:pPr>
            <w:r>
              <w:rPr>
                <w:color w:themeColor="text1" w:themeShade="80" w:val="1E1E1E"/>
              </w:rPr>
              <w:t>систему связи и оповещения (ССО) с установкой оборудования на каждом объекте и системой управления в ПУОТБ в соответствии со схемой, предоставляемой заказчиком.</w:t>
            </w:r>
          </w:p>
          <w:p>
            <w:pPr>
              <w:pStyle w:val="ListParagraph"/>
              <w:numPr>
                <w:ilvl w:val="0"/>
                <w:numId w:val="14"/>
              </w:numPr>
              <w:rPr>
                <w:color w:themeColor="text1" w:themeShade="80" w:val="1E1E1E"/>
              </w:rPr>
            </w:pPr>
            <w:r>
              <w:rPr>
                <w:color w:themeColor="text1" w:themeShade="80" w:val="1E1E1E"/>
              </w:rPr>
              <w:t>систему электропитания и охранного освещения (ЭС);</w:t>
            </w:r>
          </w:p>
          <w:p>
            <w:pPr>
              <w:pStyle w:val="ListParagraph"/>
              <w:numPr>
                <w:ilvl w:val="0"/>
                <w:numId w:val="14"/>
              </w:numPr>
              <w:rPr>
                <w:color w:themeColor="text1" w:themeShade="80" w:val="1E1E1E"/>
              </w:rPr>
            </w:pPr>
            <w:r>
              <w:rPr>
                <w:color w:themeColor="text1" w:themeShade="80" w:val="1E1E1E"/>
              </w:rPr>
              <w:t>систему мониторинга технического состояния оборудования (СМ) с выводом информации на ПУОТБ, обслуживающего данные объекты;</w:t>
            </w:r>
          </w:p>
          <w:p>
            <w:pPr>
              <w:pStyle w:val="ListParagraph"/>
              <w:numPr>
                <w:ilvl w:val="0"/>
                <w:numId w:val="14"/>
              </w:numPr>
              <w:rPr>
                <w:color w:themeColor="text1" w:themeShade="80" w:val="1E1E1E"/>
              </w:rPr>
            </w:pPr>
            <w:r>
              <w:rPr>
                <w:color w:themeColor="text1" w:themeShade="80" w:val="1E1E1E"/>
              </w:rPr>
              <w:t>систему информационной безопасности для проектируемых систем ИТСОТБ.</w:t>
            </w:r>
          </w:p>
          <w:p>
            <w:pPr>
              <w:pStyle w:val="ListParagraph"/>
              <w:numPr>
                <w:ilvl w:val="1"/>
                <w:numId w:val="11"/>
              </w:numPr>
              <w:rPr>
                <w:color w:themeColor="text1" w:themeShade="80" w:val="1E1E1E"/>
              </w:rPr>
            </w:pPr>
            <w:r>
              <w:rPr>
                <w:color w:themeColor="text1" w:themeShade="80" w:val="1E1E1E"/>
              </w:rPr>
              <w:t>Состав проектной документации (включая документацию по выбору земельных участков) принять с учетом требований Градостроительного кодекса РФ от 29.12.2004 № 190-ФЗ (с изменениями и дополнениями от 10.06.2026 г.). Земельного кодекса РФ от 25.10.2001 № 136-ФЗ (с изменениями и дополнениями от 02.05.2026 г.), Федерального закона от 24.07.2007 № 221-ФЗ «О государственном кадастре недвижимости» (с изменениями и дополнениями от 31.07.2025 г.); Постановления Правительства Российской Федерации от 16.02.2008 № 87 «О составе разделов проектной документации и требованиях к их содержанию» (с изменениями и дополнениями от 21.10.2025 г.), Приказ Федеральной службы государственной регистрации, кадастра и картографии от 14 декабря 2021 г. № П/0592 "Об утверждении формы и состава сведений межевого плана, требований к его подготовке" (с изменениями и дополнениями от 24.07.2025 г)</w:t>
            </w:r>
            <w:r>
              <w:rPr>
                <w:bCs/>
                <w:color w:themeColor="text1" w:themeShade="80" w:val="1E1E1E"/>
                <w:spacing w:val="2"/>
                <w:kern w:val="2"/>
              </w:rPr>
              <w:t>.</w:t>
            </w:r>
          </w:p>
          <w:p>
            <w:pPr>
              <w:pStyle w:val="ListParagraph"/>
              <w:numPr>
                <w:ilvl w:val="1"/>
                <w:numId w:val="11"/>
              </w:numPr>
              <w:rPr>
                <w:color w:themeColor="text1" w:themeShade="80" w:val="1E1E1E"/>
              </w:rPr>
            </w:pPr>
            <w:r>
              <w:rPr>
                <w:color w:themeColor="text1" w:themeShade="80" w:val="1E1E1E"/>
                <w:lang w:val="x-none" w:eastAsia="x-none"/>
              </w:rPr>
              <w:t xml:space="preserve">Подготовить материалы, составить, согласовать и утвердить со всеми заинтересованными организациями проект планировки территории и проект межевания территории (ст. 41-43, 45 Градостроительного кодекса РФ). Проект планировки территории и проект межевания территории подготовить в </w:t>
            </w:r>
            <w:r>
              <w:rPr>
                <w:color w:themeColor="text1" w:themeShade="80" w:val="1E1E1E"/>
                <w:lang w:eastAsia="x-none"/>
              </w:rPr>
              <w:t xml:space="preserve">соответствии с требованиями действующего законодательства Российской Федерации и настоящего задания на проектирование </w:t>
            </w:r>
            <w:r>
              <w:rPr>
                <w:color w:val="FF0000"/>
                <w:lang w:eastAsia="x-none"/>
              </w:rPr>
              <w:t>(Приложение №1 к ТЗ)</w:t>
            </w:r>
            <w:r>
              <w:rPr>
                <w:color w:themeColor="text1" w:themeShade="80" w:val="1E1E1E"/>
                <w:lang w:val="x-none" w:eastAsia="x-none"/>
              </w:rPr>
              <w:t>.</w:t>
            </w:r>
          </w:p>
          <w:p>
            <w:pPr>
              <w:pStyle w:val="ListParagraph"/>
              <w:numPr>
                <w:ilvl w:val="1"/>
                <w:numId w:val="11"/>
              </w:numPr>
              <w:rPr>
                <w:color w:themeColor="text1" w:themeShade="80" w:val="1E1E1E"/>
              </w:rPr>
            </w:pPr>
            <w:r>
              <w:rPr>
                <w:color w:themeColor="text1" w:themeShade="80" w:val="1E1E1E"/>
                <w:lang w:val="x-none" w:eastAsia="x-none"/>
              </w:rPr>
              <w:t>Разработать документацию по планировке территории, включающую в себя проект межевания и проект планировки территории в соответстви</w:t>
            </w:r>
            <w:r>
              <w:rPr>
                <w:color w:themeColor="text1" w:themeShade="80" w:val="1E1E1E"/>
                <w:lang w:eastAsia="x-none"/>
              </w:rPr>
              <w:t>и</w:t>
            </w:r>
            <w:r>
              <w:rPr>
                <w:color w:themeColor="text1" w:themeShade="80" w:val="1E1E1E"/>
                <w:lang w:val="x-none" w:eastAsia="x-none"/>
              </w:rPr>
              <w:t xml:space="preserve"> с требованиями </w:t>
            </w:r>
            <w:r>
              <w:rPr>
                <w:color w:themeColor="text1" w:themeShade="80" w:val="1E1E1E"/>
                <w:lang w:eastAsia="x-none"/>
              </w:rPr>
              <w:t xml:space="preserve">действующего законодательства Российской Федерации и настоящего задания на проектирование </w:t>
            </w:r>
            <w:r>
              <w:rPr>
                <w:color w:val="FF0000"/>
                <w:lang w:eastAsia="x-none"/>
              </w:rPr>
              <w:t>(Приложение №1 к ТЗ)</w:t>
            </w:r>
          </w:p>
          <w:p>
            <w:pPr>
              <w:pStyle w:val="ListParagraph"/>
              <w:numPr>
                <w:ilvl w:val="1"/>
                <w:numId w:val="11"/>
              </w:numPr>
              <w:rPr>
                <w:color w:themeColor="text1" w:themeShade="80" w:val="1E1E1E"/>
              </w:rPr>
            </w:pPr>
            <w:r>
              <w:rPr>
                <w:bCs/>
                <w:color w:themeColor="text1" w:themeShade="80" w:val="1E1E1E"/>
              </w:rPr>
              <w:t>Предоставление Заказчику обоснованных принятых технических решений, а также типа и количества предлагаемых к установке инженерно-технических средств (систем) с учетом их предварительной стоимости (окончательная будет определена по итогам выполненных работ), до начала выполнения проектных работ.</w:t>
            </w:r>
          </w:p>
          <w:p>
            <w:pPr>
              <w:pStyle w:val="ListParagraph"/>
              <w:numPr>
                <w:ilvl w:val="1"/>
                <w:numId w:val="11"/>
              </w:numPr>
              <w:rPr>
                <w:color w:themeColor="text1" w:themeShade="80" w:val="1E1E1E"/>
              </w:rPr>
            </w:pPr>
            <w:r>
              <w:rPr>
                <w:color w:themeColor="text1" w:themeShade="80" w:val="1E1E1E"/>
              </w:rPr>
              <w:t>Согласование проектной-сметной документации с представителями ресурсоснабжающих организаций, операторами связи со специалистами ТБ Заказчика. Иные согласования определяются Заказчиком.</w:t>
            </w:r>
          </w:p>
          <w:p>
            <w:pPr>
              <w:pStyle w:val="ListParagraph"/>
              <w:numPr>
                <w:ilvl w:val="1"/>
                <w:numId w:val="11"/>
              </w:numPr>
              <w:rPr>
                <w:color w:themeColor="text1" w:themeShade="80" w:val="1E1E1E"/>
              </w:rPr>
            </w:pPr>
            <w:r>
              <w:rPr>
                <w:color w:themeColor="text1" w:themeShade="80" w:val="1E1E1E"/>
              </w:rPr>
              <w:t>В случае возникновения необходимости обеспечить внесение изменений в планы обеспечения транспортной безопасности и проведения дополнительной оценки уязвимости объектов транспортной инфраструктуры.</w:t>
            </w:r>
          </w:p>
          <w:p>
            <w:pPr>
              <w:pStyle w:val="ListParagraph"/>
              <w:numPr>
                <w:ilvl w:val="1"/>
                <w:numId w:val="11"/>
              </w:numPr>
              <w:spacing w:before="120" w:after="120"/>
              <w:contextualSpacing/>
              <w:rPr>
                <w:color w:themeColor="text1" w:themeShade="80" w:val="1E1E1E"/>
              </w:rPr>
            </w:pPr>
            <w:r>
              <w:rPr>
                <w:bCs/>
                <w:color w:themeColor="text1" w:themeShade="80" w:val="1E1E1E"/>
              </w:rPr>
              <w:t>Проверка достоверности определения сметной стоимости объекта в уполномоченной</w:t>
            </w:r>
            <w:r>
              <w:rPr>
                <w:color w:themeColor="text1" w:themeShade="80" w:val="1E1E1E"/>
              </w:rPr>
              <w:t xml:space="preserve"> </w:t>
            </w:r>
            <w:r>
              <w:rPr>
                <w:bCs/>
                <w:color w:themeColor="text1" w:themeShade="80" w:val="1E1E1E"/>
              </w:rPr>
              <w:t xml:space="preserve">экспертной организации. </w:t>
            </w:r>
            <w:r>
              <w:rPr>
                <w:bCs/>
              </w:rPr>
              <w:t>Уполномоченная организация определяется Заказчиком. Проектная организация осуществляет сопровождение документации в органах экспертизы в части определения достоверности сметной стоимости.</w:t>
            </w:r>
          </w:p>
        </w:tc>
      </w:tr>
      <w:tr>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11.Общие требования к проектной документации</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15"/>
              </w:numPr>
              <w:spacing w:before="120" w:after="120"/>
              <w:ind w:hanging="360" w:start="379"/>
              <w:contextualSpacing/>
              <w:rPr>
                <w:color w:themeColor="text1" w:themeShade="80" w:val="1E1E1E"/>
              </w:rPr>
            </w:pPr>
            <w:r>
              <w:rPr>
                <w:color w:themeColor="text1" w:themeShade="80" w:val="1E1E1E"/>
              </w:rPr>
              <w:t>Проектную документацию разработать в соответствии с Постановлением Правительства РФ от 16 февраля 2008 г. № 87 «О составе разделов проектной документации и требованиях к их содержанию» (с изменениями и дополнениями от 21.10.2025 г.);</w:t>
            </w:r>
          </w:p>
          <w:p>
            <w:pPr>
              <w:pStyle w:val="ListParagraph"/>
              <w:numPr>
                <w:ilvl w:val="0"/>
                <w:numId w:val="15"/>
              </w:numPr>
              <w:ind w:hanging="360" w:start="379"/>
              <w:rPr>
                <w:color w:themeColor="text1" w:themeShade="80" w:val="1E1E1E"/>
              </w:rPr>
            </w:pPr>
            <w:r>
              <w:rPr>
                <w:color w:themeColor="text1" w:themeShade="80" w:val="1E1E1E"/>
              </w:rPr>
              <w:t>Проектную документацию разработать в соответствии с "СП 35.13330.2011. Свод правил. Мосты и трубы. Актуализированная редакция СНиП 2.05.03-84*" (с изм. №5 от 20.09.2024), СП 52.13330.2016 "СНиП 23-05-95* Естественное и искусственное освещение" (с изм. от 28.12.2021), «Правилами устройства электроустановок (ПУЭ). Седьмое издание» и Отраслевой дорожный методический документ ОДМ 218.4.005-2010 "Рекомендации по обеспечению безопасности движения на автомобильных дорогах" (рекомендован распоряжением Федерального дорожного агентства от 12 января 2011 г. № 13-р).</w:t>
            </w:r>
          </w:p>
          <w:p>
            <w:pPr>
              <w:pStyle w:val="ListParagraph"/>
              <w:numPr>
                <w:ilvl w:val="0"/>
                <w:numId w:val="15"/>
              </w:numPr>
              <w:ind w:hanging="360" w:start="379"/>
              <w:rPr>
                <w:color w:themeColor="text1" w:themeShade="80" w:val="1E1E1E"/>
              </w:rPr>
            </w:pPr>
            <w:r>
              <w:rPr>
                <w:color w:themeColor="text1" w:themeShade="80" w:val="1E1E1E"/>
              </w:rPr>
              <w:t xml:space="preserve">Сметную стоимость определить с использованием сметно-нормативной базы, внесенной в Федеральный реестр сметных нормативов в уровне цен квартала сдачи Документации в органы государственной экспертизы. Метод определения сметной стоимости принять в соответствии с действующим законодательством (согласовать с заказчиком). Сметную стоимость объекта определить с использованием индексов удорожания </w:t>
            </w:r>
          </w:p>
          <w:p>
            <w:pPr>
              <w:pStyle w:val="ListParagraph"/>
              <w:numPr>
                <w:ilvl w:val="0"/>
                <w:numId w:val="15"/>
              </w:numPr>
              <w:ind w:hanging="360" w:start="379"/>
              <w:rPr>
                <w:color w:themeColor="text1" w:themeShade="80" w:val="1E1E1E"/>
              </w:rPr>
            </w:pPr>
            <w:r>
              <w:rPr>
                <w:color w:themeColor="text1" w:themeShade="80" w:val="1E1E1E"/>
              </w:rPr>
              <w:t>Продолжительность работ по устройству инженерно-технических систем обеспечения транспортной безопасности на наиболее уязвимых объектах транспортной инфраструктуры – принять на основе проекта организации строительства.</w:t>
            </w:r>
          </w:p>
          <w:p>
            <w:pPr>
              <w:pStyle w:val="ListParagraph"/>
              <w:numPr>
                <w:ilvl w:val="0"/>
                <w:numId w:val="15"/>
              </w:numPr>
              <w:ind w:hanging="360" w:start="379"/>
              <w:rPr>
                <w:color w:themeColor="text1" w:themeShade="80" w:val="1E1E1E"/>
              </w:rPr>
            </w:pPr>
            <w:r>
              <w:rPr>
                <w:color w:themeColor="text1" w:themeShade="80" w:val="1E1E1E"/>
              </w:rPr>
              <w:t xml:space="preserve">Применение зарубежных машин, механизмов, оборудования, материалов, конструкций и технологий при отсутствии отечественных аналогов, согласовать с Заказчиком, представить рекомендации по применению строительных материалов, конструкций и изделий. </w:t>
            </w:r>
          </w:p>
          <w:p>
            <w:pPr>
              <w:pStyle w:val="ListParagraph"/>
              <w:numPr>
                <w:ilvl w:val="0"/>
                <w:numId w:val="15"/>
              </w:numPr>
              <w:ind w:hanging="360" w:start="379"/>
              <w:rPr>
                <w:color w:themeColor="text1" w:themeShade="80" w:val="1E1E1E"/>
              </w:rPr>
            </w:pPr>
            <w:r>
              <w:rPr>
                <w:color w:themeColor="text1" w:themeShade="80" w:val="1E1E1E"/>
              </w:rPr>
              <w:t>При проектировании инженерно-технических систем приоритетными являются системы отечественной разработки. Применение зарубежного оборудования, материалов, конструкций возможно при отсутствии отечественных аналогов с технико-экономическим обоснованием и по согласованию с Заказчиком.</w:t>
            </w:r>
          </w:p>
          <w:p>
            <w:pPr>
              <w:pStyle w:val="ListParagraph"/>
              <w:numPr>
                <w:ilvl w:val="0"/>
                <w:numId w:val="15"/>
              </w:numPr>
              <w:ind w:hanging="360" w:start="379"/>
              <w:rPr>
                <w:color w:themeColor="text1" w:themeShade="80" w:val="1E1E1E"/>
              </w:rPr>
            </w:pPr>
            <w:r>
              <w:rPr>
                <w:color w:themeColor="text1" w:themeShade="80" w:val="1E1E1E"/>
              </w:rPr>
              <w:t>План объекта транспортной инфраструктуры выполнить в масштабе 1:2000 (на сложные и застроенные участки представить планы в масштабе основной 1:1000, допускаемый 1:500). Окончательные требования определить в задании на выполнение изыскательских работ, утверждаемых Заказчиком.</w:t>
            </w:r>
          </w:p>
          <w:p>
            <w:pPr>
              <w:pStyle w:val="ListParagraph"/>
              <w:numPr>
                <w:ilvl w:val="0"/>
                <w:numId w:val="15"/>
              </w:numPr>
              <w:spacing w:before="120" w:after="120"/>
              <w:ind w:hanging="360" w:start="379"/>
              <w:contextualSpacing/>
              <w:rPr>
                <w:color w:themeColor="text1" w:themeShade="80" w:val="1E1E1E"/>
              </w:rPr>
            </w:pPr>
            <w:r>
              <w:rPr>
                <w:color w:themeColor="text1" w:themeShade="80" w:val="1E1E1E"/>
              </w:rPr>
              <w:t xml:space="preserve">Мероприятия по обеспечению информационной безопасности для систем ИТСОТБ должны содержать данные, обосновывающие применение технических и организационных мероприятий, обеспечивающих защищенность проектируемых ИТСОТБ. </w:t>
            </w:r>
          </w:p>
        </w:tc>
      </w:tr>
      <w:tr>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rFonts w:eastAsia="Times New Roman" w:cs="Times New Roman"/>
                <w:b/>
                <w:color w:themeColor="text1" w:themeShade="80" w:val="1E1E1E"/>
                <w:lang w:eastAsia="ar-SA"/>
              </w:rPr>
              <w:t>12.Основные требования к проектным решениям</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widowControl w:val="false"/>
              <w:numPr>
                <w:ilvl w:val="0"/>
                <w:numId w:val="16"/>
              </w:numPr>
              <w:spacing w:before="120" w:after="0"/>
              <w:ind w:hanging="360" w:start="379"/>
              <w:contextualSpacing/>
              <w:rPr>
                <w:color w:themeColor="text1" w:themeShade="80" w:val="1E1E1E"/>
              </w:rPr>
            </w:pPr>
            <w:r>
              <w:rPr>
                <w:color w:themeColor="text1" w:themeShade="80" w:val="1E1E1E"/>
              </w:rPr>
              <w:t xml:space="preserve">Разрабатываемые решения по ИТСОТБ должны учитывать существующие архитектурные решения и должны быть согласованы с владельцами инфраструктуры на этапе проектирования при взаимодействии Заказчика. </w:t>
            </w:r>
            <w:r>
              <w:rPr/>
              <w:t>Запросы на согласование подготавливаются Исполнителем и направляются в адрес владельцев инфраструктуры Заказчиком.</w:t>
            </w:r>
          </w:p>
          <w:p>
            <w:pPr>
              <w:pStyle w:val="ListParagraph"/>
              <w:widowControl w:val="false"/>
              <w:numPr>
                <w:ilvl w:val="0"/>
                <w:numId w:val="16"/>
              </w:numPr>
              <w:spacing w:before="0" w:after="0"/>
              <w:ind w:hanging="357" w:start="357"/>
              <w:contextualSpacing/>
              <w:rPr>
                <w:color w:themeColor="text1" w:themeShade="80" w:val="1E1E1E"/>
              </w:rPr>
            </w:pPr>
            <w:r>
              <w:rPr>
                <w:color w:themeColor="text1" w:themeShade="80" w:val="1E1E1E"/>
                <w:shd w:fill="FFFFFF" w:val="clear"/>
              </w:rPr>
              <w:t>Возможное влияние на несущую способность объектов от проектируемых системы ИТСОТБ определить при проектировании и предоставить заказчику предварительный перечень необходимых мероприятий, компенсирующих влияние.</w:t>
            </w:r>
          </w:p>
          <w:p>
            <w:pPr>
              <w:pStyle w:val="ListParagraph"/>
              <w:widowControl w:val="false"/>
              <w:numPr>
                <w:ilvl w:val="0"/>
                <w:numId w:val="16"/>
              </w:numPr>
              <w:spacing w:before="120" w:after="0"/>
              <w:ind w:hanging="360" w:start="379"/>
              <w:contextualSpacing/>
              <w:rPr>
                <w:color w:themeColor="text1" w:themeShade="80" w:val="1E1E1E"/>
              </w:rPr>
            </w:pPr>
            <w:r>
              <w:rPr>
                <w:color w:themeColor="text1" w:themeShade="80" w:val="1E1E1E"/>
                <w:lang w:bidi="ru-RU"/>
              </w:rPr>
              <w:t>Размещение проектируемых устройств ИТСОТБ должно быть выполнено с учетом минимизации последствий аварийных ситуаций.</w:t>
            </w:r>
          </w:p>
          <w:p>
            <w:pPr>
              <w:pStyle w:val="ListParagraph"/>
              <w:widowControl w:val="false"/>
              <w:numPr>
                <w:ilvl w:val="0"/>
                <w:numId w:val="16"/>
              </w:numPr>
              <w:spacing w:before="120" w:after="0"/>
              <w:ind w:hanging="360" w:start="379"/>
              <w:contextualSpacing/>
              <w:rPr>
                <w:color w:themeColor="text1" w:themeShade="80" w:val="1E1E1E"/>
              </w:rPr>
            </w:pPr>
            <w:r>
              <w:rPr>
                <w:color w:themeColor="text1" w:themeShade="80" w:val="1E1E1E"/>
                <w:lang w:bidi="ru-RU"/>
              </w:rPr>
              <w:t>Решения по размещению ИТСОТБ на объектах должны учитывать технологию обслуживания сооружения и минимизировать влияние на технологию этих работ.</w:t>
            </w:r>
          </w:p>
          <w:p>
            <w:pPr>
              <w:pStyle w:val="ListParagraph"/>
              <w:widowControl w:val="false"/>
              <w:numPr>
                <w:ilvl w:val="0"/>
                <w:numId w:val="16"/>
              </w:numPr>
              <w:spacing w:before="120" w:after="0"/>
              <w:ind w:hanging="360" w:start="379"/>
              <w:contextualSpacing/>
              <w:rPr>
                <w:color w:themeColor="text1" w:themeShade="80" w:val="1E1E1E"/>
              </w:rPr>
            </w:pPr>
            <w:r>
              <w:rPr>
                <w:color w:themeColor="text1" w:themeShade="80" w:val="1E1E1E"/>
                <w:lang w:bidi="ru-RU"/>
              </w:rPr>
              <w:t>Устанавливаемые пункты управления системами обеспечения транспортной безопасности должны быть организованы с возможностью подхода / подъезда автотранспорта к ним с учётом существующей УДС и местных проездов.</w:t>
            </w:r>
          </w:p>
        </w:tc>
      </w:tr>
      <w:tr>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 xml:space="preserve">13.Общие технические требования к ИТСОТБ </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17"/>
              </w:numPr>
              <w:spacing w:before="120" w:after="120"/>
              <w:ind w:hanging="379" w:start="379"/>
              <w:contextualSpacing/>
              <w:rPr>
                <w:color w:themeColor="text1" w:themeShade="80" w:val="1E1E1E"/>
              </w:rPr>
            </w:pPr>
            <w:r>
              <w:rPr>
                <w:color w:themeColor="text1" w:themeShade="80" w:val="1E1E1E"/>
              </w:rPr>
              <w:t>Комплекс ИТСОТБ ОТИ должен обеспечивать круглосуточное, непрерывное функционирование средств и систем ОТИ, а также накопление, обработку и хранение в электронном виде данных со всех технических средств обеспечения транспортной безопасности и передачу указанных данных в соответствии с установленным порядком и действующими нормативными документами. Комплекс должен быть модульным и иметь функциональную взаимосвязь всех входящих в него систем, как на программном, так и аппаратном уровнях. Система защиты должна иметь возможность различного конфигурирования - от интеграции систем, включающих в себя несколько подсистем, объединённых на основе локальной вычислительной сети, до автономно работающих мини-систем и отдельных модулей, из которых возможна компоновка системы, соответствующей текущим задачам обеспечения безопасности объекта.</w:t>
            </w:r>
          </w:p>
          <w:p>
            <w:pPr>
              <w:pStyle w:val="ListParagraph"/>
              <w:ind w:start="379"/>
              <w:rPr>
                <w:color w:themeColor="text1" w:themeShade="80" w:val="1E1E1E"/>
              </w:rPr>
            </w:pPr>
            <w:r>
              <w:rPr>
                <w:color w:themeColor="text1" w:themeShade="80" w:val="1E1E1E"/>
              </w:rPr>
              <w:t>При выборе оборудования для ИТСОТБ необходимо обеспечить совместимость и работоспособность с оборудованием единого пункта управления (ЕПУ).</w:t>
            </w:r>
          </w:p>
          <w:p>
            <w:pPr>
              <w:pStyle w:val="ListParagraph"/>
              <w:ind w:start="379"/>
              <w:rPr>
                <w:color w:themeColor="text1" w:themeShade="80" w:val="1E1E1E"/>
              </w:rPr>
            </w:pPr>
            <w:r>
              <w:rPr>
                <w:color w:themeColor="text1" w:themeShade="80" w:val="1E1E1E"/>
                <w:sz w:val="22"/>
                <w:szCs w:val="22"/>
                <w:lang w:eastAsia="ar-SA"/>
              </w:rPr>
              <w:t>ИТСОТБ ОТИ должны быть построены на принципах модульности и функциональной взаимосвязи всех входящих в неё систем, как на программном, так и аппаратном уровнях.</w:t>
            </w:r>
          </w:p>
          <w:p>
            <w:pPr>
              <w:pStyle w:val="ListParagraph"/>
              <w:numPr>
                <w:ilvl w:val="0"/>
                <w:numId w:val="17"/>
              </w:numPr>
              <w:ind w:hanging="379" w:start="379"/>
              <w:rPr>
                <w:i/>
                <w:color w:themeColor="text1" w:themeShade="80" w:val="1E1E1E"/>
              </w:rPr>
            </w:pPr>
            <w:r>
              <w:rPr>
                <w:color w:themeColor="text1" w:themeShade="80" w:val="1E1E1E"/>
              </w:rPr>
              <w:t>Комплекс ИТСОТБ должен обеспечивать реализацию следующих функций:</w:t>
            </w:r>
          </w:p>
          <w:p>
            <w:pPr>
              <w:pStyle w:val="ListParagraph"/>
              <w:numPr>
                <w:ilvl w:val="0"/>
                <w:numId w:val="18"/>
              </w:numPr>
              <w:rPr>
                <w:i/>
                <w:color w:themeColor="text1" w:themeShade="80" w:val="1E1E1E"/>
              </w:rPr>
            </w:pPr>
            <w:r>
              <w:rPr>
                <w:color w:themeColor="text1" w:themeShade="80" w:val="1E1E1E"/>
              </w:rPr>
              <w:t>круглосуточный режим функционирования оборудования ИТСОТБ;</w:t>
            </w:r>
          </w:p>
          <w:p>
            <w:pPr>
              <w:pStyle w:val="ListParagraph"/>
              <w:numPr>
                <w:ilvl w:val="0"/>
                <w:numId w:val="18"/>
              </w:numPr>
              <w:rPr>
                <w:i/>
                <w:color w:themeColor="text1" w:themeShade="80" w:val="1E1E1E"/>
              </w:rPr>
            </w:pPr>
            <w:r>
              <w:rPr>
                <w:color w:themeColor="text1" w:themeShade="80" w:val="1E1E1E"/>
              </w:rPr>
              <w:t>непрерывный, независимо от времени суток, контроль за подходами к объекту, критическими элементами и/или его границами, зоной транспортной безопасности;</w:t>
            </w:r>
          </w:p>
          <w:p>
            <w:pPr>
              <w:pStyle w:val="ListParagraph"/>
              <w:numPr>
                <w:ilvl w:val="0"/>
                <w:numId w:val="18"/>
              </w:numPr>
              <w:rPr>
                <w:color w:themeColor="text1" w:themeShade="80" w:val="1E1E1E"/>
              </w:rPr>
            </w:pPr>
            <w:r>
              <w:rPr>
                <w:color w:themeColor="text1" w:themeShade="80" w:val="1E1E1E"/>
              </w:rPr>
              <w:t xml:space="preserve">осуществление хранение информации на электронных носителях со всех технических систем обеспечения транспортной безопасности в течение 30 суток (для объектов </w:t>
            </w:r>
            <w:r>
              <w:rPr>
                <w:color w:themeColor="text1" w:themeShade="80" w:val="1E1E1E"/>
                <w:lang w:val="en-US"/>
              </w:rPr>
              <w:t>I</w:t>
            </w:r>
            <w:r>
              <w:rPr>
                <w:color w:themeColor="text1" w:themeShade="80" w:val="1E1E1E"/>
              </w:rPr>
              <w:t xml:space="preserve"> категории); </w:t>
            </w:r>
          </w:p>
          <w:p>
            <w:pPr>
              <w:pStyle w:val="ListParagraph"/>
              <w:numPr>
                <w:ilvl w:val="0"/>
                <w:numId w:val="18"/>
              </w:numPr>
              <w:rPr>
                <w:color w:themeColor="text1" w:themeShade="80" w:val="1E1E1E"/>
              </w:rPr>
            </w:pPr>
            <w:r>
              <w:rPr>
                <w:color w:themeColor="text1" w:themeShade="80" w:val="1E1E1E"/>
              </w:rPr>
              <w:t xml:space="preserve">регистрацию, архивирование и автоматическую передачу информации с технических средств </w:t>
            </w:r>
            <w:r>
              <w:rPr>
                <w:bCs/>
                <w:color w:themeColor="text1" w:themeShade="80" w:val="1E1E1E"/>
              </w:rPr>
              <w:t>обеспечения транспортной безопасности,</w:t>
            </w:r>
            <w:r>
              <w:rPr>
                <w:color w:themeColor="text1" w:themeShade="80" w:val="1E1E1E"/>
              </w:rPr>
              <w:t xml:space="preserve"> в режиме реального времени;</w:t>
            </w:r>
          </w:p>
          <w:p>
            <w:pPr>
              <w:pStyle w:val="ListParagraph"/>
              <w:numPr>
                <w:ilvl w:val="0"/>
                <w:numId w:val="18"/>
              </w:numPr>
              <w:rPr>
                <w:color w:themeColor="text1" w:themeShade="80" w:val="1E1E1E"/>
              </w:rPr>
            </w:pPr>
            <w:r>
              <w:rPr>
                <w:color w:themeColor="text1" w:themeShade="80" w:val="1E1E1E"/>
              </w:rPr>
              <w:t>видеозапись лиц, транспортных средств при входе/выходе, въезде/выезде в/на критический элемент и/или его границы, зону транспортной безопасности;</w:t>
            </w:r>
          </w:p>
          <w:p>
            <w:pPr>
              <w:pStyle w:val="ListParagraph"/>
              <w:numPr>
                <w:ilvl w:val="0"/>
                <w:numId w:val="18"/>
              </w:numPr>
              <w:rPr>
                <w:color w:themeColor="text1" w:themeShade="80" w:val="1E1E1E"/>
              </w:rPr>
            </w:pPr>
            <w:r>
              <w:rPr>
                <w:color w:themeColor="text1" w:themeShade="80" w:val="1E1E1E"/>
              </w:rPr>
              <w:t>оповещение подразделений транспортной безопасности о попытках проникновения в зону транспортной безопасности, в/на критический элемент и/или его границы;</w:t>
            </w:r>
          </w:p>
          <w:p>
            <w:pPr>
              <w:pStyle w:val="ListParagraph"/>
              <w:numPr>
                <w:ilvl w:val="0"/>
                <w:numId w:val="18"/>
              </w:numPr>
              <w:rPr>
                <w:color w:themeColor="text1" w:themeShade="80" w:val="1E1E1E"/>
              </w:rPr>
            </w:pPr>
            <w:r>
              <w:rPr>
                <w:color w:themeColor="text1" w:themeShade="80" w:val="1E1E1E"/>
              </w:rPr>
              <w:t xml:space="preserve">инженерно - техническую защиту критических элементов от внешнего воздействия, которое может привести к полному или частичному прекращению их функционирования и/или возникновению чрезвычайных ситуаций; </w:t>
            </w:r>
          </w:p>
          <w:p>
            <w:pPr>
              <w:pStyle w:val="ListParagraph"/>
              <w:numPr>
                <w:ilvl w:val="0"/>
                <w:numId w:val="18"/>
              </w:numPr>
              <w:rPr>
                <w:color w:themeColor="text1" w:themeShade="80" w:val="1E1E1E"/>
              </w:rPr>
            </w:pPr>
            <w:r>
              <w:rPr>
                <w:color w:themeColor="text1" w:themeShade="80" w:val="1E1E1E"/>
              </w:rPr>
              <w:t>обеспечение прохода и/или проезда лиц и/или транспортных средств в/через зону транспортной безопасности объекта, только через установленные места;</w:t>
            </w:r>
          </w:p>
          <w:p>
            <w:pPr>
              <w:pStyle w:val="ListParagraph"/>
              <w:numPr>
                <w:ilvl w:val="0"/>
                <w:numId w:val="18"/>
              </w:numPr>
              <w:rPr>
                <w:color w:themeColor="text1" w:themeShade="80" w:val="1E1E1E"/>
              </w:rPr>
            </w:pPr>
            <w:r>
              <w:rPr>
                <w:color w:themeColor="text1" w:themeShade="80" w:val="1E1E1E"/>
              </w:rPr>
              <w:t>электропитание технических средств должно быть бесперебойным и осуществляться либо от двух независимых источников переменного тока, либо от одного источника переменного тока с автоматическим переключением в аварийном режиме на резервное питание и должно быть выполнено в соответствии с требованиями ВНП-001-95 и при необходимости использование ДГА, время работы от резерва определить при проектировании;</w:t>
            </w:r>
          </w:p>
          <w:p>
            <w:pPr>
              <w:pStyle w:val="ListParagraph"/>
              <w:numPr>
                <w:ilvl w:val="0"/>
                <w:numId w:val="18"/>
              </w:numPr>
              <w:rPr>
                <w:color w:themeColor="text1" w:themeShade="80" w:val="1E1E1E"/>
              </w:rPr>
            </w:pPr>
            <w:r>
              <w:rPr>
                <w:color w:themeColor="text1" w:themeShade="80" w:val="1E1E1E"/>
              </w:rPr>
              <w:t>технические средства должны обеспечивать свои характеристики при работе от электрической сети напряжением 380/220В, частотой 50Гц;</w:t>
            </w:r>
          </w:p>
          <w:p>
            <w:pPr>
              <w:pStyle w:val="ListParagraph"/>
              <w:numPr>
                <w:ilvl w:val="0"/>
                <w:numId w:val="18"/>
              </w:numPr>
              <w:rPr>
                <w:color w:themeColor="text1" w:themeShade="80" w:val="1E1E1E"/>
              </w:rPr>
            </w:pPr>
            <w:r>
              <w:rPr>
                <w:color w:themeColor="text1" w:themeShade="80" w:val="1E1E1E"/>
              </w:rPr>
              <w:t>возможность модернизации (частичная замена оборудования, программного обеспечения без нарушения функционирования систем в целом) ИТСОТБ в процессе эксплуатации;</w:t>
            </w:r>
          </w:p>
          <w:p>
            <w:pPr>
              <w:pStyle w:val="ListParagraph"/>
              <w:numPr>
                <w:ilvl w:val="0"/>
                <w:numId w:val="18"/>
              </w:numPr>
              <w:rPr>
                <w:color w:themeColor="text1" w:themeShade="80" w:val="1E1E1E"/>
              </w:rPr>
            </w:pPr>
            <w:r>
              <w:rPr>
                <w:color w:themeColor="text1" w:themeShade="80" w:val="1E1E1E"/>
              </w:rPr>
              <w:t>конфигурация ИТСОТБ и применяемое оборудование должны обеспечивать возможность наращивания систем за счет расширения аппаратной и программной частей без нарушения работоспособности смонтированной системы;</w:t>
            </w:r>
          </w:p>
          <w:p>
            <w:pPr>
              <w:pStyle w:val="ListParagraph"/>
              <w:numPr>
                <w:ilvl w:val="0"/>
                <w:numId w:val="18"/>
              </w:numPr>
              <w:rPr>
                <w:color w:themeColor="text1" w:themeShade="80" w:val="1E1E1E"/>
              </w:rPr>
            </w:pPr>
            <w:r>
              <w:rPr>
                <w:color w:themeColor="text1" w:themeShade="80" w:val="1E1E1E"/>
              </w:rPr>
              <w:t>в ИТСОТБ должна быть предусмотрена потенциальная возможность увеличения обслуживаемой площади объекта (в случае дополнительного строительства или реорганизации объекта) и количества элементов ИТСОТБ;</w:t>
            </w:r>
          </w:p>
          <w:p>
            <w:pPr>
              <w:pStyle w:val="ListParagraph"/>
              <w:numPr>
                <w:ilvl w:val="0"/>
                <w:numId w:val="18"/>
              </w:numPr>
              <w:rPr>
                <w:i/>
                <w:color w:themeColor="text1" w:themeShade="80" w:val="1E1E1E"/>
                <w:u w:val="single"/>
              </w:rPr>
            </w:pPr>
            <w:r>
              <w:rPr>
                <w:color w:themeColor="text1" w:themeShade="80" w:val="1E1E1E"/>
              </w:rPr>
              <w:t>срок службы оборудования ИТСОТБ должен быть не менее 5 лет,</w:t>
            </w:r>
            <w:r>
              <w:rPr>
                <w:i/>
                <w:color w:themeColor="text1" w:themeShade="80" w:val="1E1E1E"/>
              </w:rPr>
              <w:t xml:space="preserve"> </w:t>
            </w:r>
            <w:r>
              <w:rPr>
                <w:color w:themeColor="text1" w:themeShade="80" w:val="1E1E1E"/>
              </w:rPr>
              <w:t xml:space="preserve">гарантийный срок не менее 1 года. </w:t>
            </w:r>
          </w:p>
          <w:p>
            <w:pPr>
              <w:pStyle w:val="ListParagraph"/>
              <w:numPr>
                <w:ilvl w:val="0"/>
                <w:numId w:val="19"/>
              </w:numPr>
              <w:ind w:hanging="379" w:start="379"/>
              <w:rPr>
                <w:color w:themeColor="text1" w:themeShade="80" w:val="1E1E1E"/>
              </w:rPr>
            </w:pPr>
            <w:r>
              <w:rPr>
                <w:color w:themeColor="text1" w:themeShade="80" w:val="1E1E1E"/>
              </w:rPr>
              <w:t>Необходимо предусмотреть в проектной документации разработку мероприятий по обеспечению пожарной безопасности в соответствии с требованиями действующих нормативных документов.</w:t>
            </w:r>
          </w:p>
          <w:p>
            <w:pPr>
              <w:pStyle w:val="ListParagraph"/>
              <w:numPr>
                <w:ilvl w:val="0"/>
                <w:numId w:val="19"/>
              </w:numPr>
              <w:ind w:hanging="379" w:start="379"/>
              <w:rPr>
                <w:color w:themeColor="text1" w:themeShade="80" w:val="1E1E1E"/>
              </w:rPr>
            </w:pPr>
            <w:r>
              <w:rPr>
                <w:color w:themeColor="text1" w:themeShade="80" w:val="1E1E1E"/>
              </w:rPr>
              <w:t>Предусматриваемые проектом технические средства обеспечения транспортной безопасности должны соответствовать требованиям к функциональным свойствам технических средств обеспечения транспортной безопасности утвержденным постановлением Правительства РФ от 26 сентября 2016 г.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или документа его заменяющего.</w:t>
            </w:r>
          </w:p>
          <w:p>
            <w:pPr>
              <w:pStyle w:val="ListParagraph"/>
              <w:numPr>
                <w:ilvl w:val="0"/>
                <w:numId w:val="19"/>
              </w:numPr>
              <w:ind w:hanging="379" w:start="379"/>
              <w:rPr>
                <w:color w:themeColor="text1" w:themeShade="80" w:val="1E1E1E"/>
              </w:rPr>
            </w:pPr>
            <w:r>
              <w:rPr>
                <w:color w:themeColor="text1" w:themeShade="80" w:val="1E1E1E"/>
              </w:rPr>
              <w:t>Оборудование должно отвечать следующим требованиям:</w:t>
            </w:r>
          </w:p>
          <w:p>
            <w:pPr>
              <w:pStyle w:val="ListParagraph"/>
              <w:numPr>
                <w:ilvl w:val="0"/>
                <w:numId w:val="20"/>
              </w:numPr>
              <w:ind w:hanging="360" w:start="946"/>
              <w:rPr>
                <w:color w:themeColor="text1" w:themeShade="80" w:val="1E1E1E"/>
              </w:rPr>
            </w:pPr>
            <w:r>
              <w:rPr>
                <w:color w:themeColor="text1" w:themeShade="80" w:val="1E1E1E"/>
              </w:rPr>
              <w:t>Аппаратура ИТС, устанавливаемая вне помещений, должна быть предназначена для безотказного функционирования в климатических условиях в соответствии с СНиП 23-01-99* «Строительная климатология», устойчива к воздействию атмосферных осадков и порывов ветра, характерных для климатической зоны размещения Объектов.</w:t>
            </w:r>
          </w:p>
          <w:p>
            <w:pPr>
              <w:pStyle w:val="ListParagraph"/>
              <w:numPr>
                <w:ilvl w:val="0"/>
                <w:numId w:val="20"/>
              </w:numPr>
              <w:ind w:hanging="360" w:start="946"/>
              <w:rPr>
                <w:color w:themeColor="text1" w:themeShade="80" w:val="1E1E1E"/>
              </w:rPr>
            </w:pPr>
            <w:r>
              <w:rPr>
                <w:color w:themeColor="text1" w:themeShade="80" w:val="1E1E1E"/>
              </w:rPr>
              <w:t>Наружные установки ИТС должны быть защищены от вторичных воздействий ударов молнии и заноса высокого потенциала по кабельным коммуникациям в соответствии с требованиями «Инструкции по устройству молниезащиты зданий, сооружений и промышленных коммуникаций», утвержденной приказом Минэнерго России от 30.06.2003 года № 280.</w:t>
            </w:r>
          </w:p>
          <w:p>
            <w:pPr>
              <w:pStyle w:val="ListParagraph"/>
              <w:numPr>
                <w:ilvl w:val="0"/>
                <w:numId w:val="20"/>
              </w:numPr>
              <w:ind w:hanging="360" w:start="946"/>
              <w:rPr>
                <w:color w:themeColor="text1" w:themeShade="80" w:val="1E1E1E"/>
              </w:rPr>
            </w:pPr>
            <w:r>
              <w:rPr>
                <w:color w:themeColor="text1" w:themeShade="80" w:val="1E1E1E"/>
              </w:rPr>
              <w:t xml:space="preserve">Аппаратура ИТС, устанавливаемая в отапливаемых помещениях, должна быть предназначена для безотказного функционирования в диапазоне температур от +5 </w:t>
            </w:r>
            <w:r>
              <w:rPr>
                <w:color w:themeColor="text1" w:themeShade="80" w:val="1E1E1E"/>
                <w:vertAlign w:val="superscript"/>
              </w:rPr>
              <w:t>0</w:t>
            </w:r>
            <w:r>
              <w:rPr>
                <w:color w:themeColor="text1" w:themeShade="80" w:val="1E1E1E"/>
              </w:rPr>
              <w:t xml:space="preserve">С до +40 </w:t>
            </w:r>
            <w:r>
              <w:rPr>
                <w:color w:themeColor="text1" w:themeShade="80" w:val="1E1E1E"/>
                <w:vertAlign w:val="superscript"/>
              </w:rPr>
              <w:t>0</w:t>
            </w:r>
            <w:r>
              <w:rPr>
                <w:color w:themeColor="text1" w:themeShade="80" w:val="1E1E1E"/>
              </w:rPr>
              <w:t>С и относительной влажности не более 80 %.</w:t>
            </w:r>
          </w:p>
          <w:p>
            <w:pPr>
              <w:pStyle w:val="ListParagraph"/>
              <w:numPr>
                <w:ilvl w:val="0"/>
                <w:numId w:val="20"/>
              </w:numPr>
              <w:ind w:hanging="360" w:start="946"/>
              <w:rPr>
                <w:color w:themeColor="text1" w:themeShade="80" w:val="1E1E1E"/>
              </w:rPr>
            </w:pPr>
            <w:r>
              <w:rPr>
                <w:color w:themeColor="text1" w:themeShade="80" w:val="1E1E1E"/>
              </w:rPr>
              <w:t>Тревожная и предупредительная информация должны выводиться на автоматизированное рабочее место (АРМ) охраны на русском языке и в привлекающем внимание виде.</w:t>
            </w:r>
          </w:p>
          <w:p>
            <w:pPr>
              <w:pStyle w:val="ListParagraph"/>
              <w:numPr>
                <w:ilvl w:val="0"/>
                <w:numId w:val="20"/>
              </w:numPr>
              <w:ind w:hanging="360" w:start="946"/>
              <w:rPr>
                <w:color w:themeColor="text1" w:themeShade="80" w:val="1E1E1E"/>
              </w:rPr>
            </w:pPr>
            <w:r>
              <w:rPr>
                <w:color w:themeColor="text1" w:themeShade="80" w:val="1E1E1E"/>
              </w:rPr>
              <w:t>Электропитание технических средств должно быть бесперебойным и осуществляться либо от двух независимых источников переменного тока, либо от одного источника переменного тока с автоматическим переключением в аварийном режиме на резервное питание.</w:t>
            </w:r>
          </w:p>
          <w:p>
            <w:pPr>
              <w:pStyle w:val="ListParagraph"/>
              <w:numPr>
                <w:ilvl w:val="0"/>
                <w:numId w:val="20"/>
              </w:numPr>
              <w:spacing w:before="120" w:after="120"/>
              <w:ind w:hanging="360" w:start="946"/>
              <w:contextualSpacing/>
              <w:rPr>
                <w:color w:themeColor="text1" w:themeShade="80" w:val="1E1E1E"/>
              </w:rPr>
            </w:pPr>
            <w:r>
              <w:rPr>
                <w:color w:themeColor="text1" w:themeShade="80" w:val="1E1E1E"/>
              </w:rPr>
              <w:t>Проектируемые системы ИТСОТБ должны сохранять работоспособность в случае единичного отказа одной из систем, ответственные системы по возможности должны обеспечивать необходимым резервированием.</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14.Технические требования к средствам инженерно-технической укрепленности</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21"/>
              </w:numPr>
              <w:spacing w:before="120" w:after="120"/>
              <w:contextualSpacing/>
              <w:rPr>
                <w:color w:themeColor="text1" w:themeShade="80" w:val="1E1E1E"/>
              </w:rPr>
            </w:pPr>
            <w:r>
              <w:rPr>
                <w:color w:themeColor="text1" w:themeShade="80" w:val="1E1E1E"/>
              </w:rPr>
              <w:t>Инженерные заграждения предназначены для физического воспрепятствования несанкционированному проникновению лица (группы лиц), пытающегося совершить акт незаконного вмешательства в зону транспортной безопасности, в/на критический элемент, в том числе с использованием транспортных средств.</w:t>
            </w:r>
          </w:p>
          <w:p>
            <w:pPr>
              <w:pStyle w:val="ListParagraph"/>
              <w:numPr>
                <w:ilvl w:val="0"/>
                <w:numId w:val="21"/>
              </w:numPr>
              <w:rPr>
                <w:color w:themeColor="text1" w:themeShade="80" w:val="1E1E1E"/>
              </w:rPr>
            </w:pPr>
            <w:r>
              <w:rPr>
                <w:color w:themeColor="text1" w:themeShade="80" w:val="1E1E1E"/>
              </w:rPr>
              <w:t>Инженерные заграждения должны обеспечить в соответствии с планом обеспечения транспортной безопасности:</w:t>
            </w:r>
          </w:p>
          <w:p>
            <w:pPr>
              <w:pStyle w:val="ListParagraph"/>
              <w:numPr>
                <w:ilvl w:val="0"/>
                <w:numId w:val="22"/>
              </w:numPr>
              <w:rPr>
                <w:color w:themeColor="text1" w:themeShade="80" w:val="1E1E1E"/>
              </w:rPr>
            </w:pPr>
            <w:r>
              <w:rPr>
                <w:color w:themeColor="text1" w:themeShade="80" w:val="1E1E1E"/>
              </w:rPr>
              <w:t>предотвращение несанкционированного прохода людей, въезд транспорта в зону транспортной безопасности и в/на критический элемент;</w:t>
            </w:r>
          </w:p>
          <w:p>
            <w:pPr>
              <w:pStyle w:val="ListParagraph"/>
              <w:numPr>
                <w:ilvl w:val="0"/>
                <w:numId w:val="22"/>
              </w:numPr>
              <w:rPr>
                <w:color w:themeColor="text1" w:themeShade="80" w:val="1E1E1E"/>
              </w:rPr>
            </w:pPr>
            <w:r>
              <w:rPr>
                <w:color w:themeColor="text1" w:themeShade="80" w:val="1E1E1E"/>
              </w:rPr>
              <w:t>защиту людей и самого объекта путем создания физической преграды несанкционированным действиям нарушителя в отношении объекта и его персонала;</w:t>
            </w:r>
          </w:p>
          <w:p>
            <w:pPr>
              <w:pStyle w:val="ListParagraph"/>
              <w:numPr>
                <w:ilvl w:val="0"/>
                <w:numId w:val="22"/>
              </w:numPr>
              <w:rPr>
                <w:color w:themeColor="text1" w:themeShade="80" w:val="1E1E1E"/>
              </w:rPr>
            </w:pPr>
            <w:r>
              <w:rPr>
                <w:color w:themeColor="text1" w:themeShade="80" w:val="1E1E1E"/>
              </w:rPr>
              <w:t xml:space="preserve">создание препятствий на пути движения нарушителя с целью затруднения (задержки) продвижения нарушителя в зону транспортной безопасности и/или его критических элементов на время, достаточное для прибытия подразделений транспортной безопасности; </w:t>
            </w:r>
          </w:p>
          <w:p>
            <w:pPr>
              <w:pStyle w:val="ListParagraph"/>
              <w:numPr>
                <w:ilvl w:val="0"/>
                <w:numId w:val="22"/>
              </w:numPr>
              <w:rPr>
                <w:color w:themeColor="text1" w:themeShade="80" w:val="1E1E1E"/>
              </w:rPr>
            </w:pPr>
            <w:r>
              <w:rPr>
                <w:color w:themeColor="text1" w:themeShade="80" w:val="1E1E1E"/>
              </w:rPr>
              <w:t>обеспечение доступа в зону транспортной безопасности, в/на критические элементы ОТИ, только через установленные рубежи доступа;</w:t>
            </w:r>
          </w:p>
          <w:p>
            <w:pPr>
              <w:pStyle w:val="ListParagraph"/>
              <w:numPr>
                <w:ilvl w:val="0"/>
                <w:numId w:val="22"/>
              </w:numPr>
              <w:rPr>
                <w:color w:themeColor="text1" w:themeShade="80" w:val="1E1E1E"/>
              </w:rPr>
            </w:pPr>
            <w:r>
              <w:rPr>
                <w:color w:themeColor="text1" w:themeShade="80" w:val="1E1E1E"/>
              </w:rPr>
              <w:t xml:space="preserve">предотвращение таранного прорыва транспортных средств в зону транспортной безопасности, в/на критический элемент ОТИ. </w:t>
            </w:r>
          </w:p>
          <w:p>
            <w:pPr>
              <w:pStyle w:val="ListParagraph"/>
              <w:numPr>
                <w:ilvl w:val="0"/>
                <w:numId w:val="21"/>
              </w:numPr>
              <w:rPr>
                <w:color w:themeColor="text1" w:themeShade="80" w:val="1E1E1E"/>
              </w:rPr>
            </w:pPr>
            <w:r>
              <w:rPr>
                <w:color w:themeColor="text1" w:themeShade="80" w:val="1E1E1E"/>
              </w:rPr>
              <w:t>Периметр зоны транспортной безопасности ОТИ (по согласованию с Заказчиком) должен быть оборудован металлическими противотаранными заграждениями, высотой не менее 0,5 м, для принудительной остановки автотранспорта и исключать возможность несанкционированного проезда в подмостовое пространство (первый рубеж) в случае, если это предусмотрено планом обеспечения транспортной безопасности.</w:t>
            </w:r>
          </w:p>
          <w:p>
            <w:pPr>
              <w:pStyle w:val="ListParagraph"/>
              <w:numPr>
                <w:ilvl w:val="0"/>
                <w:numId w:val="21"/>
              </w:numPr>
              <w:rPr>
                <w:color w:themeColor="text1" w:themeShade="80" w:val="1E1E1E"/>
              </w:rPr>
            </w:pPr>
            <w:r>
              <w:rPr>
                <w:color w:themeColor="text1" w:themeShade="80" w:val="1E1E1E"/>
              </w:rPr>
              <w:t>Устои искусственных дорожных сооружений должны быть оборудованы инженерными заграждениями, в виде забора, высотой не менее 2,5 м, из стальной сетки (диаметр проволоки не менее 5мм) с козырьком из колючей проволоки (второй рубеж) в случае, если это предусмотрено планом обеспечения транспортной безопасности.</w:t>
            </w:r>
          </w:p>
          <w:p>
            <w:pPr>
              <w:pStyle w:val="ListParagraph"/>
              <w:numPr>
                <w:ilvl w:val="0"/>
                <w:numId w:val="21"/>
              </w:numPr>
              <w:rPr>
                <w:color w:themeColor="text1" w:themeShade="80" w:val="1E1E1E"/>
              </w:rPr>
            </w:pPr>
            <w:r>
              <w:rPr>
                <w:color w:themeColor="text1" w:themeShade="80" w:val="1E1E1E"/>
              </w:rPr>
              <w:t xml:space="preserve">Опоры искусственных дорожных сооружений должны быть оборудованы инженерными заграждениями, в виде козырька из колючей проволоки в случае, если это предусмотрено планом обеспечения транспортной безопасности. </w:t>
            </w:r>
          </w:p>
          <w:p>
            <w:pPr>
              <w:pStyle w:val="ListParagraph"/>
              <w:numPr>
                <w:ilvl w:val="0"/>
                <w:numId w:val="21"/>
              </w:numPr>
              <w:rPr>
                <w:color w:themeColor="text1" w:themeShade="80" w:val="1E1E1E"/>
              </w:rPr>
            </w:pPr>
            <w:r>
              <w:rPr>
                <w:color w:themeColor="text1" w:themeShade="80" w:val="1E1E1E"/>
              </w:rPr>
              <w:t>Расстояние между первым и вторым рубежами инженерных заграждений должно быть не менее 2м (уменьшение расстояния допускается в исключительных случаях, по согласованию с Заказчиком).</w:t>
            </w:r>
          </w:p>
          <w:p>
            <w:pPr>
              <w:pStyle w:val="ListParagraph"/>
              <w:numPr>
                <w:ilvl w:val="0"/>
                <w:numId w:val="21"/>
              </w:numPr>
              <w:rPr>
                <w:color w:themeColor="text1" w:themeShade="80" w:val="1E1E1E"/>
              </w:rPr>
            </w:pPr>
            <w:r>
              <w:rPr>
                <w:color w:themeColor="text1" w:themeShade="80" w:val="1E1E1E"/>
              </w:rPr>
              <w:t>В первом рубеже (при необходимости) должен быть предусмотрен шлагбаум без электропривода, на втором (внутреннем) рубеже оборудуются калитки.</w:t>
            </w:r>
          </w:p>
          <w:p>
            <w:pPr>
              <w:pStyle w:val="ListParagraph"/>
              <w:numPr>
                <w:ilvl w:val="0"/>
                <w:numId w:val="21"/>
              </w:numPr>
              <w:rPr>
                <w:color w:themeColor="text1" w:themeShade="80" w:val="1E1E1E"/>
              </w:rPr>
            </w:pPr>
            <w:r>
              <w:rPr>
                <w:color w:themeColor="text1" w:themeShade="80" w:val="1E1E1E"/>
              </w:rPr>
              <w:t>Шлагбаумы и калитки должны иметь запирающие устройства, рабочий ход которых исключает самопроизвольное открывание при возможных деформациях ограждения. Шлагбаумы и калитки должны иметь крепление, предотвращающее возможность проникновения в зону транспортной безопасности путем снятия их с петель.</w:t>
            </w:r>
          </w:p>
          <w:p>
            <w:pPr>
              <w:pStyle w:val="ListParagraph"/>
              <w:numPr>
                <w:ilvl w:val="0"/>
                <w:numId w:val="21"/>
              </w:numPr>
              <w:rPr>
                <w:color w:themeColor="text1" w:themeShade="80" w:val="1E1E1E"/>
              </w:rPr>
            </w:pPr>
            <w:r>
              <w:rPr>
                <w:color w:themeColor="text1" w:themeShade="80" w:val="1E1E1E"/>
              </w:rPr>
              <w:t>Разработать информационные стенды, щиты, панели и таблички для информирования в наглядной и доступной форме всех физических лиц, находящихся на ОТИ, а также юридических лиц, осуществляющих на законных основаниях деятельность на ОТИ, о требованиях законодательства в области транспортной безопасности и внутренних организационно-распорядительных документов, направленных на реализацию мер по обеспечению транспортной безопасности ОТИ, в части, их касающейся, включая запрещение:</w:t>
            </w:r>
          </w:p>
          <w:p>
            <w:pPr>
              <w:pStyle w:val="ListParagraph"/>
              <w:numPr>
                <w:ilvl w:val="0"/>
                <w:numId w:val="23"/>
              </w:numPr>
              <w:rPr>
                <w:color w:themeColor="text1" w:themeShade="80" w:val="1E1E1E"/>
              </w:rPr>
            </w:pPr>
            <w:r>
              <w:rPr>
                <w:color w:themeColor="text1" w:themeShade="80" w:val="1E1E1E"/>
              </w:rPr>
              <w:t>прохода в зоны транспортной безопасности без соблюдения условий допуска;</w:t>
            </w:r>
          </w:p>
          <w:p>
            <w:pPr>
              <w:pStyle w:val="ListParagraph"/>
              <w:numPr>
                <w:ilvl w:val="0"/>
                <w:numId w:val="23"/>
              </w:numPr>
              <w:rPr>
                <w:color w:themeColor="text1" w:themeShade="80" w:val="1E1E1E"/>
              </w:rPr>
            </w:pPr>
            <w:r>
              <w:rPr>
                <w:color w:themeColor="text1" w:themeShade="80" w:val="1E1E1E"/>
              </w:rPr>
              <w:t>проноса (провоза) предметов и/или веществ, которые запрещены или ограничены для перемещения в зону транспортной безопасности и зону свободного доступа ОТИ, а также о предметах и веществах, которые запрещены или ограничены для перемещения;</w:t>
            </w:r>
          </w:p>
          <w:p>
            <w:pPr>
              <w:pStyle w:val="ListParagraph"/>
              <w:numPr>
                <w:ilvl w:val="0"/>
                <w:numId w:val="23"/>
              </w:numPr>
              <w:spacing w:before="120" w:after="120"/>
              <w:contextualSpacing/>
              <w:rPr>
                <w:color w:themeColor="text1" w:themeShade="80" w:val="1E1E1E"/>
              </w:rPr>
            </w:pPr>
            <w:r>
              <w:rPr>
                <w:color w:themeColor="text1" w:themeShade="80" w:val="1E1E1E"/>
              </w:rPr>
              <w:t>совершения АНВ в отношении ОТИ, а также иных действий, приводящих к повреждению устройств и оборудования ОТИ или использованию их не по функциональному предназначению, влекущих за собой человеческие жертвы, материальный ущерб или возможность наступления таких последствий.</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15.Технические требования к системе охранного телевизионного наблюдения</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67"/>
              </w:numPr>
              <w:spacing w:before="120" w:after="120"/>
              <w:contextualSpacing/>
              <w:rPr>
                <w:color w:themeColor="text1" w:themeShade="80" w:val="1E1E1E"/>
              </w:rPr>
            </w:pPr>
            <w:r>
              <w:rPr>
                <w:color w:themeColor="text1" w:themeShade="80" w:val="1E1E1E"/>
              </w:rPr>
              <w:t>Система охранного телевизионного наблюдения предназначена для обеспечения круглосуточного видеоконтроля за критическими элементами и зоной транспортной безопасности, видеорегистрации обстановки с постоянной регистрацией происходящих событий, долговременное хранение видеоинформации о событиях с возможностью последующей расшифровки и анализа.</w:t>
            </w:r>
          </w:p>
          <w:p>
            <w:pPr>
              <w:pStyle w:val="ListParagraph"/>
              <w:numPr>
                <w:ilvl w:val="0"/>
                <w:numId w:val="67"/>
              </w:numPr>
              <w:rPr>
                <w:color w:themeColor="text1" w:themeShade="80" w:val="1E1E1E"/>
              </w:rPr>
            </w:pPr>
            <w:r>
              <w:rPr>
                <w:color w:themeColor="text1" w:themeShade="80" w:val="1E1E1E"/>
              </w:rPr>
              <w:t>Система должна выполнять самодиагностику основных элементов системы (видеорегистраторов, сетевого оборудования, работоспособности телевизионных камер и блоков питания) с возможностью горячей замены.</w:t>
            </w:r>
          </w:p>
          <w:p>
            <w:pPr>
              <w:pStyle w:val="ListParagraph"/>
              <w:numPr>
                <w:ilvl w:val="0"/>
                <w:numId w:val="67"/>
              </w:numPr>
              <w:rPr/>
            </w:pPr>
            <w:r>
              <w:rPr/>
              <w:t>Система и средства интеллектуального видеонаблюдения, являющихся системами и средствами идентификации физических лиц (программные средства детекции, аппаратно-программные средства детекции, программные средства идентификации, аппаратно-программные средства идентификации), должны обеспечивать:</w:t>
            </w:r>
          </w:p>
          <w:p>
            <w:pPr>
              <w:pStyle w:val="ListParagraph"/>
              <w:numPr>
                <w:ilvl w:val="0"/>
                <w:numId w:val="66"/>
              </w:numPr>
              <w:ind w:hanging="360" w:start="1515"/>
              <w:rPr/>
            </w:pPr>
            <w:r>
              <w:rPr/>
              <w:t>вероятность ложного пропуска для программных и аппаратно-программных средств детекции - не более 0,1 процента;</w:t>
            </w:r>
          </w:p>
          <w:p>
            <w:pPr>
              <w:pStyle w:val="ListParagraph"/>
              <w:numPr>
                <w:ilvl w:val="0"/>
                <w:numId w:val="66"/>
              </w:numPr>
              <w:ind w:hanging="360" w:start="1515"/>
              <w:rPr/>
            </w:pPr>
            <w:r>
              <w:rPr/>
              <w:t>вероятность ложноотрицательной идентификации для программных средств и аппаратно-программных средств - не более 10 процентов;</w:t>
            </w:r>
          </w:p>
          <w:p>
            <w:pPr>
              <w:pStyle w:val="ListParagraph"/>
              <w:numPr>
                <w:ilvl w:val="0"/>
                <w:numId w:val="66"/>
              </w:numPr>
              <w:ind w:hanging="360" w:start="1515"/>
              <w:rPr/>
            </w:pPr>
            <w:r>
              <w:rPr/>
              <w:t>вероятность ложноположительной идентификации для программных и аппаратно-программных средств - не более одного процента;</w:t>
            </w:r>
          </w:p>
          <w:p>
            <w:pPr>
              <w:pStyle w:val="ListParagraph"/>
              <w:numPr>
                <w:ilvl w:val="0"/>
                <w:numId w:val="66"/>
              </w:numPr>
              <w:ind w:hanging="360" w:start="1515"/>
              <w:rPr/>
            </w:pPr>
            <w:r>
              <w:rPr/>
              <w:t>время с момента появления лица человека на видеоизображении до отображения на рабочем месте пользователя результата идентификации для аппаратно-программных средств идентификации - не более 3 секунд;</w:t>
            </w:r>
          </w:p>
          <w:p>
            <w:pPr>
              <w:pStyle w:val="ListParagraph"/>
              <w:numPr>
                <w:ilvl w:val="0"/>
                <w:numId w:val="66"/>
              </w:numPr>
              <w:ind w:hanging="360" w:start="1515"/>
              <w:rPr/>
            </w:pPr>
            <w:r>
              <w:rPr/>
              <w:t>в отношении средств регистрации видеоизображений, входящих в состав систем и средств идентификации физических лиц: размер регистрируемого видеоизображения - не менее 2 мегапикселей, количество пикселей по горизонтали - не менее 1920 пикселей, количество пикселей по вертикали - не менее 1080 пикселей; частоту кадров - не менее 16 кадров в секунду; разрешающую способность - разрешение на рабочей дистанции съемки объектов размером 2 миллиметра и более (значения для области в центре кадра и на расстоянии до одной третьей ширины, высоты и диагоналей кадра от его центра); глубину резко отображаемого пространства - не менее одного метра (для области в центре кадра и на расстоянии до одной третьей ширины, высоты и диагоналей кадра от центра включительно); расстояние между центрами глаз на изображении лица человека, зарегистрированном на рабочей дистанции съемки, - не менее 60 2 пикселей (для области в центре кадра и на расстоянии до одной третьей ширины, высоты и диагоналей кадра от центра включительно); максимальное отношение "сигнал-шум" (с выключенной функцией автоматического усиления сигнала) - не менее 45 децибел; относительную дисторсию - не более 5 процентов (по краям кадра - на расстоянии одной третьей ширины, высоты и диагоналей кадра от его центра);</w:t>
            </w:r>
          </w:p>
          <w:p>
            <w:pPr>
              <w:pStyle w:val="ListParagraph"/>
              <w:numPr>
                <w:ilvl w:val="0"/>
                <w:numId w:val="66"/>
              </w:numPr>
              <w:ind w:hanging="360" w:start="1515"/>
              <w:rPr/>
            </w:pPr>
            <w:r>
              <w:rPr/>
              <w:t>взаимодействие с системой сбора результатов технического мониторинга и контроля при получении и передаче информации в указанную систему по локальной сети "Ethernet" с использованием стека протоколов семейства TCP/IP;</w:t>
            </w:r>
          </w:p>
          <w:p>
            <w:pPr>
              <w:pStyle w:val="ListParagraph"/>
              <w:numPr>
                <w:ilvl w:val="0"/>
                <w:numId w:val="66"/>
              </w:numPr>
              <w:ind w:hanging="360" w:start="1515"/>
              <w:rPr/>
            </w:pPr>
            <w:r>
              <w:rPr/>
              <w:t>обмен информацией с системой сбора результатов технического мониторинга и контроля с использованием унифицированных протокола передачи данных и формата метаданных, разработанного на основе языка разметки XML;</w:t>
            </w:r>
          </w:p>
          <w:p>
            <w:pPr>
              <w:pStyle w:val="ListParagraph"/>
              <w:numPr>
                <w:ilvl w:val="0"/>
                <w:numId w:val="67"/>
              </w:numPr>
              <w:rPr/>
            </w:pPr>
            <w:r>
              <w:rPr/>
              <w:t>Система и средства интеллектуального видеонаблюдения, являющихся системами и средствами обнаружения тревожных ситуаций (программные средства обнаружения тревожных ситуаций, аппаратно-программные средства обнаружения тревожных ситуаций), должны обеспечивать:</w:t>
            </w:r>
          </w:p>
          <w:p>
            <w:pPr>
              <w:pStyle w:val="ListParagraph"/>
              <w:numPr>
                <w:ilvl w:val="0"/>
                <w:numId w:val="66"/>
              </w:numPr>
              <w:ind w:hanging="360" w:start="1515"/>
              <w:rPr/>
            </w:pPr>
            <w:r>
              <w:rPr/>
              <w:t>для программных и аппаратно-программных средств, работающих по сценарию "Стерильная зона": чувствительность - не менее 99 процентов; специфичность - не менее 99 процентов; время реакции на появление объекта (человек, транспортное средство или животное) в запрещенной зоне настраивается в диапазоне от 1 до 300 секунд с шагом 1 секунда;</w:t>
            </w:r>
          </w:p>
          <w:p>
            <w:pPr>
              <w:pStyle w:val="ListParagraph"/>
              <w:numPr>
                <w:ilvl w:val="0"/>
                <w:numId w:val="66"/>
              </w:numPr>
              <w:ind w:hanging="360" w:start="1515"/>
              <w:rPr/>
            </w:pPr>
            <w:r>
              <w:rPr/>
              <w:t>для программных и аппаратно-программных средств, работающих по сценарию "Оставленный (исчезнувший) предмет": чувствительность - не менее 95 процентов; специфичность - не менее 95 процентов; время реакции на оставление (исчезновение) предмета настраивается в диапазоне от 1 до 300 секунд с шагом 1 секунда;</w:t>
            </w:r>
          </w:p>
          <w:p>
            <w:pPr>
              <w:pStyle w:val="ListParagraph"/>
              <w:numPr>
                <w:ilvl w:val="0"/>
                <w:numId w:val="66"/>
              </w:numPr>
              <w:ind w:hanging="360" w:start="1515"/>
              <w:rPr/>
            </w:pPr>
            <w:r>
              <w:rPr/>
              <w:t>для программных и аппаратно-программных средств, работающих по сценарию "Движение в запрещенном направлении" (характеристики должны обеспечиваться при потолочном способе размещения видеокамеры): чувствительность - не менее 95 процентов; специфичность - не менее 99 процентов; время реакции на факт движения объекта (человек или транспортное средство) в запрещенном направлении настраивается в диапазоне от 1 до 300 секунд с шагом 1 секунда;</w:t>
            </w:r>
          </w:p>
          <w:p>
            <w:pPr>
              <w:pStyle w:val="ListParagraph"/>
              <w:numPr>
                <w:ilvl w:val="0"/>
                <w:numId w:val="66"/>
              </w:numPr>
              <w:ind w:hanging="360" w:start="1515"/>
              <w:rPr/>
            </w:pPr>
            <w:r>
              <w:rPr/>
              <w:t>для программных и аппаратно-программных средств, работающих по сценарию "Нетипичные изменения в сцене": чувствительность - не менее 90 процентов; специфичность - не менее 95 процентов; время реакции на нетипичные изменения в сцене (затемнение изображения, расфокусировка и (или) засветка) настраивается в диапазоне от 1 до 300 секунд с шагом 1 секунда;</w:t>
            </w:r>
          </w:p>
          <w:p>
            <w:pPr>
              <w:pStyle w:val="ListParagraph"/>
              <w:numPr>
                <w:ilvl w:val="0"/>
                <w:numId w:val="66"/>
              </w:numPr>
              <w:ind w:hanging="360" w:start="1515"/>
              <w:rPr/>
            </w:pPr>
            <w:r>
              <w:rPr/>
              <w:t>для программных и аппаратно-программных средств, работающих по сценарию "скопление людей, толпа (образование толпы)": чувствительность - не менее 95 процентов; специфичность - не менее 95 процентов;</w:t>
            </w:r>
          </w:p>
          <w:p>
            <w:pPr>
              <w:pStyle w:val="ListParagraph"/>
              <w:numPr>
                <w:ilvl w:val="0"/>
                <w:numId w:val="66"/>
              </w:numPr>
              <w:ind w:hanging="360" w:start="1515"/>
              <w:rPr/>
            </w:pPr>
            <w:r>
              <w:rPr/>
              <w:t>для программных и аппаратно-программных средств, обеспечивающих обнаружение фигуры человека: чувствительность - не менее 98 процентов; специфичность - не менее 95 процентов;</w:t>
            </w:r>
          </w:p>
          <w:p>
            <w:pPr>
              <w:pStyle w:val="ListParagraph"/>
              <w:numPr>
                <w:ilvl w:val="0"/>
                <w:numId w:val="66"/>
              </w:numPr>
              <w:ind w:hanging="360" w:start="1515"/>
              <w:rPr/>
            </w:pPr>
            <w:r>
              <w:rPr/>
              <w:t>для программных и аппаратно-программных средств, обеспечивающих обнаружение транспортного средства: чувствительность - не менее 98 процентов; специфичность - не менее 95 процентов;</w:t>
            </w:r>
          </w:p>
          <w:p>
            <w:pPr>
              <w:pStyle w:val="ListParagraph"/>
              <w:numPr>
                <w:ilvl w:val="0"/>
                <w:numId w:val="66"/>
              </w:numPr>
              <w:ind w:hanging="360" w:start="1515"/>
              <w:rPr/>
            </w:pPr>
            <w:r>
              <w:rPr/>
              <w:t>для программных и аппаратно-программных средств, обеспечивающих классификацию типа транспортного средства (для наземных - легковой автомобиль, грузовой автомобиль, автобус, мотоцикл), вероятность правильной классификации - не менее 85 процентов;</w:t>
            </w:r>
          </w:p>
          <w:p>
            <w:pPr>
              <w:pStyle w:val="ListParagraph"/>
              <w:numPr>
                <w:ilvl w:val="0"/>
                <w:numId w:val="66"/>
              </w:numPr>
              <w:ind w:hanging="360" w:start="1515"/>
              <w:rPr/>
            </w:pPr>
            <w:r>
              <w:rPr/>
              <w:t>в отношении средств регистрации видеоизображений, входящих в состав систем и средств обнаружения тревожных ситуаций: размер регистрируемого видеоизображения - не менее 2 мегапикселей; частоту кадров - не менее 25 кадров в секунду; цветность регистрируемого видеоизображения - цветное видеоизображение; максимальное отношение "сигнал-шум" (с выключенной функцией автоматического усиления сигнала) - не менее 42 децибел; относительную дисторсию - не более 10 процентов (по краям кадра - на расстоянии одной третьей ширины, высоты и диагоналей кадра от его центра);</w:t>
            </w:r>
          </w:p>
          <w:p>
            <w:pPr>
              <w:pStyle w:val="ListParagraph"/>
              <w:numPr>
                <w:ilvl w:val="0"/>
                <w:numId w:val="66"/>
              </w:numPr>
              <w:ind w:hanging="360" w:start="1515"/>
              <w:rPr/>
            </w:pPr>
            <w:r>
              <w:rPr/>
              <w:t>взаимодействие с системой сбора результатов технического мониторинга и контроля при получении и передаче информации в указанную систему по локальной сети "Ethernet" с использованием стека протоколов семейства TCP/IP;</w:t>
            </w:r>
          </w:p>
          <w:p>
            <w:pPr>
              <w:pStyle w:val="ListParagraph"/>
              <w:numPr>
                <w:ilvl w:val="0"/>
                <w:numId w:val="66"/>
              </w:numPr>
              <w:ind w:hanging="360" w:start="1515"/>
              <w:rPr/>
            </w:pPr>
            <w:r>
              <w:rPr/>
              <w:t>обмен информацией с системой сбора результатов технического мониторинга и контроля с использованием унифицированных протокола передачи данных и формата метаданных, разработанного на основе языка разметки XML.</w:t>
            </w:r>
          </w:p>
          <w:p>
            <w:pPr>
              <w:pStyle w:val="ListParagraph"/>
              <w:numPr>
                <w:ilvl w:val="0"/>
                <w:numId w:val="67"/>
              </w:numPr>
              <w:rPr>
                <w:color w:themeColor="text1" w:themeShade="80" w:val="1E1E1E"/>
              </w:rPr>
            </w:pPr>
            <w:r>
              <w:rPr>
                <w:color w:themeColor="text1" w:themeShade="80" w:val="1E1E1E"/>
              </w:rPr>
              <w:t>Система и средства видеозаписи должны обеспечивать:</w:t>
            </w:r>
          </w:p>
          <w:p>
            <w:pPr>
              <w:pStyle w:val="ListParagraph"/>
              <w:numPr>
                <w:ilvl w:val="0"/>
                <w:numId w:val="66"/>
              </w:numPr>
              <w:ind w:hanging="360" w:start="1515"/>
              <w:rPr>
                <w:color w:themeColor="text1" w:themeShade="80" w:val="1E1E1E"/>
              </w:rPr>
            </w:pPr>
            <w:r>
              <w:rPr>
                <w:color w:themeColor="text1" w:themeShade="80" w:val="1E1E1E"/>
              </w:rPr>
              <w:t>цикличность видеозаписи - не менее 24 часов при использовании максимального для изделия количества видеокамер и таких характеристик видеопотока, как размер кадра - не менее 2 мегапикселей, количество пикселей по горизонтали - не менее 1920 пикселей, количество пикселей по вертикали - не менее 1080 пикселей;</w:t>
            </w:r>
          </w:p>
          <w:p>
            <w:pPr>
              <w:pStyle w:val="ListParagraph"/>
              <w:numPr>
                <w:ilvl w:val="0"/>
                <w:numId w:val="66"/>
              </w:numPr>
              <w:ind w:hanging="360" w:start="1515"/>
              <w:rPr>
                <w:color w:themeColor="text1" w:themeShade="80" w:val="1E1E1E"/>
              </w:rPr>
            </w:pPr>
            <w:r>
              <w:rPr>
                <w:color w:themeColor="text1" w:themeShade="80" w:val="1E1E1E"/>
              </w:rPr>
              <w:t>степень сжатия - не более 30 процентов (по стандарту Н 264 или MJPEG);</w:t>
            </w:r>
          </w:p>
          <w:p>
            <w:pPr>
              <w:pStyle w:val="ListParagraph"/>
              <w:numPr>
                <w:ilvl w:val="0"/>
                <w:numId w:val="66"/>
              </w:numPr>
              <w:ind w:hanging="360" w:start="1515"/>
              <w:rPr>
                <w:color w:themeColor="text1" w:themeShade="80" w:val="1E1E1E"/>
              </w:rPr>
            </w:pPr>
            <w:r>
              <w:rPr>
                <w:color w:themeColor="text1" w:themeShade="80" w:val="1E1E1E"/>
              </w:rPr>
              <w:t>оптическую разрешающую способность по горизонтали - не менее 800 линий на горизонтальный размер кадра;</w:t>
            </w:r>
          </w:p>
          <w:p>
            <w:pPr>
              <w:pStyle w:val="ListParagraph"/>
              <w:numPr>
                <w:ilvl w:val="0"/>
                <w:numId w:val="66"/>
              </w:numPr>
              <w:ind w:hanging="360" w:start="1515"/>
              <w:rPr>
                <w:color w:themeColor="text1" w:themeShade="80" w:val="1E1E1E"/>
              </w:rPr>
            </w:pPr>
            <w:r>
              <w:rPr>
                <w:color w:themeColor="text1" w:themeShade="80" w:val="1E1E1E"/>
              </w:rPr>
              <w:t>оптическую разрешающую способность по вертикали - не менее 650 линий на вертикальный размер кадра;</w:t>
            </w:r>
          </w:p>
          <w:p>
            <w:pPr>
              <w:pStyle w:val="ListParagraph"/>
              <w:numPr>
                <w:ilvl w:val="0"/>
                <w:numId w:val="66"/>
              </w:numPr>
              <w:ind w:hanging="360" w:start="1515"/>
              <w:rPr>
                <w:color w:themeColor="text1" w:themeShade="80" w:val="1E1E1E"/>
              </w:rPr>
            </w:pPr>
            <w:r>
              <w:rPr>
                <w:color w:themeColor="text1" w:themeShade="80" w:val="1E1E1E"/>
              </w:rPr>
              <w:t>частоту кадров - не менее 25 кадров в секунду;</w:t>
            </w:r>
          </w:p>
          <w:p>
            <w:pPr>
              <w:pStyle w:val="ListParagraph"/>
              <w:numPr>
                <w:ilvl w:val="0"/>
                <w:numId w:val="66"/>
              </w:numPr>
              <w:ind w:hanging="360" w:start="1515"/>
              <w:rPr>
                <w:color w:themeColor="text1" w:themeShade="80" w:val="1E1E1E"/>
              </w:rPr>
            </w:pPr>
            <w:r>
              <w:rPr>
                <w:color w:themeColor="text1" w:themeShade="80" w:val="1E1E1E"/>
              </w:rPr>
              <w:t>недопустимость чересстрочной развертки;</w:t>
            </w:r>
          </w:p>
          <w:p>
            <w:pPr>
              <w:pStyle w:val="ListParagraph"/>
              <w:numPr>
                <w:ilvl w:val="0"/>
                <w:numId w:val="66"/>
              </w:numPr>
              <w:ind w:hanging="360" w:start="1515"/>
              <w:rPr>
                <w:color w:themeColor="text1" w:themeShade="80" w:val="1E1E1E"/>
              </w:rPr>
            </w:pPr>
            <w:r>
              <w:rPr>
                <w:color w:themeColor="text1" w:themeShade="80" w:val="1E1E1E"/>
              </w:rPr>
              <w:t>взаимодействие с системой сбора результатов технического мониторинга и контроля при получении и передаче информации в указанную систему по локальной сети "Ethernet" с использованием стека протоколов семейства TCP/IP;</w:t>
            </w:r>
          </w:p>
          <w:p>
            <w:pPr>
              <w:pStyle w:val="ListParagraph"/>
              <w:numPr>
                <w:ilvl w:val="0"/>
                <w:numId w:val="66"/>
              </w:numPr>
              <w:ind w:hanging="360" w:start="1515"/>
              <w:rPr>
                <w:color w:themeColor="text1" w:themeShade="80" w:val="1E1E1E"/>
              </w:rPr>
            </w:pPr>
            <w:r>
              <w:rPr>
                <w:color w:themeColor="text1" w:themeShade="80" w:val="1E1E1E"/>
              </w:rPr>
              <w:t>обмен информацией с системой сбора результатов технического мониторинга и контроля с использованием унифицированных протокола передачи данных и формата метаданных, разработанного на основе языка разметки XML;</w:t>
            </w:r>
          </w:p>
          <w:p>
            <w:pPr>
              <w:pStyle w:val="ListParagraph"/>
              <w:numPr>
                <w:ilvl w:val="0"/>
                <w:numId w:val="66"/>
              </w:numPr>
              <w:ind w:hanging="360" w:start="1515"/>
              <w:rPr>
                <w:color w:themeColor="text1" w:themeShade="80" w:val="1E1E1E"/>
              </w:rPr>
            </w:pPr>
            <w:r>
              <w:rPr>
                <w:color w:themeColor="text1" w:themeShade="80" w:val="1E1E1E"/>
              </w:rPr>
              <w:t>настройку скорости видеозаписи при отсутствии движения в кадре в диапазоне от 3 до 30 кадров в секунду с шагом один кадр и при автоматическом обнаружении движения - не менее 25 кадров в секунду.</w:t>
            </w:r>
          </w:p>
          <w:p>
            <w:pPr>
              <w:pStyle w:val="ListParagraph"/>
              <w:numPr>
                <w:ilvl w:val="0"/>
                <w:numId w:val="67"/>
              </w:numPr>
              <w:rPr>
                <w:color w:themeColor="text1" w:themeShade="80" w:val="1E1E1E"/>
              </w:rPr>
            </w:pPr>
            <w:r>
              <w:rPr>
                <w:color w:themeColor="text1" w:themeShade="80" w:val="1E1E1E"/>
              </w:rPr>
              <w:t>Система и средств аудиозаписи должны обеспечивать:</w:t>
            </w:r>
          </w:p>
          <w:p>
            <w:pPr>
              <w:pStyle w:val="ListParagraph"/>
              <w:numPr>
                <w:ilvl w:val="0"/>
                <w:numId w:val="66"/>
              </w:numPr>
              <w:ind w:hanging="360" w:start="1515"/>
              <w:rPr>
                <w:color w:themeColor="text1" w:themeShade="80" w:val="1E1E1E"/>
              </w:rPr>
            </w:pPr>
            <w:r>
              <w:rPr>
                <w:color w:themeColor="text1" w:themeShade="80" w:val="1E1E1E"/>
              </w:rPr>
              <w:t>стандарт цифровой записи - импульсно-кодовая модуляция (РСМ), 16 бит, моно-, стерео-;</w:t>
            </w:r>
          </w:p>
          <w:p>
            <w:pPr>
              <w:pStyle w:val="ListParagraph"/>
              <w:numPr>
                <w:ilvl w:val="0"/>
                <w:numId w:val="66"/>
              </w:numPr>
              <w:ind w:hanging="360" w:start="1515"/>
              <w:rPr>
                <w:color w:themeColor="text1" w:themeShade="80" w:val="1E1E1E"/>
              </w:rPr>
            </w:pPr>
            <w:r>
              <w:rPr>
                <w:color w:themeColor="text1" w:themeShade="80" w:val="1E1E1E"/>
              </w:rPr>
              <w:t>сжатие данных - без сжатия;</w:t>
            </w:r>
          </w:p>
          <w:p>
            <w:pPr>
              <w:pStyle w:val="ListParagraph"/>
              <w:numPr>
                <w:ilvl w:val="0"/>
                <w:numId w:val="66"/>
              </w:numPr>
              <w:ind w:hanging="360" w:start="1515"/>
              <w:rPr>
                <w:color w:themeColor="text1" w:themeShade="80" w:val="1E1E1E"/>
              </w:rPr>
            </w:pPr>
            <w:r>
              <w:rPr>
                <w:color w:themeColor="text1" w:themeShade="80" w:val="1E1E1E"/>
              </w:rPr>
              <w:t>частоту дискретизации (16000/44100/48000 Гц);</w:t>
            </w:r>
          </w:p>
          <w:p>
            <w:pPr>
              <w:pStyle w:val="ListParagraph"/>
              <w:numPr>
                <w:ilvl w:val="0"/>
                <w:numId w:val="66"/>
              </w:numPr>
              <w:ind w:hanging="360" w:start="1515"/>
              <w:rPr>
                <w:color w:themeColor="text1" w:themeShade="80" w:val="1E1E1E"/>
              </w:rPr>
            </w:pPr>
            <w:r>
              <w:rPr>
                <w:color w:themeColor="text1" w:themeShade="80" w:val="1E1E1E"/>
              </w:rPr>
              <w:t>неравномерность амплитудно-частотной характеристики - не более 2 децибел;</w:t>
            </w:r>
          </w:p>
          <w:p>
            <w:pPr>
              <w:pStyle w:val="ListParagraph"/>
              <w:numPr>
                <w:ilvl w:val="0"/>
                <w:numId w:val="66"/>
              </w:numPr>
              <w:ind w:hanging="360" w:start="1515"/>
              <w:rPr>
                <w:color w:themeColor="text1" w:themeShade="80" w:val="1E1E1E"/>
              </w:rPr>
            </w:pPr>
            <w:r>
              <w:rPr>
                <w:color w:themeColor="text1" w:themeShade="80" w:val="1E1E1E"/>
              </w:rPr>
              <w:t>соотношение "сигнал-шум" на микрофонном входе - не менее 75 децибел;</w:t>
            </w:r>
          </w:p>
          <w:p>
            <w:pPr>
              <w:pStyle w:val="ListParagraph"/>
              <w:numPr>
                <w:ilvl w:val="0"/>
                <w:numId w:val="66"/>
              </w:numPr>
              <w:ind w:hanging="360" w:start="1515"/>
              <w:rPr>
                <w:color w:themeColor="text1" w:themeShade="80" w:val="1E1E1E"/>
              </w:rPr>
            </w:pPr>
            <w:r>
              <w:rPr>
                <w:color w:themeColor="text1" w:themeShade="80" w:val="1E1E1E"/>
              </w:rPr>
              <w:t>коэффициент нелинейных искажений - не более 1 процента;</w:t>
            </w:r>
          </w:p>
          <w:p>
            <w:pPr>
              <w:pStyle w:val="ListParagraph"/>
              <w:numPr>
                <w:ilvl w:val="0"/>
                <w:numId w:val="66"/>
              </w:numPr>
              <w:ind w:hanging="360" w:start="1515"/>
              <w:rPr>
                <w:color w:themeColor="text1" w:themeShade="80" w:val="1E1E1E"/>
              </w:rPr>
            </w:pPr>
            <w:r>
              <w:rPr>
                <w:color w:themeColor="text1" w:themeShade="80" w:val="1E1E1E"/>
              </w:rPr>
              <w:t>взаимодействие с системой сбора результатов технического мониторинга и контроля при получении и передаче информации в указанную систему по локальной сети "Ethernet" с использованием стека протоколов семейства TCP/IP;</w:t>
            </w:r>
          </w:p>
          <w:p>
            <w:pPr>
              <w:pStyle w:val="ListParagraph"/>
              <w:numPr>
                <w:ilvl w:val="0"/>
                <w:numId w:val="66"/>
              </w:numPr>
              <w:ind w:hanging="360" w:start="1515"/>
              <w:rPr>
                <w:color w:themeColor="text1" w:themeShade="80" w:val="1E1E1E"/>
              </w:rPr>
            </w:pPr>
            <w:r>
              <w:rPr>
                <w:color w:themeColor="text1" w:themeShade="80" w:val="1E1E1E"/>
              </w:rPr>
              <w:t>обмен информацией с системой сбора результатов технического мониторинга и контроля с использованием унифицированных протокола передачи данных и формата метаданных, разработанного на основе языка разметки XML.</w:t>
            </w:r>
          </w:p>
          <w:p>
            <w:pPr>
              <w:pStyle w:val="ListParagraph"/>
              <w:numPr>
                <w:ilvl w:val="0"/>
                <w:numId w:val="67"/>
              </w:numPr>
              <w:rPr>
                <w:color w:themeColor="text1" w:themeShade="80" w:val="1E1E1E"/>
              </w:rPr>
            </w:pPr>
            <w:r>
              <w:rPr>
                <w:color w:themeColor="text1" w:themeShade="80" w:val="1E1E1E"/>
              </w:rPr>
              <w:t>Система телевизионного наблюдения должна иметь интуитивно понятный интерфейс и обеспечивать:</w:t>
            </w:r>
          </w:p>
          <w:p>
            <w:pPr>
              <w:pStyle w:val="ListParagraph"/>
              <w:numPr>
                <w:ilvl w:val="0"/>
                <w:numId w:val="66"/>
              </w:numPr>
              <w:ind w:hanging="360" w:start="1515"/>
              <w:rPr>
                <w:color w:themeColor="text1" w:themeShade="80" w:val="1E1E1E"/>
              </w:rPr>
            </w:pPr>
            <w:r>
              <w:rPr>
                <w:color w:themeColor="text1" w:themeShade="80" w:val="1E1E1E"/>
              </w:rPr>
              <w:t>идентификацию физических лиц и (или) транспортных средств, являющихся объектами видеонаблюдения, на основании данных видеонаблюдения (далее - видеоидентификация) при их перемещении через контрольно-пропускные пункты, посты на границах зоны транспортной безопасности, ее частей, технологического сектора зоны транспортной безопасности объекта транспортной инфраструктуры, а также на критических элементах объекта транспортной инфраструктуры;</w:t>
            </w:r>
          </w:p>
          <w:p>
            <w:pPr>
              <w:pStyle w:val="ListParagraph"/>
              <w:numPr>
                <w:ilvl w:val="0"/>
                <w:numId w:val="66"/>
              </w:numPr>
              <w:ind w:hanging="360" w:start="1515"/>
              <w:rPr>
                <w:color w:themeColor="text1" w:themeShade="80" w:val="1E1E1E"/>
              </w:rPr>
            </w:pPr>
            <w:r>
              <w:rPr>
                <w:color w:themeColor="text1" w:themeShade="80" w:val="1E1E1E"/>
              </w:rPr>
              <w:t>обнаружение физических лиц и транспортных средств, являющихся объектами видеонаблюдения, на основании данных видеонаблюдения в произвольном месте и в произвольное время (далее - видеообнаружение) в технологическом секторе зоны транспортной безопасности объекта транспортной инфраструктуры;</w:t>
            </w:r>
          </w:p>
          <w:p>
            <w:pPr>
              <w:pStyle w:val="ListParagraph"/>
              <w:numPr>
                <w:ilvl w:val="0"/>
                <w:numId w:val="66"/>
              </w:numPr>
              <w:ind w:hanging="360" w:start="1515"/>
              <w:rPr>
                <w:color w:themeColor="text1" w:themeShade="80" w:val="1E1E1E"/>
              </w:rPr>
            </w:pPr>
            <w:r>
              <w:rPr>
                <w:color w:themeColor="text1" w:themeShade="80" w:val="1E1E1E"/>
              </w:rPr>
              <w:t>обнаружение физических лиц и транспортных средств, являющихся объектами видеонаблюдения, в заданном месте и в заданное время (далее - видеомониторинг) на периметре зоны транспортной безопасности объекта транспортной инфраструктуры;</w:t>
            </w:r>
          </w:p>
          <w:p>
            <w:pPr>
              <w:pStyle w:val="ListParagraph"/>
              <w:numPr>
                <w:ilvl w:val="0"/>
                <w:numId w:val="66"/>
              </w:numPr>
              <w:ind w:hanging="360" w:start="1515"/>
              <w:rPr>
                <w:color w:themeColor="text1" w:themeShade="80" w:val="1E1E1E"/>
              </w:rPr>
            </w:pPr>
            <w:r>
              <w:rPr>
                <w:color w:themeColor="text1" w:themeShade="80" w:val="1E1E1E"/>
              </w:rPr>
              <w:t>выявление нарушителя, в том числе оснащенного специальными средствами для проникновения на объект транспортной инфраструктуры, в реальном времени на периметре внешних границ технологического сектора зоны транспортной безопасности и критических элементов объекта транспортной инфраструктуры;</w:t>
            </w:r>
          </w:p>
          <w:p>
            <w:pPr>
              <w:pStyle w:val="ListParagraph"/>
              <w:numPr>
                <w:ilvl w:val="0"/>
                <w:numId w:val="66"/>
              </w:numPr>
              <w:ind w:hanging="360" w:start="1515"/>
              <w:rPr>
                <w:color w:themeColor="text1" w:themeShade="80" w:val="1E1E1E"/>
              </w:rPr>
            </w:pPr>
            <w:r>
              <w:rPr>
                <w:color w:themeColor="text1" w:themeShade="80" w:val="1E1E1E"/>
              </w:rPr>
              <w:t>круглосуточное наблюдение за зоной транспортной безопасности и его критическими элементами;</w:t>
            </w:r>
          </w:p>
          <w:p>
            <w:pPr>
              <w:pStyle w:val="ListParagraph"/>
              <w:numPr>
                <w:ilvl w:val="0"/>
                <w:numId w:val="66"/>
              </w:numPr>
              <w:ind w:hanging="360" w:start="1515"/>
              <w:rPr>
                <w:color w:themeColor="text1" w:themeShade="80" w:val="1E1E1E"/>
              </w:rPr>
            </w:pPr>
            <w:r>
              <w:rPr>
                <w:color w:themeColor="text1" w:themeShade="80" w:val="1E1E1E"/>
              </w:rPr>
              <w:t>наблюдение изображения от любой IP-камеры системы и управление телекамерами с постов наблюдения с учетом уровня доступа;</w:t>
            </w:r>
          </w:p>
          <w:p>
            <w:pPr>
              <w:pStyle w:val="ListParagraph"/>
              <w:numPr>
                <w:ilvl w:val="0"/>
                <w:numId w:val="66"/>
              </w:numPr>
              <w:ind w:hanging="360" w:start="1515"/>
              <w:rPr>
                <w:color w:themeColor="text1" w:themeShade="80" w:val="1E1E1E"/>
              </w:rPr>
            </w:pPr>
            <w:r>
              <w:rPr>
                <w:color w:themeColor="text1" w:themeShade="80" w:val="1E1E1E"/>
              </w:rPr>
              <w:t>автоматический анализ изображений, поступающих от IP- камер и оповещение подразделения транспортной безопасности при нарушениях в зоне наблюдения выбранных камер;</w:t>
            </w:r>
          </w:p>
          <w:p>
            <w:pPr>
              <w:pStyle w:val="ListParagraph"/>
              <w:numPr>
                <w:ilvl w:val="0"/>
                <w:numId w:val="66"/>
              </w:numPr>
              <w:ind w:hanging="360" w:start="1515"/>
              <w:rPr>
                <w:color w:themeColor="text1" w:themeShade="80" w:val="1E1E1E"/>
              </w:rPr>
            </w:pPr>
            <w:r>
              <w:rPr>
                <w:color w:themeColor="text1" w:themeShade="80" w:val="1E1E1E"/>
              </w:rPr>
              <w:t>круглосуточную (или в назначенное время) видеозапись (видеоархивирование) изображений от всех IP- камер с регистрацией времени, даты и номера IP- камеры;</w:t>
            </w:r>
          </w:p>
          <w:p>
            <w:pPr>
              <w:pStyle w:val="ListParagraph"/>
              <w:numPr>
                <w:ilvl w:val="0"/>
                <w:numId w:val="66"/>
              </w:numPr>
              <w:ind w:hanging="360" w:start="1515"/>
              <w:rPr>
                <w:color w:themeColor="text1" w:themeShade="80" w:val="1E1E1E"/>
              </w:rPr>
            </w:pPr>
            <w:r>
              <w:rPr>
                <w:color w:themeColor="text1" w:themeShade="80" w:val="1E1E1E"/>
              </w:rPr>
              <w:t>запись тревожных событий в реальном времени с регистрацией времени, даты и номера IP- камеры в протоколе событий;</w:t>
            </w:r>
          </w:p>
          <w:p>
            <w:pPr>
              <w:pStyle w:val="ListParagraph"/>
              <w:numPr>
                <w:ilvl w:val="0"/>
                <w:numId w:val="66"/>
              </w:numPr>
              <w:ind w:hanging="360" w:start="1515"/>
              <w:rPr>
                <w:color w:themeColor="text1" w:themeShade="80" w:val="1E1E1E"/>
              </w:rPr>
            </w:pPr>
            <w:r>
              <w:rPr>
                <w:color w:themeColor="text1" w:themeShade="80" w:val="1E1E1E"/>
              </w:rPr>
              <w:t>регистрацию пропадания видеосигналов на ПУ и выдачу сигнала об этом оператору ТСО на ПУ ОТБ ОТИ;</w:t>
            </w:r>
          </w:p>
          <w:p>
            <w:pPr>
              <w:pStyle w:val="ListParagraph"/>
              <w:numPr>
                <w:ilvl w:val="0"/>
                <w:numId w:val="66"/>
              </w:numPr>
              <w:ind w:hanging="360" w:start="1515"/>
              <w:rPr>
                <w:color w:themeColor="text1" w:themeShade="80" w:val="1E1E1E"/>
              </w:rPr>
            </w:pPr>
            <w:r>
              <w:rPr>
                <w:color w:themeColor="text1" w:themeShade="80" w:val="1E1E1E"/>
              </w:rPr>
              <w:t>работа видеорегистраторов в двухканальном режиме: запись на диск, воспроизведение на экране, видеонаблюдение, формирование архива на внешних носителях, просмотр по сети;</w:t>
            </w:r>
          </w:p>
          <w:p>
            <w:pPr>
              <w:pStyle w:val="ListParagraph"/>
              <w:numPr>
                <w:ilvl w:val="0"/>
                <w:numId w:val="66"/>
              </w:numPr>
              <w:ind w:hanging="360" w:start="1515"/>
              <w:rPr>
                <w:color w:themeColor="text1" w:themeShade="80" w:val="1E1E1E"/>
              </w:rPr>
            </w:pPr>
            <w:r>
              <w:rPr>
                <w:color w:themeColor="text1" w:themeShade="80" w:val="1E1E1E"/>
              </w:rPr>
              <w:t>ведение протоколов работы системы, контроль за исправностью оборудования, наличием видеосигналов. Ведение базы данных тревожных событий;</w:t>
            </w:r>
          </w:p>
          <w:p>
            <w:pPr>
              <w:pStyle w:val="ListParagraph"/>
              <w:numPr>
                <w:ilvl w:val="0"/>
                <w:numId w:val="66"/>
              </w:numPr>
              <w:ind w:hanging="360" w:start="1515"/>
              <w:rPr>
                <w:color w:themeColor="text1" w:themeShade="80" w:val="1E1E1E"/>
              </w:rPr>
            </w:pPr>
            <w:r>
              <w:rPr>
                <w:color w:themeColor="text1" w:themeShade="80" w:val="1E1E1E"/>
              </w:rPr>
              <w:t>вывод изображения с видеокамеры, включенной по тревожному событию, или выбранной оператором на отдельный монитор;</w:t>
            </w:r>
          </w:p>
          <w:p>
            <w:pPr>
              <w:pStyle w:val="ListParagraph"/>
              <w:numPr>
                <w:ilvl w:val="0"/>
                <w:numId w:val="66"/>
              </w:numPr>
              <w:ind w:hanging="360" w:start="1515"/>
              <w:rPr>
                <w:color w:themeColor="text1" w:themeShade="80" w:val="1E1E1E"/>
              </w:rPr>
            </w:pPr>
            <w:r>
              <w:rPr>
                <w:color w:themeColor="text1" w:themeShade="80" w:val="1E1E1E"/>
              </w:rPr>
              <w:t>круглосуточный вывод изображений от любой IP- камеры системы на мониторы должностных лиц в режиме реального времени (перечень выводимых IP-камер на каждое рабочее место согласовывается с Заказчиком);</w:t>
            </w:r>
          </w:p>
          <w:p>
            <w:pPr>
              <w:pStyle w:val="ListParagraph"/>
              <w:numPr>
                <w:ilvl w:val="0"/>
                <w:numId w:val="66"/>
              </w:numPr>
              <w:ind w:hanging="360" w:start="1515"/>
              <w:rPr>
                <w:color w:themeColor="text1" w:themeShade="80" w:val="1E1E1E"/>
              </w:rPr>
            </w:pPr>
            <w:r>
              <w:rPr>
                <w:color w:themeColor="text1" w:themeShade="80" w:val="1E1E1E"/>
              </w:rPr>
              <w:t>возможность программного управления основной аппаратурой системы (матричными и коммутаторами, цифровыми мультиплексорами и видеосерверами, трансфокаторами и поворотными устройствами управляемых камер и т.п.) от компьютеров, расположенных на посту (пункте) управления обеспечения транспортной безопасности (ПУ ОТБ);</w:t>
            </w:r>
          </w:p>
          <w:p>
            <w:pPr>
              <w:pStyle w:val="ListParagraph"/>
              <w:numPr>
                <w:ilvl w:val="0"/>
                <w:numId w:val="66"/>
              </w:numPr>
              <w:ind w:hanging="360" w:start="1515"/>
              <w:rPr>
                <w:color w:themeColor="text1" w:themeShade="80" w:val="1E1E1E"/>
              </w:rPr>
            </w:pPr>
            <w:r>
              <w:rPr>
                <w:color w:themeColor="text1" w:themeShade="80" w:val="1E1E1E"/>
              </w:rPr>
              <w:t xml:space="preserve">автоматическое обнаружение движения (изменения обстановки) в поле зрения телекамер, расположенных в зоне свободного доступа и зоне транспортной безопасности ОТИ, с выдачей сигналов тревоги и видеорегистрацией тревожной обстановки в реальном времени; </w:t>
            </w:r>
          </w:p>
          <w:p>
            <w:pPr>
              <w:pStyle w:val="ListParagraph"/>
              <w:numPr>
                <w:ilvl w:val="0"/>
                <w:numId w:val="66"/>
              </w:numPr>
              <w:ind w:hanging="360" w:start="1515"/>
              <w:rPr>
                <w:color w:themeColor="text1" w:themeShade="80" w:val="1E1E1E"/>
              </w:rPr>
            </w:pPr>
            <w:r>
              <w:rPr>
                <w:color w:themeColor="text1" w:themeShade="80" w:val="1E1E1E"/>
              </w:rPr>
              <w:t>обнаружение и сопровождение нескольких объектов, траекторная обработка, учет направлений движения объектов;</w:t>
            </w:r>
          </w:p>
          <w:p>
            <w:pPr>
              <w:pStyle w:val="ListParagraph"/>
              <w:numPr>
                <w:ilvl w:val="0"/>
                <w:numId w:val="66"/>
              </w:numPr>
              <w:ind w:hanging="360" w:start="1515"/>
              <w:rPr>
                <w:color w:themeColor="text1" w:themeShade="80" w:val="1E1E1E"/>
              </w:rPr>
            </w:pPr>
            <w:r>
              <w:rPr>
                <w:color w:themeColor="text1" w:themeShade="80" w:val="1E1E1E"/>
              </w:rPr>
              <w:t>визуализация тревоги при срабатывании детектора движения;</w:t>
            </w:r>
          </w:p>
          <w:p>
            <w:pPr>
              <w:pStyle w:val="ListParagraph"/>
              <w:numPr>
                <w:ilvl w:val="0"/>
                <w:numId w:val="66"/>
              </w:numPr>
              <w:ind w:hanging="360" w:start="1515"/>
              <w:rPr>
                <w:color w:themeColor="text1" w:themeShade="80" w:val="1E1E1E"/>
              </w:rPr>
            </w:pPr>
            <w:r>
              <w:rPr>
                <w:color w:themeColor="text1" w:themeShade="80" w:val="1E1E1E"/>
              </w:rPr>
              <w:t>одновременный вывод изображений от подключенных камер в окнах произвольного размера и расположения на экране монитора компьютера оператора ТСО на ПУ ОТБ ОТИ;</w:t>
            </w:r>
          </w:p>
          <w:p>
            <w:pPr>
              <w:pStyle w:val="ListParagraph"/>
              <w:numPr>
                <w:ilvl w:val="0"/>
                <w:numId w:val="66"/>
              </w:numPr>
              <w:ind w:hanging="360" w:start="1515"/>
              <w:rPr>
                <w:color w:themeColor="text1" w:themeShade="80" w:val="1E1E1E"/>
              </w:rPr>
            </w:pPr>
            <w:r>
              <w:rPr>
                <w:color w:themeColor="text1" w:themeShade="80" w:val="1E1E1E"/>
              </w:rPr>
              <w:t>формирование архива информации за период не менее 30 дней;</w:t>
            </w:r>
          </w:p>
          <w:p>
            <w:pPr>
              <w:pStyle w:val="ListParagraph"/>
              <w:numPr>
                <w:ilvl w:val="0"/>
                <w:numId w:val="66"/>
              </w:numPr>
              <w:ind w:hanging="360" w:start="1515"/>
              <w:rPr>
                <w:color w:themeColor="text1" w:themeShade="80" w:val="1E1E1E"/>
              </w:rPr>
            </w:pPr>
            <w:r>
              <w:rPr>
                <w:color w:themeColor="text1" w:themeShade="80" w:val="1E1E1E"/>
              </w:rPr>
              <w:t xml:space="preserve">экспорт видеозаписей в файлы с форматом, доступным для чтения стандартными средствами операционной системы, запись любого кадра, а также печать любого кадра на принтере; </w:t>
            </w:r>
          </w:p>
          <w:p>
            <w:pPr>
              <w:pStyle w:val="ListParagraph"/>
              <w:numPr>
                <w:ilvl w:val="0"/>
                <w:numId w:val="66"/>
              </w:numPr>
              <w:ind w:hanging="360" w:start="1515"/>
              <w:rPr>
                <w:color w:themeColor="text1" w:themeShade="80" w:val="1E1E1E"/>
              </w:rPr>
            </w:pPr>
            <w:r>
              <w:rPr>
                <w:color w:themeColor="text1" w:themeShade="80" w:val="1E1E1E"/>
              </w:rPr>
              <w:t xml:space="preserve">поддержка </w:t>
            </w:r>
            <w:r>
              <w:rPr/>
              <w:t xml:space="preserve">двухканальных </w:t>
            </w:r>
            <w:r>
              <w:rPr>
                <w:color w:themeColor="text1" w:themeShade="80" w:val="1E1E1E"/>
              </w:rPr>
              <w:t>сетевых камер и видеосерверов;</w:t>
            </w:r>
          </w:p>
          <w:p>
            <w:pPr>
              <w:pStyle w:val="ListParagraph"/>
              <w:numPr>
                <w:ilvl w:val="0"/>
                <w:numId w:val="66"/>
              </w:numPr>
              <w:ind w:hanging="360" w:start="1515"/>
              <w:rPr>
                <w:color w:themeColor="text1" w:themeShade="80" w:val="1E1E1E"/>
              </w:rPr>
            </w:pPr>
            <w:r>
              <w:rPr>
                <w:color w:themeColor="text1" w:themeShade="80" w:val="1E1E1E"/>
              </w:rPr>
              <w:t xml:space="preserve">поддержка режима работы закрытой защищенной сети с использованием оптических волокон. </w:t>
            </w:r>
          </w:p>
          <w:p>
            <w:pPr>
              <w:pStyle w:val="ListParagraph"/>
              <w:numPr>
                <w:ilvl w:val="0"/>
                <w:numId w:val="66"/>
              </w:numPr>
              <w:ind w:hanging="360" w:start="1515"/>
              <w:rPr>
                <w:color w:themeColor="text1" w:themeShade="80" w:val="1E1E1E"/>
              </w:rPr>
            </w:pPr>
            <w:r>
              <w:rPr>
                <w:color w:themeColor="text1" w:themeShade="80" w:val="1E1E1E"/>
              </w:rPr>
              <w:t>синхронное воспроизведение архива нескольких выбранных камер;</w:t>
            </w:r>
          </w:p>
          <w:p>
            <w:pPr>
              <w:pStyle w:val="ListParagraph"/>
              <w:numPr>
                <w:ilvl w:val="0"/>
                <w:numId w:val="66"/>
              </w:numPr>
              <w:ind w:hanging="360" w:start="1515"/>
              <w:rPr>
                <w:color w:themeColor="text1" w:themeShade="80" w:val="1E1E1E"/>
              </w:rPr>
            </w:pPr>
            <w:r>
              <w:rPr>
                <w:color w:themeColor="text1" w:themeShade="80" w:val="1E1E1E"/>
              </w:rPr>
              <w:t>многоканальные запись и воспроизведение звука.</w:t>
            </w:r>
          </w:p>
          <w:p>
            <w:pPr>
              <w:pStyle w:val="ListParagraph"/>
              <w:numPr>
                <w:ilvl w:val="0"/>
                <w:numId w:val="66"/>
              </w:numPr>
              <w:ind w:hanging="360" w:start="1515"/>
              <w:rPr>
                <w:color w:themeColor="text1" w:themeShade="80" w:val="1E1E1E"/>
              </w:rPr>
            </w:pPr>
            <w:r>
              <w:rPr>
                <w:color w:themeColor="text1" w:themeShade="80" w:val="1E1E1E"/>
              </w:rPr>
              <w:t>техническую возможность передачи данных с систем видеонаблюдения в уполномоченные организации в соответствии с порядком передачи данных, указанных в Плане обеспечения транспортной безопасности, определяемых на этапе пусконаладочных работ.</w:t>
            </w:r>
          </w:p>
          <w:p>
            <w:pPr>
              <w:pStyle w:val="ListParagraph"/>
              <w:numPr>
                <w:ilvl w:val="0"/>
                <w:numId w:val="67"/>
              </w:numPr>
              <w:rPr>
                <w:color w:themeColor="text1" w:themeShade="80" w:val="1E1E1E"/>
              </w:rPr>
            </w:pPr>
            <w:r>
              <w:rPr>
                <w:color w:themeColor="text1" w:themeShade="80" w:val="1E1E1E"/>
              </w:rPr>
              <w:t>Требования к параметрам IP-камер.</w:t>
            </w:r>
          </w:p>
          <w:p>
            <w:pPr>
              <w:pStyle w:val="ListParagraph"/>
              <w:numPr>
                <w:ilvl w:val="0"/>
                <w:numId w:val="66"/>
              </w:numPr>
              <w:ind w:hanging="360" w:start="1515"/>
              <w:rPr>
                <w:color w:themeColor="text1" w:themeShade="80" w:val="1E1E1E"/>
              </w:rPr>
            </w:pPr>
            <w:r>
              <w:rPr>
                <w:color w:themeColor="text1" w:themeShade="80" w:val="1E1E1E"/>
              </w:rPr>
              <w:t>IP-камеры, устанавливаемые на протяжении моста, для наблюдения за подходами к КЭ со стороны зоны свободного доступа (пешеходных дорожек) (стационарные):</w:t>
            </w:r>
          </w:p>
          <w:p>
            <w:pPr>
              <w:pStyle w:val="ListParagraph"/>
              <w:numPr>
                <w:ilvl w:val="0"/>
                <w:numId w:val="66"/>
              </w:numPr>
              <w:ind w:hanging="360" w:start="2224"/>
              <w:rPr>
                <w:color w:themeColor="text1" w:themeShade="80" w:val="1E1E1E"/>
              </w:rPr>
            </w:pPr>
            <w:r>
              <w:rPr>
                <w:color w:themeColor="text1" w:themeShade="80" w:val="1E1E1E"/>
              </w:rPr>
              <w:t>разрешение IP-камеры не менее 1920x1080 точек;</w:t>
            </w:r>
          </w:p>
          <w:p>
            <w:pPr>
              <w:pStyle w:val="ListParagraph"/>
              <w:numPr>
                <w:ilvl w:val="0"/>
                <w:numId w:val="66"/>
              </w:numPr>
              <w:ind w:hanging="360" w:start="2224"/>
              <w:rPr>
                <w:color w:themeColor="text1" w:themeShade="80" w:val="1E1E1E"/>
              </w:rPr>
            </w:pPr>
            <w:r>
              <w:rPr>
                <w:color w:themeColor="text1" w:themeShade="80" w:val="1E1E1E"/>
              </w:rPr>
              <w:t>периодичность установки IP-камеры уточнить проектом;</w:t>
            </w:r>
          </w:p>
          <w:p>
            <w:pPr>
              <w:pStyle w:val="ListParagraph"/>
              <w:numPr>
                <w:ilvl w:val="0"/>
                <w:numId w:val="66"/>
              </w:numPr>
              <w:ind w:hanging="360" w:start="2224"/>
              <w:rPr>
                <w:color w:themeColor="text1" w:themeShade="80" w:val="1E1E1E"/>
              </w:rPr>
            </w:pPr>
            <w:r>
              <w:rPr>
                <w:color w:themeColor="text1" w:themeShade="80" w:val="1E1E1E"/>
              </w:rPr>
              <w:t>место установки IP-камер - столб освещения, отдельно стоящие опоры и пр.</w:t>
            </w:r>
          </w:p>
          <w:p>
            <w:pPr>
              <w:pStyle w:val="ListParagraph"/>
              <w:numPr>
                <w:ilvl w:val="0"/>
                <w:numId w:val="66"/>
              </w:numPr>
              <w:ind w:hanging="360" w:start="2224"/>
              <w:rPr>
                <w:color w:themeColor="text1" w:themeShade="80" w:val="1E1E1E"/>
              </w:rPr>
            </w:pPr>
            <w:r>
              <w:rPr>
                <w:color w:themeColor="text1" w:themeShade="80" w:val="1E1E1E"/>
              </w:rPr>
              <w:t>не менее двух видеопотоков.</w:t>
            </w:r>
          </w:p>
          <w:p>
            <w:pPr>
              <w:pStyle w:val="ListParagraph"/>
              <w:numPr>
                <w:ilvl w:val="0"/>
                <w:numId w:val="66"/>
              </w:numPr>
              <w:ind w:hanging="360" w:start="1515"/>
              <w:rPr>
                <w:color w:themeColor="text1" w:themeShade="80" w:val="1E1E1E"/>
              </w:rPr>
            </w:pPr>
            <w:r>
              <w:rPr>
                <w:color w:themeColor="text1" w:themeShade="80" w:val="1E1E1E"/>
              </w:rPr>
              <w:t>IP-камеры, устанавливаемые для наблюдения за устоями:</w:t>
            </w:r>
          </w:p>
          <w:p>
            <w:pPr>
              <w:pStyle w:val="ListParagraph"/>
              <w:numPr>
                <w:ilvl w:val="0"/>
                <w:numId w:val="66"/>
              </w:numPr>
              <w:ind w:hanging="360" w:start="2224"/>
              <w:rPr>
                <w:color w:themeColor="text1" w:themeShade="80" w:val="1E1E1E"/>
              </w:rPr>
            </w:pPr>
            <w:r>
              <w:rPr>
                <w:color w:themeColor="text1" w:themeShade="80" w:val="1E1E1E"/>
              </w:rPr>
              <w:t>количество стационарных и поворотных IP-камер определяется исходя из конструктивных особенностей ОТИ;</w:t>
            </w:r>
          </w:p>
          <w:p>
            <w:pPr>
              <w:pStyle w:val="ListParagraph"/>
              <w:numPr>
                <w:ilvl w:val="0"/>
                <w:numId w:val="66"/>
              </w:numPr>
              <w:ind w:hanging="360" w:start="2224"/>
              <w:rPr>
                <w:color w:themeColor="text1" w:themeShade="80" w:val="1E1E1E"/>
              </w:rPr>
            </w:pPr>
            <w:r>
              <w:rPr>
                <w:color w:themeColor="text1" w:themeShade="80" w:val="1E1E1E"/>
              </w:rPr>
              <w:t>кратность трансфокации объектива IP-камеры не менее 10;</w:t>
            </w:r>
          </w:p>
          <w:p>
            <w:pPr>
              <w:pStyle w:val="ListParagraph"/>
              <w:numPr>
                <w:ilvl w:val="0"/>
                <w:numId w:val="66"/>
              </w:numPr>
              <w:ind w:hanging="360" w:start="2224"/>
              <w:rPr>
                <w:color w:themeColor="text1" w:themeShade="80" w:val="1E1E1E"/>
              </w:rPr>
            </w:pPr>
            <w:r>
              <w:rPr>
                <w:color w:themeColor="text1" w:themeShade="80" w:val="1E1E1E"/>
              </w:rPr>
              <w:t>разрешение IP-камеры не менее 1920x1080 точек;</w:t>
            </w:r>
          </w:p>
          <w:p>
            <w:pPr>
              <w:pStyle w:val="ListParagraph"/>
              <w:numPr>
                <w:ilvl w:val="0"/>
                <w:numId w:val="66"/>
              </w:numPr>
              <w:ind w:hanging="360" w:start="2224"/>
              <w:rPr>
                <w:color w:themeColor="text1" w:themeShade="80" w:val="1E1E1E"/>
              </w:rPr>
            </w:pPr>
            <w:r>
              <w:rPr>
                <w:color w:themeColor="text1" w:themeShade="80" w:val="1E1E1E"/>
              </w:rPr>
              <w:t>место установки IP-камер – определяется по результатам рекогносцировочных работ;</w:t>
            </w:r>
          </w:p>
          <w:p>
            <w:pPr>
              <w:pStyle w:val="ListParagraph"/>
              <w:numPr>
                <w:ilvl w:val="0"/>
                <w:numId w:val="66"/>
              </w:numPr>
              <w:ind w:hanging="360" w:start="2224"/>
              <w:rPr>
                <w:color w:themeColor="text1" w:themeShade="80" w:val="1E1E1E"/>
              </w:rPr>
            </w:pPr>
            <w:r>
              <w:rPr>
                <w:color w:themeColor="text1" w:themeShade="80" w:val="1E1E1E"/>
              </w:rPr>
              <w:t>не менее двух видеопотоков.</w:t>
            </w:r>
          </w:p>
          <w:p>
            <w:pPr>
              <w:pStyle w:val="ListParagraph"/>
              <w:numPr>
                <w:ilvl w:val="0"/>
                <w:numId w:val="66"/>
              </w:numPr>
              <w:ind w:hanging="360" w:start="1515"/>
              <w:rPr>
                <w:color w:themeColor="text1" w:themeShade="80" w:val="1E1E1E"/>
              </w:rPr>
            </w:pPr>
            <w:r>
              <w:rPr>
                <w:color w:themeColor="text1" w:themeShade="80" w:val="1E1E1E"/>
              </w:rPr>
              <w:t>IP-камеры, устанавливаемые для наблюдения за опорами, пролётными строениями:</w:t>
            </w:r>
          </w:p>
          <w:p>
            <w:pPr>
              <w:pStyle w:val="ListParagraph"/>
              <w:numPr>
                <w:ilvl w:val="0"/>
                <w:numId w:val="66"/>
              </w:numPr>
              <w:ind w:hanging="360" w:start="2224"/>
              <w:rPr>
                <w:color w:themeColor="text1" w:themeShade="80" w:val="1E1E1E"/>
              </w:rPr>
            </w:pPr>
            <w:r>
              <w:rPr>
                <w:color w:themeColor="text1" w:themeShade="80" w:val="1E1E1E"/>
              </w:rPr>
              <w:t>не менее одной стационарной IP-камеры с каждой стороны пролетного строения, опоры;</w:t>
            </w:r>
          </w:p>
          <w:p>
            <w:pPr>
              <w:pStyle w:val="ListParagraph"/>
              <w:numPr>
                <w:ilvl w:val="0"/>
                <w:numId w:val="66"/>
              </w:numPr>
              <w:ind w:hanging="360" w:start="2224"/>
              <w:rPr>
                <w:color w:themeColor="text1" w:themeShade="80" w:val="1E1E1E"/>
              </w:rPr>
            </w:pPr>
            <w:r>
              <w:rPr>
                <w:color w:themeColor="text1" w:themeShade="80" w:val="1E1E1E"/>
              </w:rPr>
              <w:t>разрешение IP-камеры не менее 1920x1080 точек;</w:t>
            </w:r>
          </w:p>
          <w:p>
            <w:pPr>
              <w:pStyle w:val="ListParagraph"/>
              <w:numPr>
                <w:ilvl w:val="0"/>
                <w:numId w:val="66"/>
              </w:numPr>
              <w:ind w:hanging="360" w:start="2224"/>
              <w:rPr>
                <w:color w:themeColor="text1" w:themeShade="80" w:val="1E1E1E"/>
              </w:rPr>
            </w:pPr>
            <w:r>
              <w:rPr>
                <w:color w:themeColor="text1" w:themeShade="80" w:val="1E1E1E"/>
              </w:rPr>
              <w:t>место установки IP-камер – определяется по результатам рекогносцировочных работ;</w:t>
            </w:r>
          </w:p>
          <w:p>
            <w:pPr>
              <w:pStyle w:val="ListParagraph"/>
              <w:numPr>
                <w:ilvl w:val="0"/>
                <w:numId w:val="66"/>
              </w:numPr>
              <w:ind w:hanging="360" w:start="2224"/>
              <w:rPr>
                <w:color w:themeColor="text1" w:themeShade="80" w:val="1E1E1E"/>
              </w:rPr>
            </w:pPr>
            <w:r>
              <w:rPr>
                <w:color w:themeColor="text1" w:themeShade="80" w:val="1E1E1E"/>
              </w:rPr>
              <w:t>не менее двух видеопотоков.</w:t>
            </w:r>
          </w:p>
          <w:p>
            <w:pPr>
              <w:pStyle w:val="ListParagraph"/>
              <w:numPr>
                <w:ilvl w:val="0"/>
                <w:numId w:val="66"/>
              </w:numPr>
              <w:ind w:hanging="360" w:start="1515"/>
              <w:rPr>
                <w:color w:themeColor="text1" w:themeShade="80" w:val="1E1E1E"/>
              </w:rPr>
            </w:pPr>
            <w:r>
              <w:rPr>
                <w:color w:themeColor="text1" w:themeShade="80" w:val="1E1E1E"/>
                <w:lang w:val="en-US"/>
              </w:rPr>
              <w:t>IP</w:t>
            </w:r>
            <w:r>
              <w:rPr>
                <w:color w:themeColor="text1" w:themeShade="80" w:val="1E1E1E"/>
              </w:rPr>
              <w:t>-камеры, устанавливаемы в помещения пункта управления:</w:t>
            </w:r>
          </w:p>
          <w:p>
            <w:pPr>
              <w:pStyle w:val="ListParagraph"/>
              <w:numPr>
                <w:ilvl w:val="0"/>
                <w:numId w:val="66"/>
              </w:numPr>
              <w:ind w:hanging="360" w:start="2224"/>
              <w:rPr>
                <w:color w:themeColor="text1" w:themeShade="80" w:val="1E1E1E"/>
              </w:rPr>
            </w:pPr>
            <w:r>
              <w:rPr>
                <w:color w:themeColor="text1" w:themeShade="80" w:val="1E1E1E"/>
              </w:rPr>
              <w:t>разрешение IP-камеры не менее 1920x1080 точек;</w:t>
            </w:r>
          </w:p>
          <w:p>
            <w:pPr>
              <w:pStyle w:val="ListParagraph"/>
              <w:numPr>
                <w:ilvl w:val="0"/>
                <w:numId w:val="66"/>
              </w:numPr>
              <w:ind w:hanging="360" w:start="2224"/>
              <w:rPr>
                <w:color w:themeColor="text1" w:themeShade="80" w:val="1E1E1E"/>
              </w:rPr>
            </w:pPr>
            <w:r>
              <w:rPr>
                <w:color w:themeColor="text1" w:themeShade="80" w:val="1E1E1E"/>
              </w:rPr>
              <w:t>возможность подключения микрофона или встроенный микрофон для камеры диспетчерской;</w:t>
            </w:r>
          </w:p>
          <w:p>
            <w:pPr>
              <w:pStyle w:val="ListParagraph"/>
              <w:numPr>
                <w:ilvl w:val="0"/>
                <w:numId w:val="66"/>
              </w:numPr>
              <w:ind w:hanging="360" w:start="2224"/>
              <w:rPr>
                <w:color w:themeColor="text1" w:themeShade="80" w:val="1E1E1E"/>
              </w:rPr>
            </w:pPr>
            <w:r>
              <w:rPr>
                <w:color w:themeColor="text1" w:themeShade="80" w:val="1E1E1E"/>
              </w:rPr>
              <w:t xml:space="preserve">место установки </w:t>
            </w:r>
            <w:r>
              <w:rPr>
                <w:color w:themeColor="text1" w:themeShade="80" w:val="1E1E1E"/>
                <w:lang w:val="en-US"/>
              </w:rPr>
              <w:t>IP</w:t>
            </w:r>
            <w:r>
              <w:rPr>
                <w:color w:themeColor="text1" w:themeShade="80" w:val="1E1E1E"/>
              </w:rPr>
              <w:t>-камер определяется по результатам рекогносцировочных (обследовательских) работ, а также технических решений предлагаемых исполнителем с согласованием с Заказчиком посредством официального запроса (в случае использования модульных зданий).</w:t>
            </w:r>
          </w:p>
          <w:p>
            <w:pPr>
              <w:pStyle w:val="ListParagraph"/>
              <w:numPr>
                <w:ilvl w:val="2"/>
                <w:numId w:val="66"/>
              </w:numPr>
              <w:ind w:hanging="360" w:start="1657"/>
              <w:rPr>
                <w:color w:themeColor="text1" w:themeShade="80" w:val="1E1E1E"/>
              </w:rPr>
            </w:pPr>
            <w:r>
              <w:rPr>
                <w:color w:themeColor="text1" w:themeShade="80" w:val="1E1E1E"/>
              </w:rPr>
              <w:t xml:space="preserve"> </w:t>
            </w:r>
            <w:r>
              <w:rPr>
                <w:color w:themeColor="text1" w:themeShade="80" w:val="1E1E1E"/>
              </w:rPr>
              <w:t>IP-камеры, устанавливаемые в технологических помещениях:</w:t>
            </w:r>
          </w:p>
          <w:p>
            <w:pPr>
              <w:pStyle w:val="ListParagraph"/>
              <w:numPr>
                <w:ilvl w:val="0"/>
                <w:numId w:val="66"/>
              </w:numPr>
              <w:ind w:hanging="360" w:start="2224"/>
              <w:rPr>
                <w:color w:themeColor="text1" w:themeShade="80" w:val="1E1E1E"/>
              </w:rPr>
            </w:pPr>
            <w:r>
              <w:rPr>
                <w:color w:themeColor="text1" w:themeShade="80" w:val="1E1E1E"/>
              </w:rPr>
              <w:t>разрешение IP-камеры не менее 1920x1080 точек;</w:t>
            </w:r>
          </w:p>
          <w:p>
            <w:pPr>
              <w:pStyle w:val="ListParagraph"/>
              <w:numPr>
                <w:ilvl w:val="0"/>
                <w:numId w:val="66"/>
              </w:numPr>
              <w:ind w:hanging="360" w:start="2224"/>
              <w:rPr>
                <w:color w:themeColor="text1" w:themeShade="80" w:val="1E1E1E"/>
              </w:rPr>
            </w:pPr>
            <w:r>
              <w:rPr>
                <w:color w:themeColor="text1" w:themeShade="80" w:val="1E1E1E"/>
              </w:rPr>
              <w:t xml:space="preserve">место установки </w:t>
            </w:r>
            <w:r>
              <w:rPr>
                <w:color w:themeColor="text1" w:themeShade="80" w:val="1E1E1E"/>
                <w:lang w:val="en-US"/>
              </w:rPr>
              <w:t>IP</w:t>
            </w:r>
            <w:r>
              <w:rPr>
                <w:color w:themeColor="text1" w:themeShade="80" w:val="1E1E1E"/>
              </w:rPr>
              <w:t>-камер определяется по результатам рекогносцировочных (обследовательских) работ, а также технических решений, предлагаемых исполнителем с согласованием с Заказчиком посредством официального запроса (в случае использования модульных зданий).</w:t>
            </w:r>
          </w:p>
          <w:p>
            <w:pPr>
              <w:pStyle w:val="ListParagraph"/>
              <w:numPr>
                <w:ilvl w:val="0"/>
                <w:numId w:val="66"/>
              </w:numPr>
              <w:spacing w:before="120" w:after="120"/>
              <w:ind w:hanging="360" w:start="2224"/>
              <w:contextualSpacing/>
              <w:rPr>
                <w:color w:themeColor="text1" w:themeShade="80" w:val="1E1E1E"/>
              </w:rPr>
            </w:pPr>
            <w:r>
              <w:rPr>
                <w:color w:themeColor="text1" w:themeShade="80" w:val="1E1E1E"/>
              </w:rPr>
              <w:t>Стационарные IP-камеры должны поддерживать функции дистанционного управления параметрами объективов (фокус и зум).</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16.Технические требования к системе охранной и тревожной сигнализации</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24"/>
              </w:numPr>
              <w:spacing w:before="120" w:after="120"/>
              <w:ind w:hanging="360" w:start="379"/>
              <w:contextualSpacing/>
              <w:rPr>
                <w:color w:themeColor="text1" w:themeShade="80" w:val="1E1E1E"/>
              </w:rPr>
            </w:pPr>
            <w:r>
              <w:rPr>
                <w:color w:themeColor="text1" w:themeShade="80" w:val="1E1E1E"/>
              </w:rPr>
              <w:t>Система охранной и тревожной сигнализации (СОТС) должна выполнять следующие задачи.</w:t>
            </w:r>
          </w:p>
          <w:p>
            <w:pPr>
              <w:pStyle w:val="ListParagraph"/>
              <w:numPr>
                <w:ilvl w:val="0"/>
                <w:numId w:val="25"/>
              </w:numPr>
              <w:rPr>
                <w:color w:themeColor="text1" w:themeShade="80" w:val="1E1E1E"/>
              </w:rPr>
            </w:pPr>
            <w:r>
              <w:rPr>
                <w:color w:themeColor="text1" w:themeShade="80" w:val="1E1E1E"/>
              </w:rPr>
              <w:t>выявление нарушителя, в том числе оснащенного специальными средствами для проникновения на объект транспортной инфраструктуры, в реальном времени на периметре внешних границ технологического сектора зоны транспортной безопасности и критических элементов объекта транспортной инфраструктуры;</w:t>
            </w:r>
          </w:p>
          <w:p>
            <w:pPr>
              <w:pStyle w:val="ListParagraph"/>
              <w:numPr>
                <w:ilvl w:val="0"/>
                <w:numId w:val="25"/>
              </w:numPr>
              <w:rPr>
                <w:color w:themeColor="text1" w:themeShade="80" w:val="1E1E1E"/>
              </w:rPr>
            </w:pPr>
            <w:r>
              <w:rPr>
                <w:color w:themeColor="text1" w:themeShade="80" w:val="1E1E1E"/>
              </w:rPr>
              <w:t xml:space="preserve">обнаружение несанкционированного вскрытия оборудования инженерных систем объекта; </w:t>
            </w:r>
          </w:p>
          <w:p>
            <w:pPr>
              <w:pStyle w:val="ListParagraph"/>
              <w:numPr>
                <w:ilvl w:val="0"/>
                <w:numId w:val="25"/>
              </w:numPr>
              <w:rPr>
                <w:color w:themeColor="text1" w:themeShade="80" w:val="1E1E1E"/>
              </w:rPr>
            </w:pPr>
            <w:r>
              <w:rPr>
                <w:color w:themeColor="text1" w:themeShade="80" w:val="1E1E1E"/>
              </w:rPr>
              <w:t>оповещение подразделения транспортной безопасности о несанкционированном проникновении в зону транспортной безопасности и на/к КЭ ОТИ;</w:t>
            </w:r>
          </w:p>
          <w:p>
            <w:pPr>
              <w:pStyle w:val="ListParagraph"/>
              <w:numPr>
                <w:ilvl w:val="0"/>
                <w:numId w:val="25"/>
              </w:numPr>
              <w:rPr>
                <w:color w:themeColor="text1" w:themeShade="80" w:val="1E1E1E"/>
              </w:rPr>
            </w:pPr>
            <w:r>
              <w:rPr>
                <w:color w:themeColor="text1" w:themeShade="80" w:val="1E1E1E"/>
              </w:rPr>
              <w:t>интеграцию и (или) совместное применение технических средств обеспечения транспортной безопасности с учетом технических характеристик инженерных систем и сооружений, препятствующих проникновению нарушителя в зону транспортной безопасности объекта транспортной инфраструктуры.</w:t>
            </w:r>
          </w:p>
          <w:p>
            <w:pPr>
              <w:pStyle w:val="ListParagraph"/>
              <w:numPr>
                <w:ilvl w:val="0"/>
                <w:numId w:val="24"/>
              </w:numPr>
              <w:ind w:hanging="360" w:start="379"/>
              <w:rPr>
                <w:color w:themeColor="text1" w:themeShade="80" w:val="1E1E1E"/>
              </w:rPr>
            </w:pPr>
            <w:r>
              <w:rPr>
                <w:color w:themeColor="text1" w:themeShade="80" w:val="1E1E1E"/>
              </w:rPr>
              <w:t>В общем случае, структура системы может включать в себя ряд модулей, конкретный набор которых определяется на этапе проектирования.</w:t>
            </w:r>
          </w:p>
          <w:p>
            <w:pPr>
              <w:pStyle w:val="ListParagraph"/>
              <w:numPr>
                <w:ilvl w:val="0"/>
                <w:numId w:val="26"/>
              </w:numPr>
              <w:rPr>
                <w:color w:themeColor="text1" w:themeShade="80" w:val="1E1E1E"/>
              </w:rPr>
            </w:pPr>
            <w:r>
              <w:rPr>
                <w:color w:themeColor="text1" w:themeShade="80" w:val="1E1E1E"/>
              </w:rPr>
              <w:t>Модуль контроля и управления – предназначен для контроля и управления системой ОТС, ведения журнала событий, формирования сигналов управления в системы телевизионного наблюдения и оповещения, формирования сигналов тревоги на пульт оператора ТСО на единого ПУ ОТБ группы ОТИ. Может включать в себя приемно-контрольное оборудование, в т. ч. автоматизированное рабочее место (АРМ) подсистемы охранной сигнализации.</w:t>
            </w:r>
          </w:p>
          <w:p>
            <w:pPr>
              <w:pStyle w:val="ListParagraph"/>
              <w:numPr>
                <w:ilvl w:val="0"/>
                <w:numId w:val="26"/>
              </w:numPr>
              <w:rPr>
                <w:color w:themeColor="text1" w:themeShade="80" w:val="1E1E1E"/>
              </w:rPr>
            </w:pPr>
            <w:r>
              <w:rPr>
                <w:color w:themeColor="text1" w:themeShade="80" w:val="1E1E1E"/>
              </w:rPr>
              <w:t xml:space="preserve">Модуль передачи извещений – предназначен для передачи данных о тревогах на пульт оператора ТСО на единого ПУ ОТБ группы ОТИ по предусмотренным каналам связи. Может состоять из объектового оборудования системы передачи извещений различных ведомств. </w:t>
            </w:r>
          </w:p>
          <w:p>
            <w:pPr>
              <w:pStyle w:val="ListParagraph"/>
              <w:numPr>
                <w:ilvl w:val="0"/>
                <w:numId w:val="26"/>
              </w:numPr>
              <w:rPr>
                <w:color w:themeColor="text1" w:themeShade="80" w:val="1E1E1E"/>
              </w:rPr>
            </w:pPr>
            <w:r>
              <w:rPr>
                <w:color w:themeColor="text1" w:themeShade="80" w:val="1E1E1E"/>
              </w:rPr>
              <w:t>Модуль охранной сигнализации инженерных заграждений устоев ОТИ – предназначен для обнаружения несанкционированного проникновения в зону транспортной безопасности устоев моста. Состоит из охранных извещателей, контролирующих периметр охранных зон устоев моста и может включать в себя охранные извещатели, защищающие зону транспортной безопасности.</w:t>
            </w:r>
          </w:p>
          <w:p>
            <w:pPr>
              <w:pStyle w:val="ListParagraph"/>
              <w:numPr>
                <w:ilvl w:val="0"/>
                <w:numId w:val="26"/>
              </w:numPr>
              <w:rPr>
                <w:color w:themeColor="text1" w:themeShade="80" w:val="1E1E1E"/>
              </w:rPr>
            </w:pPr>
            <w:r>
              <w:rPr>
                <w:color w:themeColor="text1" w:themeShade="80" w:val="1E1E1E"/>
              </w:rPr>
              <w:t>Модуль охранной сигнализации инженерных заграждений опор ОТИ – предназначен для обнаружения несанкционированного проникновения в зону транспортной безопасности вокруг опор и должен состоять из охранных извещателей, контролирующих зоны транспортной безопасности вокруг опор ОТИ.</w:t>
            </w:r>
          </w:p>
          <w:p>
            <w:pPr>
              <w:pStyle w:val="ListParagraph"/>
              <w:numPr>
                <w:ilvl w:val="0"/>
                <w:numId w:val="26"/>
              </w:numPr>
              <w:rPr>
                <w:color w:themeColor="text1" w:themeShade="80" w:val="1E1E1E"/>
              </w:rPr>
            </w:pPr>
            <w:r>
              <w:rPr>
                <w:color w:themeColor="text1" w:themeShade="80" w:val="1E1E1E"/>
              </w:rPr>
              <w:t>Модуль охранной сигнализации инженерных систем объекта – предназначен для обнаружения несанкционированного проникновения, а также несанкционированного вскрытия оборудования различных инженерных систем объекта и должен состоять из охранных извещателей, защищающих оборудование инженерных систем объекта.</w:t>
            </w:r>
          </w:p>
          <w:p>
            <w:pPr>
              <w:pStyle w:val="ListParagraph"/>
              <w:numPr>
                <w:ilvl w:val="0"/>
                <w:numId w:val="24"/>
              </w:numPr>
              <w:ind w:hanging="360" w:start="379"/>
              <w:rPr>
                <w:color w:themeColor="text1" w:themeShade="80" w:val="1E1E1E"/>
              </w:rPr>
            </w:pPr>
            <w:r>
              <w:rPr>
                <w:color w:themeColor="text1" w:themeShade="80" w:val="1E1E1E"/>
              </w:rPr>
              <w:t>Система охранной сигнализации должна иметь дежурный и тревожный режимы.</w:t>
            </w:r>
          </w:p>
          <w:p>
            <w:pPr>
              <w:pStyle w:val="ListParagraph"/>
              <w:numPr>
                <w:ilvl w:val="0"/>
                <w:numId w:val="24"/>
              </w:numPr>
              <w:ind w:hanging="360" w:start="379"/>
              <w:rPr>
                <w:color w:themeColor="text1" w:themeShade="80" w:val="1E1E1E"/>
              </w:rPr>
            </w:pPr>
            <w:r>
              <w:rPr>
                <w:color w:themeColor="text1" w:themeShade="80" w:val="1E1E1E"/>
              </w:rPr>
              <w:t>В дежурном режиме шлейфы охранной сигнализации могут быть сняты с охраны или взяты под охрану. Постановкой и снятием управляет оператор системы, исходя из оперативной обстановки.</w:t>
            </w:r>
          </w:p>
          <w:p>
            <w:pPr>
              <w:pStyle w:val="ListParagraph"/>
              <w:numPr>
                <w:ilvl w:val="0"/>
                <w:numId w:val="24"/>
              </w:numPr>
              <w:ind w:hanging="360" w:start="379"/>
              <w:rPr>
                <w:color w:themeColor="text1" w:themeShade="80" w:val="1E1E1E"/>
              </w:rPr>
            </w:pPr>
            <w:r>
              <w:rPr>
                <w:color w:themeColor="text1" w:themeShade="80" w:val="1E1E1E"/>
              </w:rPr>
              <w:t>В случае тревоги проникновения или нажатия тревожной кнопки на дисплее АРМ оператора ТСО на единого ПУ ОТБ группы ОТИ, на планировках объекта должно быть указано место, где зафиксировано проникновение или нажата тревожная кнопка.</w:t>
            </w:r>
          </w:p>
          <w:p>
            <w:pPr>
              <w:pStyle w:val="ListParagraph"/>
              <w:numPr>
                <w:ilvl w:val="0"/>
                <w:numId w:val="24"/>
              </w:numPr>
              <w:ind w:hanging="360" w:start="379"/>
              <w:rPr>
                <w:color w:themeColor="text1" w:themeShade="80" w:val="1E1E1E"/>
              </w:rPr>
            </w:pPr>
            <w:r>
              <w:rPr>
                <w:color w:themeColor="text1" w:themeShade="80" w:val="1E1E1E"/>
              </w:rPr>
              <w:t>Сведения о тревоге должны передаваться на пост (пункт) управления обеспечения транспортной безопасности.</w:t>
            </w:r>
          </w:p>
          <w:p>
            <w:pPr>
              <w:pStyle w:val="ListParagraph"/>
              <w:numPr>
                <w:ilvl w:val="0"/>
                <w:numId w:val="24"/>
              </w:numPr>
              <w:ind w:hanging="360" w:start="379"/>
              <w:rPr>
                <w:color w:themeColor="text1" w:themeShade="80" w:val="1E1E1E"/>
              </w:rPr>
            </w:pPr>
            <w:r>
              <w:rPr>
                <w:color w:themeColor="text1" w:themeShade="80" w:val="1E1E1E"/>
              </w:rPr>
              <w:t>Информация обо всех событиях в системе, а также действиях оператора, с указанием даты и времени, заносится в журнал событий.</w:t>
            </w:r>
          </w:p>
          <w:p>
            <w:pPr>
              <w:pStyle w:val="ListParagraph"/>
              <w:numPr>
                <w:ilvl w:val="0"/>
                <w:numId w:val="24"/>
              </w:numPr>
              <w:ind w:hanging="360" w:start="379"/>
              <w:rPr>
                <w:color w:themeColor="text1" w:themeShade="80" w:val="1E1E1E"/>
              </w:rPr>
            </w:pPr>
            <w:r>
              <w:rPr>
                <w:color w:themeColor="text1" w:themeShade="80" w:val="1E1E1E"/>
              </w:rPr>
              <w:t>В состав системы охранной сигнализации должно входить следующее оборудование:</w:t>
            </w:r>
          </w:p>
          <w:p>
            <w:pPr>
              <w:pStyle w:val="ListParagraph"/>
              <w:numPr>
                <w:ilvl w:val="0"/>
                <w:numId w:val="27"/>
              </w:numPr>
              <w:rPr>
                <w:color w:themeColor="text1" w:themeShade="80" w:val="1E1E1E"/>
              </w:rPr>
            </w:pPr>
            <w:r>
              <w:rPr>
                <w:color w:themeColor="text1" w:themeShade="80" w:val="1E1E1E"/>
              </w:rPr>
              <w:t>приемно-контрольное оборудование, в т. ч. АРМ системы – предназначено для контроля и управления системой, ведения журнала событий, формирования сигналов управления в системы теленаблюдения и оповещения, формирования сигналов тревоги на пост (пункт) управления обеспечения транспортной безопасности;</w:t>
            </w:r>
          </w:p>
          <w:p>
            <w:pPr>
              <w:pStyle w:val="ListParagraph"/>
              <w:numPr>
                <w:ilvl w:val="0"/>
                <w:numId w:val="27"/>
              </w:numPr>
              <w:rPr>
                <w:color w:themeColor="text1" w:themeShade="80" w:val="1E1E1E"/>
              </w:rPr>
            </w:pPr>
            <w:r>
              <w:rPr>
                <w:color w:themeColor="text1" w:themeShade="80" w:val="1E1E1E"/>
              </w:rPr>
              <w:t>оборудование сопряжения с другими системами комплекса;</w:t>
            </w:r>
          </w:p>
          <w:p>
            <w:pPr>
              <w:pStyle w:val="ListParagraph"/>
              <w:numPr>
                <w:ilvl w:val="0"/>
                <w:numId w:val="27"/>
              </w:numPr>
              <w:rPr>
                <w:color w:themeColor="text1" w:themeShade="80" w:val="1E1E1E"/>
              </w:rPr>
            </w:pPr>
            <w:r>
              <w:rPr>
                <w:color w:themeColor="text1" w:themeShade="80" w:val="1E1E1E"/>
              </w:rPr>
              <w:t>объектовое оборудование передачи извещений - предназначено для передачи на пост (пункт) управления обеспечения транспортной безопасности данных о тревогах по предусмотренным каналам связи;</w:t>
            </w:r>
          </w:p>
          <w:p>
            <w:pPr>
              <w:pStyle w:val="ListParagraph"/>
              <w:numPr>
                <w:ilvl w:val="0"/>
                <w:numId w:val="27"/>
              </w:numPr>
              <w:rPr>
                <w:color w:themeColor="text1" w:themeShade="80" w:val="1E1E1E"/>
              </w:rPr>
            </w:pPr>
            <w:r>
              <w:rPr>
                <w:color w:themeColor="text1" w:themeShade="80" w:val="1E1E1E"/>
              </w:rPr>
              <w:t>пожарные извещатели;</w:t>
            </w:r>
          </w:p>
          <w:p>
            <w:pPr>
              <w:pStyle w:val="ListParagraph"/>
              <w:numPr>
                <w:ilvl w:val="0"/>
                <w:numId w:val="27"/>
              </w:numPr>
              <w:rPr>
                <w:color w:themeColor="text1" w:themeShade="80" w:val="1E1E1E"/>
              </w:rPr>
            </w:pPr>
            <w:r>
              <w:rPr>
                <w:color w:themeColor="text1" w:themeShade="80" w:val="1E1E1E"/>
              </w:rPr>
              <w:t xml:space="preserve">охранные извещатели, в т. ч.: </w:t>
            </w:r>
          </w:p>
          <w:p>
            <w:pPr>
              <w:pStyle w:val="ListParagraph"/>
              <w:numPr>
                <w:ilvl w:val="0"/>
                <w:numId w:val="28"/>
              </w:numPr>
              <w:rPr>
                <w:color w:themeColor="text1" w:themeShade="80" w:val="1E1E1E"/>
              </w:rPr>
            </w:pPr>
            <w:r>
              <w:rPr>
                <w:color w:themeColor="text1" w:themeShade="80" w:val="1E1E1E"/>
              </w:rPr>
              <w:t>периметровые, защищающие периметр зоны транспортной безопасности;</w:t>
            </w:r>
          </w:p>
          <w:p>
            <w:pPr>
              <w:pStyle w:val="ListParagraph"/>
              <w:numPr>
                <w:ilvl w:val="0"/>
                <w:numId w:val="28"/>
              </w:numPr>
              <w:rPr>
                <w:color w:themeColor="text1" w:themeShade="80" w:val="1E1E1E"/>
              </w:rPr>
            </w:pPr>
            <w:r>
              <w:rPr>
                <w:color w:themeColor="text1" w:themeShade="80" w:val="1E1E1E"/>
              </w:rPr>
              <w:t>извещатели магнитоконтактные, защищающие входы в зону транспортной безопасности;</w:t>
            </w:r>
          </w:p>
          <w:p>
            <w:pPr>
              <w:pStyle w:val="ListParagraph"/>
              <w:numPr>
                <w:ilvl w:val="0"/>
                <w:numId w:val="28"/>
              </w:numPr>
              <w:rPr>
                <w:color w:themeColor="text1" w:themeShade="80" w:val="1E1E1E"/>
              </w:rPr>
            </w:pPr>
            <w:r>
              <w:rPr>
                <w:color w:themeColor="text1" w:themeShade="80" w:val="1E1E1E"/>
              </w:rPr>
              <w:t>извещатели для защиты оборудования;</w:t>
            </w:r>
          </w:p>
          <w:p>
            <w:pPr>
              <w:pStyle w:val="ListParagraph"/>
              <w:numPr>
                <w:ilvl w:val="0"/>
                <w:numId w:val="27"/>
              </w:numPr>
              <w:rPr>
                <w:color w:themeColor="text1" w:themeShade="80" w:val="1E1E1E"/>
              </w:rPr>
            </w:pPr>
            <w:r>
              <w:rPr>
                <w:color w:themeColor="text1" w:themeShade="80" w:val="1E1E1E"/>
              </w:rPr>
              <w:t>источники вторичного электропитания, обеспечивающие резервированное питание системы.</w:t>
            </w:r>
          </w:p>
          <w:p>
            <w:pPr>
              <w:pStyle w:val="ListParagraph"/>
              <w:numPr>
                <w:ilvl w:val="0"/>
                <w:numId w:val="24"/>
              </w:numPr>
              <w:rPr/>
            </w:pPr>
            <w:r>
              <w:rPr/>
              <w:t>Система и средства сигнализации в зависимости от их назначения:</w:t>
            </w:r>
          </w:p>
          <w:p>
            <w:pPr>
              <w:pStyle w:val="ListParagraph"/>
              <w:numPr>
                <w:ilvl w:val="0"/>
                <w:numId w:val="27"/>
              </w:numPr>
              <w:rPr/>
            </w:pPr>
            <w:r>
              <w:rPr/>
              <w:t>должны соответствовать требованиям национального стандарта Российской Федерации ГОСТ Р 54126-2010 "Оповещатели охранные. Классификация. Общие технические требования и методы испытаний" (утвержден приказом Федерального агентства по техническому регулированию и метрологии от 21 декабря 2010 г. № 822-ст, введен в действие с 1 сентября 2011 г.);</w:t>
            </w:r>
          </w:p>
          <w:p>
            <w:pPr>
              <w:pStyle w:val="ListParagraph"/>
              <w:numPr>
                <w:ilvl w:val="0"/>
                <w:numId w:val="27"/>
              </w:numPr>
              <w:rPr/>
            </w:pPr>
            <w:r>
              <w:rPr/>
              <w:t>должны соответствовать требованиям национального стандарта Российской Федерации ГОСТ Р 52435-2015 "Технические средства охранной сигнализации. Классификация. Общие технические требования и методы испытаний" (утвержден приказом Федерального агентства по техническому регулированию и метрологии от 28 октября 2015 г. № 1659-ст, введен в действие с 1 мая 2016 г.);</w:t>
            </w:r>
          </w:p>
          <w:p>
            <w:pPr>
              <w:pStyle w:val="ListParagraph"/>
              <w:numPr>
                <w:ilvl w:val="0"/>
                <w:numId w:val="27"/>
              </w:numPr>
              <w:rPr/>
            </w:pPr>
            <w:r>
              <w:rPr/>
              <w:t>должны соответствовать требованиям национального стандарта Российской Федерации ГОСТ Р 57674-2017 "Интегрированные системы безопасности. Общие положения" (утвержден приказом Федерального агентства по техническому регулированию и метрологии от 19 сентября 2017 г. № 1142-ст, введен в действие с 1 июня 2018 г.);</w:t>
            </w:r>
          </w:p>
          <w:p>
            <w:pPr>
              <w:pStyle w:val="ListParagraph"/>
              <w:numPr>
                <w:ilvl w:val="0"/>
                <w:numId w:val="27"/>
              </w:numPr>
              <w:rPr/>
            </w:pPr>
            <w:r>
              <w:rPr/>
              <w:t>должны соответствовать требованиям национального стандарта Российской Федерации ГОСТ Р 53560-2022 "Системы тревожной сигнализации. Источники электропитания. Классификация. Общие технические требования и методы испытаний" (утвержден приказом Федерального агентства по техническому регулированию и метрологии от 22 декабря 2022 г. № 1558-ст, введен в действие с 1 января 2023 г.);</w:t>
            </w:r>
          </w:p>
          <w:p>
            <w:pPr>
              <w:pStyle w:val="ListParagraph"/>
              <w:numPr>
                <w:ilvl w:val="0"/>
                <w:numId w:val="27"/>
              </w:numPr>
              <w:rPr/>
            </w:pPr>
            <w:r>
              <w:rPr/>
              <w:t>должны соответствовать требованиям национального стандарта Российской Федерации ГОСТ Р 52436-2024 "Приборы приемно-контрольные охранные. Классификация. Общие технические требования и методы испытаний" (утвержден приказом Федерального агентства по техническому регулированию и метрологии от 19 марта 2024 г. № 337-ст, введен в действие с 1 июня 2024 г.);</w:t>
            </w:r>
          </w:p>
          <w:p>
            <w:pPr>
              <w:pStyle w:val="ListParagraph"/>
              <w:numPr>
                <w:ilvl w:val="0"/>
                <w:numId w:val="27"/>
              </w:numPr>
              <w:rPr/>
            </w:pPr>
            <w:r>
              <w:rPr/>
              <w:t>должны обеспечивать возможность создания на охраняемом объекте рубежей охраны, предназначенных для обнаружения попыток или фактов незаконного проникновения на охраняемый объект (в зону ограниченного доступа) либо совершения противоправных действий в отношении его или находящегося на его территории имущества (сигнализации о таких попытках или фактах), совершаемых путем:</w:t>
            </w:r>
          </w:p>
          <w:p>
            <w:pPr>
              <w:pStyle w:val="ListParagraph"/>
              <w:numPr>
                <w:ilvl w:val="0"/>
                <w:numId w:val="28"/>
              </w:numPr>
              <w:rPr/>
            </w:pPr>
            <w:r>
              <w:rPr/>
              <w:t>разрушающих воздействий на защитные (сигнальные) заграждения (ограждения);</w:t>
            </w:r>
          </w:p>
          <w:p>
            <w:pPr>
              <w:pStyle w:val="ListParagraph"/>
              <w:numPr>
                <w:ilvl w:val="0"/>
                <w:numId w:val="28"/>
              </w:numPr>
              <w:rPr/>
            </w:pPr>
            <w:r>
              <w:rPr/>
              <w:t>пересечения границы периметра территории охраняемого объекта;</w:t>
            </w:r>
          </w:p>
          <w:p>
            <w:pPr>
              <w:pStyle w:val="ListParagraph"/>
              <w:numPr>
                <w:ilvl w:val="0"/>
                <w:numId w:val="28"/>
              </w:numPr>
              <w:rPr/>
            </w:pPr>
            <w:r>
              <w:rPr/>
              <w:t>перемещения по территории внутри периметра охраняемого объекта;</w:t>
            </w:r>
          </w:p>
          <w:p>
            <w:pPr>
              <w:pStyle w:val="ListParagraph"/>
              <w:numPr>
                <w:ilvl w:val="0"/>
                <w:numId w:val="28"/>
              </w:numPr>
              <w:rPr/>
            </w:pPr>
            <w:r>
              <w:rPr/>
              <w:t>разрушающих воздействий на строительные конструкции зданий, строений и сооружений (стены, перекрытия, окна и двери);</w:t>
            </w:r>
          </w:p>
          <w:p>
            <w:pPr>
              <w:pStyle w:val="ListParagraph"/>
              <w:numPr>
                <w:ilvl w:val="0"/>
                <w:numId w:val="28"/>
              </w:numPr>
              <w:rPr/>
            </w:pPr>
            <w:r>
              <w:rPr/>
              <w:t>проникновения через оконные, дверные и технологические проемы зданий, строений и сооружений;</w:t>
            </w:r>
          </w:p>
          <w:p>
            <w:pPr>
              <w:pStyle w:val="ListParagraph"/>
              <w:numPr>
                <w:ilvl w:val="0"/>
                <w:numId w:val="28"/>
              </w:numPr>
              <w:rPr/>
            </w:pPr>
            <w:r>
              <w:rPr/>
              <w:t>перемещения во внутреннем пространстве зданий, строений, сооружений и их отдельных помещений;</w:t>
            </w:r>
          </w:p>
          <w:p>
            <w:pPr>
              <w:pStyle w:val="ListParagraph"/>
              <w:numPr>
                <w:ilvl w:val="0"/>
                <w:numId w:val="28"/>
              </w:numPr>
              <w:rPr/>
            </w:pPr>
            <w:r>
              <w:rPr/>
              <w:t>разрушающих воздействий на средства безопасности хранения имущества (сейфы, шкафы и т.п.).</w:t>
            </w:r>
          </w:p>
          <w:p>
            <w:pPr>
              <w:pStyle w:val="Normal"/>
              <w:spacing w:before="120" w:after="120"/>
              <w:rPr>
                <w:color w:themeColor="text1" w:themeShade="80" w:val="1E1E1E"/>
              </w:rPr>
            </w:pPr>
            <w:r>
              <w:rPr>
                <w:color w:themeColor="text1" w:themeShade="80" w:val="1E1E1E"/>
              </w:rPr>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17.Технические требования к системе оповещения</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29"/>
              </w:numPr>
              <w:spacing w:before="120" w:after="120"/>
              <w:ind w:hanging="360" w:start="379"/>
              <w:contextualSpacing/>
              <w:rPr>
                <w:color w:themeColor="text1" w:themeShade="80" w:val="1E1E1E"/>
              </w:rPr>
            </w:pPr>
            <w:r>
              <w:rPr>
                <w:color w:themeColor="text1" w:themeShade="80" w:val="1E1E1E"/>
              </w:rPr>
              <w:t>Система связи и оповещения (ССО) должна обеспечивать трансляцию в зоне свободного доступа и в зоне транспортной безопасности в случае нештатных ситуаций речевых сообщений, направленных на нормализацию обстановки.</w:t>
            </w:r>
          </w:p>
          <w:p>
            <w:pPr>
              <w:pStyle w:val="ListParagraph"/>
              <w:numPr>
                <w:ilvl w:val="0"/>
                <w:numId w:val="29"/>
              </w:numPr>
              <w:ind w:hanging="360" w:start="379"/>
              <w:rPr>
                <w:color w:themeColor="text1" w:themeShade="80" w:val="1E1E1E"/>
              </w:rPr>
            </w:pPr>
            <w:r>
              <w:rPr>
                <w:color w:themeColor="text1" w:themeShade="80" w:val="1E1E1E"/>
              </w:rPr>
              <w:t>Структура системы оповещения должна включать в себя модули управления и оповещения.</w:t>
            </w:r>
          </w:p>
          <w:p>
            <w:pPr>
              <w:pStyle w:val="ListParagraph"/>
              <w:numPr>
                <w:ilvl w:val="0"/>
                <w:numId w:val="31"/>
              </w:numPr>
              <w:ind w:hanging="360" w:start="804"/>
              <w:rPr>
                <w:color w:themeColor="text1" w:themeShade="80" w:val="1E1E1E"/>
              </w:rPr>
            </w:pPr>
            <w:r>
              <w:rPr>
                <w:color w:themeColor="text1" w:themeShade="80" w:val="1E1E1E"/>
              </w:rPr>
              <w:t>Модуль управления – должен обеспечивать трансляцию речевых сообщений по зонам оповещения в автоматическом и ручном режимах и должен включать в себя микрофонную консоль, звуко-усилительное и коммутационное оборудование, а также цифровой магнитофон для записи и воспроизведения автоматически транслируемых сообщений.</w:t>
            </w:r>
          </w:p>
          <w:p>
            <w:pPr>
              <w:pStyle w:val="ListParagraph"/>
              <w:numPr>
                <w:ilvl w:val="0"/>
                <w:numId w:val="31"/>
              </w:numPr>
              <w:ind w:hanging="360" w:start="804"/>
              <w:rPr>
                <w:color w:themeColor="text1" w:themeShade="80" w:val="1E1E1E"/>
              </w:rPr>
            </w:pPr>
            <w:r>
              <w:rPr>
                <w:color w:themeColor="text1" w:themeShade="80" w:val="1E1E1E"/>
              </w:rPr>
              <w:t>Модуль оповещения в зоне свободного доступа – должен служить для воспроизведения речевых сообщений в зоне свободного доступа (проезжей части) и в подмостовом пространстве и должен состоять из громкоговорителей, установленных таким образом, чтобы обеспечивать требуемую громкость трансляции в зонах оповещения.</w:t>
            </w:r>
          </w:p>
          <w:p>
            <w:pPr>
              <w:pStyle w:val="ListParagraph"/>
              <w:numPr>
                <w:ilvl w:val="0"/>
                <w:numId w:val="31"/>
              </w:numPr>
              <w:ind w:hanging="360" w:start="804"/>
              <w:rPr>
                <w:color w:themeColor="text1" w:themeShade="80" w:val="1E1E1E"/>
              </w:rPr>
            </w:pPr>
            <w:r>
              <w:rPr>
                <w:color w:themeColor="text1" w:themeShade="80" w:val="1E1E1E"/>
              </w:rPr>
              <w:t>Модуль оповещения в зоне транспортной безопасности и/или критических элементах – должен служить для воспроизведения речевых сообщений в зоне устоев моста и мостовых опор. Состоит из громкоговорителей, обеспечивающих требуемую громкость трансляции в зонах оповещения.</w:t>
            </w:r>
          </w:p>
          <w:p>
            <w:pPr>
              <w:pStyle w:val="ListParagraph"/>
              <w:numPr>
                <w:ilvl w:val="0"/>
                <w:numId w:val="29"/>
              </w:numPr>
              <w:ind w:hanging="360" w:start="379"/>
              <w:rPr>
                <w:color w:themeColor="text1" w:themeShade="80" w:val="1E1E1E"/>
              </w:rPr>
            </w:pPr>
            <w:r>
              <w:rPr>
                <w:color w:themeColor="text1" w:themeShade="80" w:val="1E1E1E"/>
              </w:rPr>
              <w:t>Система оповещения должна работать в автоматическом и ручном режимах.</w:t>
            </w:r>
          </w:p>
          <w:p>
            <w:pPr>
              <w:pStyle w:val="ListParagraph"/>
              <w:numPr>
                <w:ilvl w:val="0"/>
                <w:numId w:val="29"/>
              </w:numPr>
              <w:ind w:hanging="360" w:start="379"/>
              <w:rPr>
                <w:color w:themeColor="text1" w:themeShade="80" w:val="1E1E1E"/>
              </w:rPr>
            </w:pPr>
            <w:r>
              <w:rPr>
                <w:color w:themeColor="text1" w:themeShade="80" w:val="1E1E1E"/>
              </w:rPr>
              <w:t>В автоматическом режиме, при получении управляющего сигнала из системы ССО, должна осуществляться трансляция заранее записанного речевого сообщения в зоны оповещения в соответствии с заданным алгоритмом.</w:t>
            </w:r>
          </w:p>
          <w:p>
            <w:pPr>
              <w:pStyle w:val="ListParagraph"/>
              <w:numPr>
                <w:ilvl w:val="0"/>
                <w:numId w:val="29"/>
              </w:numPr>
              <w:ind w:hanging="360" w:start="379"/>
              <w:rPr>
                <w:color w:themeColor="text1" w:themeShade="80" w:val="1E1E1E"/>
              </w:rPr>
            </w:pPr>
            <w:r>
              <w:rPr>
                <w:color w:themeColor="text1" w:themeShade="80" w:val="1E1E1E"/>
              </w:rPr>
              <w:t>В ручном режиме, при необходимости, сотрудник подразделения обеспечения транспортной информации должен транслировать сообщения выборочно или одновременно во все зоны оповещения, используя микрофонную консоль.</w:t>
            </w:r>
          </w:p>
          <w:p>
            <w:pPr>
              <w:pStyle w:val="ListParagraph"/>
              <w:numPr>
                <w:ilvl w:val="0"/>
                <w:numId w:val="29"/>
              </w:numPr>
              <w:ind w:hanging="360" w:start="379"/>
              <w:rPr>
                <w:bCs/>
                <w:color w:themeColor="text1" w:themeShade="80" w:val="1E1E1E"/>
              </w:rPr>
            </w:pPr>
            <w:r>
              <w:rPr>
                <w:bCs/>
                <w:color w:themeColor="text1" w:themeShade="80" w:val="1E1E1E"/>
              </w:rPr>
              <w:t>Система оповещения должна быть построена на основе стандартных локальных сетей Ethernet с обеспечением:</w:t>
            </w:r>
          </w:p>
          <w:p>
            <w:pPr>
              <w:pStyle w:val="ListParagraph"/>
              <w:numPr>
                <w:ilvl w:val="0"/>
                <w:numId w:val="30"/>
              </w:numPr>
              <w:rPr>
                <w:bCs/>
                <w:color w:themeColor="text1" w:themeShade="80" w:val="1E1E1E"/>
              </w:rPr>
            </w:pPr>
            <w:r>
              <w:rPr>
                <w:bCs/>
                <w:color w:themeColor="text1" w:themeShade="80" w:val="1E1E1E"/>
              </w:rPr>
              <w:t>постоянного полного контроля состояния компонентов системы;</w:t>
            </w:r>
          </w:p>
          <w:p>
            <w:pPr>
              <w:pStyle w:val="ListParagraph"/>
              <w:numPr>
                <w:ilvl w:val="0"/>
                <w:numId w:val="30"/>
              </w:numPr>
              <w:rPr>
                <w:bCs/>
                <w:color w:themeColor="text1" w:themeShade="80" w:val="1E1E1E"/>
              </w:rPr>
            </w:pPr>
            <w:r>
              <w:rPr>
                <w:bCs/>
                <w:color w:themeColor="text1" w:themeShade="80" w:val="1E1E1E"/>
              </w:rPr>
              <w:t>автоматической регистрации сбоев в журнале для анализа работы системы и действий персонала;</w:t>
            </w:r>
          </w:p>
          <w:p>
            <w:pPr>
              <w:pStyle w:val="ListParagraph"/>
              <w:numPr>
                <w:ilvl w:val="0"/>
                <w:numId w:val="30"/>
              </w:numPr>
              <w:rPr>
                <w:bCs/>
                <w:color w:themeColor="text1" w:themeShade="80" w:val="1E1E1E"/>
              </w:rPr>
            </w:pPr>
            <w:r>
              <w:rPr>
                <w:bCs/>
                <w:color w:themeColor="text1" w:themeShade="80" w:val="1E1E1E"/>
              </w:rPr>
              <w:t>удаленного доступа и конфигурирования по локальной сети через ПО, устанавливаемого на ПК;</w:t>
            </w:r>
          </w:p>
          <w:p>
            <w:pPr>
              <w:pStyle w:val="ListParagraph"/>
              <w:numPr>
                <w:ilvl w:val="0"/>
                <w:numId w:val="30"/>
              </w:numPr>
              <w:spacing w:before="120" w:after="120"/>
              <w:contextualSpacing/>
              <w:rPr>
                <w:bCs/>
                <w:color w:themeColor="text1" w:themeShade="80" w:val="1E1E1E"/>
              </w:rPr>
            </w:pPr>
            <w:r>
              <w:rPr>
                <w:bCs/>
                <w:color w:themeColor="text1" w:themeShade="80" w:val="1E1E1E"/>
              </w:rPr>
              <w:t>удобного и интуитивно понятного интерфейса ПО.</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18.Технические требования к системе сбора и обработки информации</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32"/>
              </w:numPr>
              <w:spacing w:before="120" w:after="120"/>
              <w:ind w:hanging="360" w:start="379"/>
              <w:contextualSpacing/>
              <w:rPr>
                <w:color w:themeColor="text1" w:themeShade="80" w:val="1E1E1E"/>
              </w:rPr>
            </w:pPr>
            <w:r>
              <w:rPr>
                <w:color w:themeColor="text1" w:themeShade="80" w:val="1E1E1E"/>
              </w:rPr>
              <w:t>Система сбора и обработки информации предназначена для интеграции и конфигурирования подсистем безопасности, управления комплексом ИТСОТБ, централизованного сбора и анализа данных по ОТИ.</w:t>
            </w:r>
          </w:p>
          <w:p>
            <w:pPr>
              <w:pStyle w:val="ListParagraph"/>
              <w:numPr>
                <w:ilvl w:val="0"/>
                <w:numId w:val="32"/>
              </w:numPr>
              <w:ind w:hanging="360" w:start="379"/>
              <w:rPr>
                <w:color w:themeColor="text1" w:themeShade="80" w:val="1E1E1E"/>
              </w:rPr>
            </w:pPr>
            <w:r>
              <w:rPr>
                <w:color w:themeColor="text1" w:themeShade="80" w:val="1E1E1E"/>
              </w:rPr>
              <w:t>Система сбора и обработки информации должна обеспечивать:</w:t>
            </w:r>
          </w:p>
          <w:p>
            <w:pPr>
              <w:pStyle w:val="ListParagraph"/>
              <w:numPr>
                <w:ilvl w:val="0"/>
                <w:numId w:val="33"/>
              </w:numPr>
              <w:rPr>
                <w:color w:themeColor="text1" w:themeShade="80" w:val="1E1E1E"/>
              </w:rPr>
            </w:pPr>
            <w:r>
              <w:rPr>
                <w:color w:themeColor="text1" w:themeShade="80" w:val="1E1E1E"/>
              </w:rPr>
              <w:t>круглосуточный контроль состояния всего комплекса инженерно-технических средств (систем) обеспечения транспортной безопасности с постоянной регистрацией происходящих событий, долговременное хранение информации о событиях с возможностью последующей расшифровки и анализа;</w:t>
            </w:r>
          </w:p>
          <w:p>
            <w:pPr>
              <w:pStyle w:val="ListParagraph"/>
              <w:numPr>
                <w:ilvl w:val="0"/>
                <w:numId w:val="33"/>
              </w:numPr>
              <w:rPr>
                <w:color w:themeColor="text1" w:themeShade="80" w:val="1E1E1E"/>
              </w:rPr>
            </w:pPr>
            <w:r>
              <w:rPr>
                <w:color w:themeColor="text1" w:themeShade="80" w:val="1E1E1E"/>
              </w:rPr>
              <w:t>привязку фиксируемых событий в различных подсистемах к единым временным отметкам («требование единого времени»);</w:t>
            </w:r>
          </w:p>
          <w:p>
            <w:pPr>
              <w:pStyle w:val="ListParagraph"/>
              <w:numPr>
                <w:ilvl w:val="0"/>
                <w:numId w:val="33"/>
              </w:numPr>
              <w:rPr>
                <w:color w:themeColor="text1" w:themeShade="80" w:val="1E1E1E"/>
              </w:rPr>
            </w:pPr>
            <w:r>
              <w:rPr>
                <w:color w:themeColor="text1" w:themeShade="80" w:val="1E1E1E"/>
              </w:rPr>
              <w:t>разделение полномочий для различных групп пользователей при контроле/управлении инженерно-техническими средствами (системами) обеспечения транспортной безопасности;</w:t>
            </w:r>
          </w:p>
          <w:p>
            <w:pPr>
              <w:pStyle w:val="ListParagraph"/>
              <w:numPr>
                <w:ilvl w:val="0"/>
                <w:numId w:val="33"/>
              </w:numPr>
              <w:rPr>
                <w:color w:themeColor="text1" w:themeShade="80" w:val="1E1E1E"/>
              </w:rPr>
            </w:pPr>
            <w:r>
              <w:rPr>
                <w:color w:themeColor="text1" w:themeShade="80" w:val="1E1E1E"/>
              </w:rPr>
              <w:t>взаимодействие между системами в части функционирования в тревожных и других ситуациях;</w:t>
            </w:r>
          </w:p>
          <w:p>
            <w:pPr>
              <w:pStyle w:val="ListParagraph"/>
              <w:numPr>
                <w:ilvl w:val="0"/>
                <w:numId w:val="33"/>
              </w:numPr>
              <w:rPr>
                <w:color w:themeColor="text1" w:themeShade="80" w:val="1E1E1E"/>
              </w:rPr>
            </w:pPr>
            <w:r>
              <w:rPr>
                <w:color w:themeColor="text1" w:themeShade="80" w:val="1E1E1E"/>
              </w:rPr>
              <w:t>возможность реализации нескольких дополнительных функций для каждой из систем, недоступных при их автономном функционировании;</w:t>
            </w:r>
          </w:p>
          <w:p>
            <w:pPr>
              <w:pStyle w:val="ListParagraph"/>
              <w:numPr>
                <w:ilvl w:val="0"/>
                <w:numId w:val="33"/>
              </w:numPr>
              <w:rPr>
                <w:color w:themeColor="text1" w:themeShade="80" w:val="1E1E1E"/>
              </w:rPr>
            </w:pPr>
            <w:r>
              <w:rPr>
                <w:color w:themeColor="text1" w:themeShade="80" w:val="1E1E1E"/>
              </w:rPr>
              <w:t>одновременное и независимое выполнение следующих функций без их взаимного влияния друг на друга;</w:t>
            </w:r>
          </w:p>
          <w:p>
            <w:pPr>
              <w:pStyle w:val="ListParagraph"/>
              <w:numPr>
                <w:ilvl w:val="0"/>
                <w:numId w:val="33"/>
              </w:numPr>
              <w:rPr>
                <w:color w:themeColor="text1" w:themeShade="80" w:val="1E1E1E"/>
              </w:rPr>
            </w:pPr>
            <w:r>
              <w:rPr>
                <w:color w:themeColor="text1" w:themeShade="80" w:val="1E1E1E"/>
              </w:rPr>
              <w:t>просмотр изображений видеонаблюдения в реальном времени;</w:t>
            </w:r>
          </w:p>
          <w:p>
            <w:pPr>
              <w:pStyle w:val="ListParagraph"/>
              <w:numPr>
                <w:ilvl w:val="0"/>
                <w:numId w:val="33"/>
              </w:numPr>
              <w:rPr>
                <w:color w:themeColor="text1" w:themeShade="80" w:val="1E1E1E"/>
              </w:rPr>
            </w:pPr>
            <w:r>
              <w:rPr>
                <w:color w:themeColor="text1" w:themeShade="80" w:val="1E1E1E"/>
              </w:rPr>
              <w:t>запись изображений;</w:t>
            </w:r>
          </w:p>
          <w:p>
            <w:pPr>
              <w:pStyle w:val="ListParagraph"/>
              <w:numPr>
                <w:ilvl w:val="0"/>
                <w:numId w:val="33"/>
              </w:numPr>
              <w:rPr>
                <w:color w:themeColor="text1" w:themeShade="80" w:val="1E1E1E"/>
              </w:rPr>
            </w:pPr>
            <w:r>
              <w:rPr>
                <w:color w:themeColor="text1" w:themeShade="80" w:val="1E1E1E"/>
              </w:rPr>
              <w:t>работа с видеоархивом.</w:t>
            </w:r>
          </w:p>
          <w:p>
            <w:pPr>
              <w:pStyle w:val="ListParagraph"/>
              <w:numPr>
                <w:ilvl w:val="0"/>
                <w:numId w:val="32"/>
              </w:numPr>
              <w:ind w:hanging="360" w:start="379"/>
              <w:rPr>
                <w:color w:themeColor="text1" w:themeShade="80" w:val="1E1E1E"/>
              </w:rPr>
            </w:pPr>
            <w:r>
              <w:rPr>
                <w:color w:themeColor="text1" w:themeShade="80" w:val="1E1E1E"/>
              </w:rPr>
              <w:t>Средства обработки и регистрации видеоинформации должны обеспечивать:</w:t>
            </w:r>
          </w:p>
          <w:p>
            <w:pPr>
              <w:pStyle w:val="ListParagraph"/>
              <w:numPr>
                <w:ilvl w:val="0"/>
                <w:numId w:val="34"/>
              </w:numPr>
              <w:rPr>
                <w:color w:themeColor="text1" w:themeShade="80" w:val="1E1E1E"/>
              </w:rPr>
            </w:pPr>
            <w:r>
              <w:rPr>
                <w:color w:themeColor="text1" w:themeShade="80" w:val="1E1E1E"/>
              </w:rPr>
              <w:t>одновременную непрерывную регистрацию всех цифровых видеопотоков, с разрешением и темпом регистрации, формируемым видеокамерами не менее 12 кадров/сек;</w:t>
            </w:r>
          </w:p>
          <w:p>
            <w:pPr>
              <w:pStyle w:val="ListParagraph"/>
              <w:numPr>
                <w:ilvl w:val="0"/>
                <w:numId w:val="34"/>
              </w:numPr>
              <w:rPr>
                <w:color w:themeColor="text1" w:themeShade="80" w:val="1E1E1E"/>
              </w:rPr>
            </w:pPr>
            <w:r>
              <w:rPr>
                <w:color w:themeColor="text1" w:themeShade="80" w:val="1E1E1E"/>
              </w:rPr>
              <w:t>регистрацию всех видеопотоков, по истечении времени хранения происходит автоматическое стирание наиболее старых видеозаписей;</w:t>
            </w:r>
          </w:p>
          <w:p>
            <w:pPr>
              <w:pStyle w:val="ListParagraph"/>
              <w:numPr>
                <w:ilvl w:val="0"/>
                <w:numId w:val="34"/>
              </w:numPr>
              <w:rPr>
                <w:color w:themeColor="text1" w:themeShade="80" w:val="1E1E1E"/>
              </w:rPr>
            </w:pPr>
            <w:r>
              <w:rPr>
                <w:color w:themeColor="text1" w:themeShade="80" w:val="1E1E1E"/>
              </w:rPr>
              <w:t>поддержание регистрации видеопотоков от IP-устройств нескольких различных производителей, как отечественных, так и дружественных иностранных.</w:t>
            </w:r>
          </w:p>
          <w:p>
            <w:pPr>
              <w:pStyle w:val="ListParagraph"/>
              <w:numPr>
                <w:ilvl w:val="0"/>
                <w:numId w:val="32"/>
              </w:numPr>
              <w:ind w:hanging="360" w:start="379"/>
              <w:rPr>
                <w:color w:themeColor="text1" w:themeShade="80" w:val="1E1E1E"/>
              </w:rPr>
            </w:pPr>
            <w:r>
              <w:rPr>
                <w:color w:themeColor="text1" w:themeShade="80" w:val="1E1E1E"/>
              </w:rPr>
              <w:t>Аппаратура отображения информации должна обеспечивать автоматическое отображение текущих изображений и служебной информации, результатов детектирования движения любых зон контроля на ЖК-мониторах в заданной последовательности, порядке расположения на мониторах, времени смены изображений. Параметры отображения должны принять не менее разрешающей способности 1920x1080 точек;</w:t>
            </w:r>
          </w:p>
          <w:p>
            <w:pPr>
              <w:pStyle w:val="ListParagraph"/>
              <w:numPr>
                <w:ilvl w:val="0"/>
                <w:numId w:val="32"/>
              </w:numPr>
              <w:ind w:hanging="360" w:start="379"/>
              <w:rPr>
                <w:color w:themeColor="text1" w:themeShade="80" w:val="1E1E1E"/>
              </w:rPr>
            </w:pPr>
            <w:r>
              <w:rPr>
                <w:color w:themeColor="text1" w:themeShade="80" w:val="1E1E1E"/>
              </w:rPr>
              <w:t>Цифровые видеорегистраторы СТН должны строиться с применением внутренних или внешних аппаратных RAID-массивов. RAID-массив должен быть устойчив к одиночным отказам накопителей массива. Информация по одиночным отказам накопителей массива должна выводиться на рабочие места оператора системы и протоколироваться в общем журнале событий.</w:t>
            </w:r>
          </w:p>
          <w:p>
            <w:pPr>
              <w:pStyle w:val="ListParagraph"/>
              <w:numPr>
                <w:ilvl w:val="0"/>
                <w:numId w:val="32"/>
              </w:numPr>
              <w:spacing w:before="120" w:after="120"/>
              <w:ind w:hanging="360" w:start="379"/>
              <w:contextualSpacing/>
              <w:rPr>
                <w:color w:themeColor="text1" w:themeShade="80" w:val="1E1E1E"/>
              </w:rPr>
            </w:pPr>
            <w:r>
              <w:rPr>
                <w:color w:themeColor="text1" w:themeShade="80" w:val="1E1E1E"/>
              </w:rPr>
              <w:t>Обновление программного обеспечения, а также изменения параметров СТН не должны оказывать влияния на изображение и данные видеоархива</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19.Технические требования к системе контроля и управления доступом</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35"/>
              </w:numPr>
              <w:spacing w:before="120" w:after="120"/>
              <w:contextualSpacing/>
              <w:rPr>
                <w:color w:themeColor="text1" w:themeShade="80" w:val="1E1E1E"/>
              </w:rPr>
            </w:pPr>
            <w:r>
              <w:rPr>
                <w:color w:themeColor="text1" w:themeShade="80" w:val="1E1E1E"/>
              </w:rPr>
              <w:t>Система контроля и управления доступом (СКУД) предназначена для обеспечения санкционированного доступа зону транспортной безопасности, в/на критический элемент и территорию пункта управления. Технические средства системы управления доступом контролируют местонахождение любого сотрудника или посетителя объекта. Наличие у каждого из них индивидуального электронного пропуска ограничивает доступ в определённый круг помещений объекта в определённое время.</w:t>
            </w:r>
          </w:p>
          <w:p>
            <w:pPr>
              <w:pStyle w:val="ListParagraph"/>
              <w:numPr>
                <w:ilvl w:val="0"/>
                <w:numId w:val="35"/>
              </w:numPr>
              <w:rPr>
                <w:color w:themeColor="text1" w:themeShade="80" w:val="1E1E1E"/>
              </w:rPr>
            </w:pPr>
            <w:r>
              <w:rPr>
                <w:color w:themeColor="text1" w:themeShade="80" w:val="1E1E1E"/>
              </w:rPr>
              <w:t>Система контроля и управления доступом должна обеспечивать:</w:t>
            </w:r>
          </w:p>
          <w:p>
            <w:pPr>
              <w:pStyle w:val="ListParagraph"/>
              <w:numPr>
                <w:ilvl w:val="0"/>
                <w:numId w:val="36"/>
              </w:numPr>
              <w:ind w:hanging="360" w:start="1088"/>
              <w:rPr>
                <w:color w:themeColor="text1" w:themeShade="80" w:val="1E1E1E"/>
              </w:rPr>
            </w:pPr>
            <w:r>
              <w:rPr>
                <w:color w:themeColor="text1" w:themeShade="80" w:val="1E1E1E"/>
              </w:rPr>
              <w:t xml:space="preserve">определение соответствия постоянного пропуска предъявителю с применением биометрических устройств на контрольно-пропускных пунктах, постах на границах технологического сектора зоны транспортной безопасности объекта транспортной инфраструктуры и на критических элементах объекта транспортной инфраструктуры в соответствии с порядком допуска физических лиц, находящихся при них вещей, автотранспортных средств, самоходных машин и механизмов и перемещаемых ими грузов в зону транспортной безопасности объекта транспортной инфраструктуры, ее части </w:t>
            </w:r>
          </w:p>
          <w:p>
            <w:pPr>
              <w:pStyle w:val="ListParagraph"/>
              <w:numPr>
                <w:ilvl w:val="0"/>
                <w:numId w:val="36"/>
              </w:numPr>
              <w:ind w:hanging="360" w:start="1088"/>
              <w:rPr>
                <w:color w:themeColor="text1" w:themeShade="80" w:val="1E1E1E"/>
              </w:rPr>
            </w:pPr>
            <w:r>
              <w:rPr>
                <w:color w:themeColor="text1" w:themeShade="80" w:val="1E1E1E"/>
              </w:rPr>
              <w:t>документирование перемещения физических лиц через границы технологического сектора зоны транспортной безопасности объекта транспортной инфраструктуры, на критические элементы объекта транспортной инфраструктуры и передачу данных в соответствии с порядком передачи данных о лицах, пропущенных в зону транспортной безопасности или на критические элементы объекта транспортной инфраструктуры, в реальном времени;</w:t>
            </w:r>
          </w:p>
          <w:p>
            <w:pPr>
              <w:pStyle w:val="ListParagraph"/>
              <w:numPr>
                <w:ilvl w:val="0"/>
                <w:numId w:val="36"/>
              </w:numPr>
              <w:ind w:hanging="360" w:start="1088"/>
              <w:rPr>
                <w:color w:themeColor="text1" w:themeShade="80" w:val="1E1E1E"/>
              </w:rPr>
            </w:pPr>
            <w:r>
              <w:rPr>
                <w:color w:themeColor="text1" w:themeShade="80" w:val="1E1E1E"/>
              </w:rPr>
              <w:t>работу как под управлением системы сбора и обработки информации, так и в автономном режиме;</w:t>
            </w:r>
          </w:p>
          <w:p>
            <w:pPr>
              <w:pStyle w:val="ListParagraph"/>
              <w:numPr>
                <w:ilvl w:val="0"/>
                <w:numId w:val="36"/>
              </w:numPr>
              <w:ind w:hanging="360" w:start="1088"/>
              <w:rPr>
                <w:color w:themeColor="text1" w:themeShade="80" w:val="1E1E1E"/>
              </w:rPr>
            </w:pPr>
            <w:r>
              <w:rPr>
                <w:color w:themeColor="text1" w:themeShade="80" w:val="1E1E1E"/>
              </w:rPr>
              <w:t xml:space="preserve">централизованное и децентрализованное управление инженерно-техническими средствами (системами); </w:t>
            </w:r>
          </w:p>
          <w:p>
            <w:pPr>
              <w:pStyle w:val="ListParagraph"/>
              <w:numPr>
                <w:ilvl w:val="0"/>
                <w:numId w:val="36"/>
              </w:numPr>
              <w:ind w:hanging="360" w:start="1088"/>
              <w:rPr>
                <w:color w:themeColor="text1" w:themeShade="80" w:val="1E1E1E"/>
              </w:rPr>
            </w:pPr>
            <w:r>
              <w:rPr>
                <w:color w:themeColor="text1" w:themeShade="80" w:val="1E1E1E"/>
              </w:rPr>
              <w:t>регистрацию состояния технических средств, всех возникающих событий в системе с указанием места, характера изменений, даты и времени;</w:t>
            </w:r>
          </w:p>
          <w:p>
            <w:pPr>
              <w:pStyle w:val="ListParagraph"/>
              <w:numPr>
                <w:ilvl w:val="0"/>
                <w:numId w:val="36"/>
              </w:numPr>
              <w:ind w:hanging="360" w:start="1088"/>
              <w:rPr>
                <w:color w:themeColor="text1" w:themeShade="80" w:val="1E1E1E"/>
              </w:rPr>
            </w:pPr>
            <w:r>
              <w:rPr>
                <w:color w:themeColor="text1" w:themeShade="80" w:val="1E1E1E"/>
              </w:rPr>
              <w:t>регистрацию ситуационной обстановки на объекте и выявление всех действий, нарушающих режим доступа на объекте; блокирование выхода с объекта или зон безопасности внутри объекта при поступлении сигнала «тревога»; регистрацию, отображение и протоколирование всех тревожных событий, нарушений и повреждений элементов комплекса;</w:t>
            </w:r>
          </w:p>
          <w:p>
            <w:pPr>
              <w:pStyle w:val="ListParagraph"/>
              <w:numPr>
                <w:ilvl w:val="0"/>
                <w:numId w:val="36"/>
              </w:numPr>
              <w:ind w:hanging="360" w:start="1088"/>
              <w:rPr>
                <w:color w:themeColor="text1" w:themeShade="80" w:val="1E1E1E"/>
              </w:rPr>
            </w:pPr>
            <w:r>
              <w:rPr>
                <w:color w:themeColor="text1" w:themeShade="80" w:val="1E1E1E"/>
              </w:rPr>
              <w:t>иерархическое распределение доступа сотрудников к функциям и конфигурации системы;</w:t>
            </w:r>
          </w:p>
          <w:p>
            <w:pPr>
              <w:pStyle w:val="ListParagraph"/>
              <w:numPr>
                <w:ilvl w:val="0"/>
                <w:numId w:val="36"/>
              </w:numPr>
              <w:ind w:hanging="360" w:start="1088"/>
              <w:rPr>
                <w:color w:themeColor="text1" w:themeShade="80" w:val="1E1E1E"/>
              </w:rPr>
            </w:pPr>
            <w:r>
              <w:rPr>
                <w:color w:themeColor="text1" w:themeShade="80" w:val="1E1E1E"/>
              </w:rPr>
              <w:t>регистрацию изменений состояния контролируемых участков при санкционированных действиях персонала, перемещений персонала по объекту с указанием места произошедшего события, его характера, даты и времени с точностью до 1 секунды;</w:t>
            </w:r>
          </w:p>
          <w:p>
            <w:pPr>
              <w:pStyle w:val="ListParagraph"/>
              <w:numPr>
                <w:ilvl w:val="0"/>
                <w:numId w:val="36"/>
              </w:numPr>
              <w:ind w:hanging="360" w:start="1088"/>
              <w:rPr>
                <w:color w:themeColor="text1" w:themeShade="80" w:val="1E1E1E"/>
              </w:rPr>
            </w:pPr>
            <w:r>
              <w:rPr>
                <w:color w:themeColor="text1" w:themeShade="80" w:val="1E1E1E"/>
              </w:rPr>
              <w:t>отображение ситуационной обстановки и информации о тревожных событиях;</w:t>
            </w:r>
          </w:p>
          <w:p>
            <w:pPr>
              <w:pStyle w:val="ListParagraph"/>
              <w:numPr>
                <w:ilvl w:val="0"/>
                <w:numId w:val="36"/>
              </w:numPr>
              <w:ind w:hanging="360" w:start="1088"/>
              <w:rPr>
                <w:color w:themeColor="text1" w:themeShade="80" w:val="1E1E1E"/>
              </w:rPr>
            </w:pPr>
            <w:r>
              <w:rPr>
                <w:color w:themeColor="text1" w:themeShade="80" w:val="1E1E1E"/>
              </w:rPr>
              <w:t>оперативное выведение любой информации о состоянии системы, сигналах тревоги, действиях персонала, подразделения транспортной безопасности на компьютере центрального пульта;</w:t>
            </w:r>
          </w:p>
          <w:p>
            <w:pPr>
              <w:pStyle w:val="ListParagraph"/>
              <w:numPr>
                <w:ilvl w:val="0"/>
                <w:numId w:val="36"/>
              </w:numPr>
              <w:ind w:hanging="360" w:start="1088"/>
              <w:rPr>
                <w:color w:themeColor="text1" w:themeShade="80" w:val="1E1E1E"/>
              </w:rPr>
            </w:pPr>
            <w:r>
              <w:rPr>
                <w:color w:themeColor="text1" w:themeShade="80" w:val="1E1E1E"/>
              </w:rPr>
              <w:t>ведение протокола в файле или в базе данных о всех событиях, происходящих в системе;</w:t>
            </w:r>
          </w:p>
          <w:p>
            <w:pPr>
              <w:pStyle w:val="ListParagraph"/>
              <w:numPr>
                <w:ilvl w:val="0"/>
                <w:numId w:val="36"/>
              </w:numPr>
              <w:ind w:hanging="360" w:start="1088"/>
              <w:rPr>
                <w:color w:themeColor="text1" w:themeShade="80" w:val="1E1E1E"/>
              </w:rPr>
            </w:pPr>
            <w:r>
              <w:rPr>
                <w:color w:themeColor="text1" w:themeShade="80" w:val="1E1E1E"/>
              </w:rPr>
              <w:t>установку временных интервалов для алгоритмов   работы функциональных элементов системы доступа; контроль состояния всех функциональных элементов локальных подсистем доступа;</w:t>
            </w:r>
          </w:p>
          <w:p>
            <w:pPr>
              <w:pStyle w:val="ListParagraph"/>
              <w:numPr>
                <w:ilvl w:val="0"/>
                <w:numId w:val="36"/>
              </w:numPr>
              <w:ind w:hanging="360" w:start="1088"/>
              <w:rPr>
                <w:color w:themeColor="text1" w:themeShade="80" w:val="1E1E1E"/>
              </w:rPr>
            </w:pPr>
            <w:r>
              <w:rPr>
                <w:color w:themeColor="text1" w:themeShade="80" w:val="1E1E1E"/>
              </w:rPr>
              <w:t>выдачу команд блокировки выхода с объекта и из зон безопасности при поступлении сигнала «тревога».</w:t>
            </w:r>
          </w:p>
          <w:p>
            <w:pPr>
              <w:pStyle w:val="ListParagraph"/>
              <w:numPr>
                <w:ilvl w:val="0"/>
                <w:numId w:val="35"/>
              </w:numPr>
              <w:rPr>
                <w:color w:themeColor="text1" w:themeShade="80" w:val="1E1E1E"/>
              </w:rPr>
            </w:pPr>
            <w:r>
              <w:rPr>
                <w:color w:themeColor="text1" w:themeShade="80" w:val="1E1E1E"/>
              </w:rPr>
              <w:t xml:space="preserve">В состав системы включить электронное бюро пропусков, предназначенное для ведения базы данных персонала и физических лиц при работе на объекте, ввода изображений персонала, ввода кодов электронных карт, изготовления пропусков. Размещение предусмотреть в едином пункте управления в соответствии с согласованием Заказчика. </w:t>
            </w:r>
          </w:p>
          <w:p>
            <w:pPr>
              <w:pStyle w:val="ListParagraph"/>
              <w:numPr>
                <w:ilvl w:val="0"/>
                <w:numId w:val="35"/>
              </w:numPr>
              <w:rPr>
                <w:color w:themeColor="text1" w:themeShade="80" w:val="1E1E1E"/>
              </w:rPr>
            </w:pPr>
            <w:r>
              <w:rPr>
                <w:color w:themeColor="text1" w:themeShade="80" w:val="1E1E1E"/>
              </w:rPr>
              <w:t>Система контроля и управления доступом должна обеспечивать интеграцию с другими системами инженерно-технических средств (систем). Информация системы должна передаваться в другие системы и из других систем в систему контроля и управления доступом.</w:t>
            </w:r>
          </w:p>
          <w:p>
            <w:pPr>
              <w:pStyle w:val="ListParagraph"/>
              <w:numPr>
                <w:ilvl w:val="0"/>
                <w:numId w:val="35"/>
              </w:numPr>
              <w:rPr>
                <w:color w:themeColor="text1" w:themeShade="80" w:val="1E1E1E"/>
              </w:rPr>
            </w:pPr>
            <w:r>
              <w:rPr>
                <w:color w:themeColor="text1" w:themeShade="80" w:val="1E1E1E"/>
              </w:rPr>
              <w:t>При проектировании рассмотреть возможность включения в структуру системы СКУД ряд модулей, конкретный набор которых определяется на этапе проектирования:</w:t>
            </w:r>
          </w:p>
          <w:p>
            <w:pPr>
              <w:pStyle w:val="ListParagraph"/>
              <w:numPr>
                <w:ilvl w:val="0"/>
                <w:numId w:val="37"/>
              </w:numPr>
              <w:ind w:hanging="360" w:start="1088"/>
              <w:rPr>
                <w:color w:themeColor="text1" w:themeShade="80" w:val="1E1E1E"/>
              </w:rPr>
            </w:pPr>
            <w:r>
              <w:rPr>
                <w:color w:themeColor="text1" w:themeShade="80" w:val="1E1E1E"/>
              </w:rPr>
              <w:t>модуль контроля и управления - предназначенный для контроля и управления СКУД, ведения базы данных и журнала событий, мониторинга событий в системе и формирования отчетов, идентификации пользователей и управления исполнительными устройствами, который включает в себя системное (Автоматизированное рабочее место СКУД с программным обеспечением) и линейное оборудование (контроллеры, считыватели, транспондеры, управляемые запорно-заградительные устройства, блоки питания и др.).</w:t>
            </w:r>
          </w:p>
          <w:p>
            <w:pPr>
              <w:pStyle w:val="ListParagraph"/>
              <w:numPr>
                <w:ilvl w:val="0"/>
                <w:numId w:val="37"/>
              </w:numPr>
              <w:ind w:hanging="360" w:start="1088"/>
              <w:rPr>
                <w:color w:themeColor="text1" w:themeShade="80" w:val="1E1E1E"/>
              </w:rPr>
            </w:pPr>
            <w:r>
              <w:rPr>
                <w:color w:themeColor="text1" w:themeShade="80" w:val="1E1E1E"/>
              </w:rPr>
              <w:t>модуль интеграции - предназначенный для интеграции с системами охранно-тревожной сигнализации и системой телевизионного наблюдения через систему мониторинга, который должен состоять из программного и интерфейсных модулей, оборудования для эвакуационных выходов.</w:t>
            </w:r>
          </w:p>
          <w:p>
            <w:pPr>
              <w:pStyle w:val="ListParagraph"/>
              <w:numPr>
                <w:ilvl w:val="0"/>
                <w:numId w:val="35"/>
              </w:numPr>
              <w:spacing w:before="120" w:after="120"/>
              <w:contextualSpacing/>
              <w:rPr>
                <w:color w:themeColor="text1" w:themeShade="80" w:val="1E1E1E"/>
              </w:rPr>
            </w:pPr>
            <w:r>
              <w:rPr>
                <w:color w:themeColor="text1" w:themeShade="80" w:val="1E1E1E"/>
              </w:rPr>
              <w:t>Оборудование СКУД должно включать в себя контроллеры доступа, способные работать как под управлением системы, так и, в случае необходимости, автономно. Контроллеры должны управляться средствами физической защиты СКУД (замками, дверьми, турникетами, шлагбаумами).</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20.Технические требования к системам охранного освещения</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38"/>
              </w:numPr>
              <w:spacing w:before="120" w:after="120"/>
              <w:ind w:hanging="360" w:start="379"/>
              <w:contextualSpacing/>
              <w:rPr>
                <w:color w:themeColor="text1" w:themeShade="80" w:val="1E1E1E"/>
              </w:rPr>
            </w:pPr>
            <w:r>
              <w:rPr>
                <w:color w:themeColor="text1" w:themeShade="80" w:val="1E1E1E"/>
              </w:rPr>
              <w:t>Средства охранного освещения должны обеспечивать необходимые условия видимости зоны транспортной безопасности, критических элементов и их границ, внешней территории, прилегающей к объекту, мест несения службы сотрудниками транспортной безопасности.</w:t>
            </w:r>
          </w:p>
          <w:p>
            <w:pPr>
              <w:pStyle w:val="ListParagraph"/>
              <w:numPr>
                <w:ilvl w:val="0"/>
                <w:numId w:val="38"/>
              </w:numPr>
              <w:ind w:hanging="360" w:start="379"/>
              <w:rPr>
                <w:color w:themeColor="text1" w:themeShade="80" w:val="1E1E1E"/>
              </w:rPr>
            </w:pPr>
            <w:r>
              <w:rPr>
                <w:color w:themeColor="text1" w:themeShade="80" w:val="1E1E1E"/>
              </w:rPr>
              <w:t>В состав охранного освещения должны входить:</w:t>
            </w:r>
          </w:p>
          <w:p>
            <w:pPr>
              <w:pStyle w:val="ListParagraph"/>
              <w:numPr>
                <w:ilvl w:val="0"/>
                <w:numId w:val="39"/>
              </w:numPr>
              <w:rPr>
                <w:color w:themeColor="text1" w:themeShade="80" w:val="1E1E1E"/>
              </w:rPr>
            </w:pPr>
            <w:r>
              <w:rPr>
                <w:color w:themeColor="text1" w:themeShade="80" w:val="1E1E1E"/>
              </w:rPr>
              <w:t>осветительные приборы;</w:t>
            </w:r>
          </w:p>
          <w:p>
            <w:pPr>
              <w:pStyle w:val="ListParagraph"/>
              <w:numPr>
                <w:ilvl w:val="0"/>
                <w:numId w:val="39"/>
              </w:numPr>
              <w:rPr>
                <w:color w:themeColor="text1" w:themeShade="80" w:val="1E1E1E"/>
              </w:rPr>
            </w:pPr>
            <w:r>
              <w:rPr>
                <w:color w:themeColor="text1" w:themeShade="80" w:val="1E1E1E"/>
              </w:rPr>
              <w:t>кабельные и проводные сети;</w:t>
            </w:r>
          </w:p>
          <w:p>
            <w:pPr>
              <w:pStyle w:val="ListParagraph"/>
              <w:numPr>
                <w:ilvl w:val="0"/>
                <w:numId w:val="39"/>
              </w:numPr>
              <w:rPr>
                <w:color w:themeColor="text1" w:themeShade="80" w:val="1E1E1E"/>
              </w:rPr>
            </w:pPr>
            <w:r>
              <w:rPr>
                <w:color w:themeColor="text1" w:themeShade="80" w:val="1E1E1E"/>
              </w:rPr>
              <w:t>аппаратура управления.</w:t>
            </w:r>
          </w:p>
          <w:p>
            <w:pPr>
              <w:pStyle w:val="ListParagraph"/>
              <w:numPr>
                <w:ilvl w:val="0"/>
                <w:numId w:val="38"/>
              </w:numPr>
              <w:ind w:hanging="360" w:start="379"/>
              <w:rPr>
                <w:color w:themeColor="text1" w:themeShade="80" w:val="1E1E1E"/>
              </w:rPr>
            </w:pPr>
            <w:r>
              <w:rPr>
                <w:color w:themeColor="text1" w:themeShade="80" w:val="1E1E1E"/>
              </w:rPr>
              <w:t>Охранное освещение должно состоять из основного и дополнительного:</w:t>
            </w:r>
          </w:p>
          <w:p>
            <w:pPr>
              <w:pStyle w:val="ListParagraph"/>
              <w:numPr>
                <w:ilvl w:val="0"/>
                <w:numId w:val="40"/>
              </w:numPr>
              <w:ind w:hanging="360" w:start="1088"/>
              <w:rPr>
                <w:color w:themeColor="text1" w:themeShade="80" w:val="1E1E1E"/>
              </w:rPr>
            </w:pPr>
            <w:r>
              <w:rPr>
                <w:color w:themeColor="text1" w:themeShade="80" w:val="1E1E1E"/>
              </w:rPr>
              <w:t>Основное охранное освещение предназначено для создания минимально допустимой величины освещенности контролируемых видеокамерами зон.</w:t>
            </w:r>
          </w:p>
          <w:p>
            <w:pPr>
              <w:pStyle w:val="ListParagraph"/>
              <w:numPr>
                <w:ilvl w:val="0"/>
                <w:numId w:val="40"/>
              </w:numPr>
              <w:ind w:hanging="360" w:start="1088"/>
              <w:rPr>
                <w:color w:themeColor="text1" w:themeShade="80" w:val="1E1E1E"/>
              </w:rPr>
            </w:pPr>
            <w:r>
              <w:rPr>
                <w:color w:themeColor="text1" w:themeShade="80" w:val="1E1E1E"/>
              </w:rPr>
              <w:t>Дополнительное охранное освещение предназначено для обеспечения эксплуатации систем охранного телевидения и расширения возможности визуального обзора контролируемых видеокамерами зон.</w:t>
            </w:r>
          </w:p>
          <w:p>
            <w:pPr>
              <w:pStyle w:val="ListParagraph"/>
              <w:numPr>
                <w:ilvl w:val="0"/>
                <w:numId w:val="38"/>
              </w:numPr>
              <w:ind w:hanging="360" w:start="379"/>
              <w:rPr>
                <w:color w:themeColor="text1" w:themeShade="80" w:val="1E1E1E"/>
              </w:rPr>
            </w:pPr>
            <w:r>
              <w:rPr>
                <w:color w:themeColor="text1" w:themeShade="80" w:val="1E1E1E"/>
              </w:rPr>
              <w:t>Система охранного освещения должна обеспечивать:</w:t>
            </w:r>
          </w:p>
          <w:p>
            <w:pPr>
              <w:pStyle w:val="ListParagraph"/>
              <w:numPr>
                <w:ilvl w:val="0"/>
                <w:numId w:val="41"/>
              </w:numPr>
              <w:rPr>
                <w:color w:themeColor="text1" w:themeShade="80" w:val="1E1E1E"/>
              </w:rPr>
            </w:pPr>
            <w:r>
              <w:rPr>
                <w:color w:themeColor="text1" w:themeShade="80" w:val="1E1E1E"/>
              </w:rPr>
              <w:t>освещенность горизонтальную на уровне земли или вертикальную на плоскости ограждения не менее 0,75 люкс в темное время суток;</w:t>
            </w:r>
          </w:p>
          <w:p>
            <w:pPr>
              <w:pStyle w:val="ListParagraph"/>
              <w:numPr>
                <w:ilvl w:val="0"/>
                <w:numId w:val="41"/>
              </w:numPr>
              <w:rPr>
                <w:color w:themeColor="text1" w:themeShade="80" w:val="1E1E1E"/>
              </w:rPr>
            </w:pPr>
            <w:r>
              <w:rPr>
                <w:color w:themeColor="text1" w:themeShade="80" w:val="1E1E1E"/>
              </w:rPr>
              <w:t>равномерно освещенную сплошную полосу шириной не менее 3 метров;</w:t>
            </w:r>
          </w:p>
          <w:p>
            <w:pPr>
              <w:pStyle w:val="ListParagraph"/>
              <w:numPr>
                <w:ilvl w:val="0"/>
                <w:numId w:val="41"/>
              </w:numPr>
              <w:rPr>
                <w:color w:themeColor="text1" w:themeShade="80" w:val="1E1E1E"/>
              </w:rPr>
            </w:pPr>
            <w:r>
              <w:rPr>
                <w:color w:themeColor="text1" w:themeShade="80" w:val="1E1E1E"/>
              </w:rPr>
              <w:t>возможность ручного и автоматического включения дополнительных источников света на отдельном участке (зоне) охраняемой территории (периметра) при срабатывании охранной сигнализации;</w:t>
            </w:r>
          </w:p>
          <w:p>
            <w:pPr>
              <w:pStyle w:val="ListParagraph"/>
              <w:numPr>
                <w:ilvl w:val="0"/>
                <w:numId w:val="41"/>
              </w:numPr>
              <w:spacing w:before="120" w:after="120"/>
              <w:contextualSpacing/>
              <w:rPr>
                <w:color w:themeColor="text1" w:themeShade="80" w:val="1E1E1E"/>
              </w:rPr>
            </w:pPr>
            <w:r>
              <w:rPr>
                <w:color w:themeColor="text1" w:themeShade="80" w:val="1E1E1E"/>
              </w:rPr>
              <w:t>ручное управление работой освещения из пункта (поста) управления обеспечения транспортной безопасности.</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21.Технические требования к системам электроснабжения и силового электрооборудования</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42"/>
              </w:numPr>
              <w:spacing w:before="120" w:after="120"/>
              <w:ind w:hanging="360" w:start="379"/>
              <w:contextualSpacing/>
              <w:rPr>
                <w:color w:themeColor="text1" w:themeShade="80" w:val="1E1E1E"/>
              </w:rPr>
            </w:pPr>
            <w:r>
              <w:rPr>
                <w:color w:themeColor="text1" w:themeShade="80" w:val="1E1E1E"/>
              </w:rPr>
              <w:t>Электропитание технических средств должно быть бесперебойным и осуществляться либо от двух независимых источников переменного тока, либо от одного источника переменного тока с автоматическим переключением в аварийном режиме на резервное питание.</w:t>
            </w:r>
          </w:p>
          <w:p>
            <w:pPr>
              <w:pStyle w:val="ListParagraph"/>
              <w:numPr>
                <w:ilvl w:val="0"/>
                <w:numId w:val="42"/>
              </w:numPr>
              <w:ind w:hanging="360" w:start="379"/>
              <w:rPr>
                <w:color w:themeColor="text1" w:themeShade="80" w:val="1E1E1E"/>
              </w:rPr>
            </w:pPr>
            <w:r>
              <w:rPr>
                <w:color w:themeColor="text1" w:themeShade="80" w:val="1E1E1E"/>
              </w:rPr>
              <w:t>Основное электропитание должно осуществляться от электрической сети переменного тока номинальным напряжением 380/220 В.</w:t>
            </w:r>
          </w:p>
          <w:p>
            <w:pPr>
              <w:pStyle w:val="ListParagraph"/>
              <w:numPr>
                <w:ilvl w:val="0"/>
                <w:numId w:val="42"/>
              </w:numPr>
              <w:ind w:hanging="360" w:start="379"/>
              <w:rPr>
                <w:color w:themeColor="text1" w:themeShade="80" w:val="1E1E1E"/>
              </w:rPr>
            </w:pPr>
            <w:r>
              <w:rPr>
                <w:color w:themeColor="text1" w:themeShade="80" w:val="1E1E1E"/>
              </w:rPr>
              <w:t>Для гарантированного обеспечения качества электроэнергии должны быть предусмотрены стабилизаторы напряжения 380/220 В.</w:t>
            </w:r>
          </w:p>
          <w:p>
            <w:pPr>
              <w:pStyle w:val="ListParagraph"/>
              <w:numPr>
                <w:ilvl w:val="0"/>
                <w:numId w:val="42"/>
              </w:numPr>
              <w:ind w:hanging="360" w:start="379"/>
              <w:rPr>
                <w:color w:themeColor="text1" w:themeShade="80" w:val="1E1E1E"/>
              </w:rPr>
            </w:pPr>
            <w:r>
              <w:rPr>
                <w:color w:themeColor="text1" w:themeShade="80" w:val="1E1E1E"/>
              </w:rPr>
              <w:t>Для контроля качества должны быть предусмотрены устройства контроля качества электроэнергии с функцией протоколирования параметров электроэнергии на входе в ВРУ.</w:t>
            </w:r>
          </w:p>
          <w:p>
            <w:pPr>
              <w:pStyle w:val="ListParagraph"/>
              <w:numPr>
                <w:ilvl w:val="0"/>
                <w:numId w:val="42"/>
              </w:numPr>
              <w:ind w:hanging="360" w:start="379"/>
              <w:rPr>
                <w:color w:themeColor="text1" w:themeShade="80" w:val="1E1E1E"/>
              </w:rPr>
            </w:pPr>
            <w:r>
              <w:rPr>
                <w:color w:themeColor="text1" w:themeShade="80" w:val="1E1E1E"/>
              </w:rPr>
              <w:t>Резервное электропитание может осуществляться от одного из следующих источников или их любых сочетаний:</w:t>
            </w:r>
          </w:p>
          <w:p>
            <w:pPr>
              <w:pStyle w:val="ListParagraph"/>
              <w:numPr>
                <w:ilvl w:val="0"/>
                <w:numId w:val="43"/>
              </w:numPr>
              <w:rPr>
                <w:color w:themeColor="text1" w:themeShade="80" w:val="1E1E1E"/>
              </w:rPr>
            </w:pPr>
            <w:r>
              <w:rPr>
                <w:color w:themeColor="text1" w:themeShade="80" w:val="1E1E1E"/>
              </w:rPr>
              <w:t>резервного ввода электрической сети переменного тока напряжением 380/220 В (независимый фидер);</w:t>
            </w:r>
          </w:p>
          <w:p>
            <w:pPr>
              <w:pStyle w:val="ListParagraph"/>
              <w:numPr>
                <w:ilvl w:val="0"/>
                <w:numId w:val="43"/>
              </w:numPr>
              <w:rPr>
                <w:color w:themeColor="text1" w:themeShade="80" w:val="1E1E1E"/>
              </w:rPr>
            </w:pPr>
            <w:r>
              <w:rPr>
                <w:color w:themeColor="text1" w:themeShade="80" w:val="1E1E1E"/>
              </w:rPr>
              <w:t>аккумуляторных батарей;</w:t>
            </w:r>
          </w:p>
          <w:p>
            <w:pPr>
              <w:pStyle w:val="ListParagraph"/>
              <w:numPr>
                <w:ilvl w:val="0"/>
                <w:numId w:val="43"/>
              </w:numPr>
              <w:rPr>
                <w:color w:themeColor="text1" w:themeShade="80" w:val="1E1E1E"/>
              </w:rPr>
            </w:pPr>
            <w:r>
              <w:rPr>
                <w:color w:themeColor="text1" w:themeShade="80" w:val="1E1E1E"/>
              </w:rPr>
              <w:t xml:space="preserve">дизель- генераторной станции. </w:t>
            </w:r>
          </w:p>
          <w:p>
            <w:pPr>
              <w:pStyle w:val="ListParagraph"/>
              <w:numPr>
                <w:ilvl w:val="0"/>
                <w:numId w:val="42"/>
              </w:numPr>
              <w:ind w:hanging="360" w:start="379"/>
              <w:rPr>
                <w:color w:themeColor="text1" w:themeShade="80" w:val="1E1E1E"/>
              </w:rPr>
            </w:pPr>
            <w:r>
              <w:rPr>
                <w:color w:themeColor="text1" w:themeShade="80" w:val="1E1E1E"/>
              </w:rPr>
              <w:t xml:space="preserve">Помещение, в котором размещены электрощиты или сами электрощиты, должны быть оборудованы охранной сигнализацией и средствами контроля доступа. </w:t>
            </w:r>
          </w:p>
          <w:p>
            <w:pPr>
              <w:pStyle w:val="ListParagraph"/>
              <w:numPr>
                <w:ilvl w:val="0"/>
                <w:numId w:val="42"/>
              </w:numPr>
              <w:ind w:hanging="360" w:start="379"/>
              <w:rPr>
                <w:color w:themeColor="text1" w:themeShade="80" w:val="1E1E1E"/>
              </w:rPr>
            </w:pPr>
            <w:r>
              <w:rPr>
                <w:color w:themeColor="text1" w:themeShade="80" w:val="1E1E1E"/>
              </w:rPr>
              <w:t xml:space="preserve">Переключение с основного электропитания на резервное и обратно должно происходить автоматически без нарушения работы технических средств.  </w:t>
            </w:r>
          </w:p>
          <w:p>
            <w:pPr>
              <w:pStyle w:val="ListParagraph"/>
              <w:numPr>
                <w:ilvl w:val="0"/>
                <w:numId w:val="42"/>
              </w:numPr>
              <w:ind w:hanging="360" w:start="379"/>
              <w:rPr>
                <w:color w:themeColor="text1" w:themeShade="80" w:val="1E1E1E"/>
              </w:rPr>
            </w:pPr>
            <w:r>
              <w:rPr>
                <w:color w:themeColor="text1" w:themeShade="80" w:val="1E1E1E"/>
              </w:rPr>
              <w:t>При использовании в качестве резервного источника аккумуляторных батарей, должна обеспечиваться их автоматическая подзарядка и контроль напряжения, исключающий перезаряд и предельный разряд аккумуляторных батарей. Время работы от аккумуляторных батарей определить при проектировании.</w:t>
            </w:r>
          </w:p>
          <w:p>
            <w:pPr>
              <w:pStyle w:val="Normal"/>
              <w:widowControl w:val="false"/>
              <w:tabs>
                <w:tab w:val="clear" w:pos="708"/>
                <w:tab w:val="left" w:pos="1158" w:leader="none"/>
              </w:tabs>
              <w:spacing w:before="0" w:after="0"/>
              <w:rPr>
                <w:rFonts w:eastAsia="Arial Unicode MS"/>
                <w:color w:themeColor="text1" w:themeShade="80" w:val="1E1E1E"/>
              </w:rPr>
            </w:pPr>
            <w:r>
              <w:rPr>
                <w:rFonts w:eastAsia="Arial Unicode MS"/>
                <w:color w:themeColor="text1" w:themeShade="80" w:val="1E1E1E"/>
                <w:lang w:bidi="ru-RU"/>
              </w:rPr>
              <w:t>В ПД должны быть представлены:</w:t>
            </w:r>
          </w:p>
          <w:p>
            <w:pPr>
              <w:pStyle w:val="ListParagraph"/>
              <w:widowControl w:val="false"/>
              <w:numPr>
                <w:ilvl w:val="0"/>
                <w:numId w:val="59"/>
              </w:numPr>
              <w:tabs>
                <w:tab w:val="clear" w:pos="708"/>
                <w:tab w:val="left" w:pos="1158" w:leader="none"/>
              </w:tabs>
              <w:spacing w:before="0" w:after="0"/>
              <w:contextualSpacing/>
              <w:rPr>
                <w:color w:themeColor="text1" w:themeShade="80" w:val="1E1E1E"/>
              </w:rPr>
            </w:pPr>
            <w:r>
              <w:rPr>
                <w:color w:themeColor="text1" w:themeShade="80" w:val="1E1E1E"/>
                <w:lang w:eastAsia="ar-SA"/>
              </w:rPr>
              <w:t>таблица расчетов электрических нагрузок и потерь;</w:t>
            </w:r>
          </w:p>
          <w:p>
            <w:pPr>
              <w:pStyle w:val="ListParagraph"/>
              <w:widowControl w:val="false"/>
              <w:numPr>
                <w:ilvl w:val="0"/>
                <w:numId w:val="59"/>
              </w:numPr>
              <w:tabs>
                <w:tab w:val="clear" w:pos="708"/>
                <w:tab w:val="left" w:pos="1158" w:leader="none"/>
              </w:tabs>
              <w:spacing w:before="0" w:after="0"/>
              <w:contextualSpacing/>
              <w:rPr>
                <w:color w:themeColor="text1" w:themeShade="80" w:val="1E1E1E"/>
              </w:rPr>
            </w:pPr>
            <w:r>
              <w:rPr>
                <w:color w:themeColor="text1" w:themeShade="80" w:val="1E1E1E"/>
                <w:lang w:eastAsia="ar-SA"/>
              </w:rPr>
              <w:t>расчет суточного потребления электроэнергии;</w:t>
            </w:r>
          </w:p>
          <w:p>
            <w:pPr>
              <w:pStyle w:val="ListParagraph"/>
              <w:widowControl w:val="false"/>
              <w:numPr>
                <w:ilvl w:val="0"/>
                <w:numId w:val="59"/>
              </w:numPr>
              <w:tabs>
                <w:tab w:val="clear" w:pos="708"/>
                <w:tab w:val="left" w:pos="1158" w:leader="none"/>
              </w:tabs>
              <w:spacing w:before="0" w:after="0"/>
              <w:contextualSpacing/>
              <w:rPr>
                <w:color w:themeColor="text1" w:themeShade="80" w:val="1E1E1E"/>
              </w:rPr>
            </w:pPr>
            <w:r>
              <w:rPr>
                <w:color w:themeColor="text1" w:themeShade="80" w:val="1E1E1E"/>
                <w:lang w:eastAsia="ar-SA"/>
              </w:rPr>
              <w:t>расчет заземлений;</w:t>
            </w:r>
          </w:p>
          <w:p>
            <w:pPr>
              <w:pStyle w:val="ListParagraph"/>
              <w:widowControl w:val="false"/>
              <w:numPr>
                <w:ilvl w:val="0"/>
                <w:numId w:val="59"/>
              </w:numPr>
              <w:tabs>
                <w:tab w:val="clear" w:pos="708"/>
                <w:tab w:val="left" w:pos="1158" w:leader="none"/>
              </w:tabs>
              <w:spacing w:before="0" w:after="0"/>
              <w:contextualSpacing/>
              <w:rPr>
                <w:color w:themeColor="text1" w:themeShade="80" w:val="1E1E1E"/>
              </w:rPr>
            </w:pPr>
            <w:r>
              <w:rPr>
                <w:color w:themeColor="text1" w:themeShade="80" w:val="1E1E1E"/>
                <w:lang w:eastAsia="ar-SA"/>
              </w:rPr>
              <w:t>технические условия для осуществления технологического присоединения к электрическим сетям;</w:t>
            </w:r>
          </w:p>
          <w:p>
            <w:pPr>
              <w:pStyle w:val="ListParagraph"/>
              <w:widowControl w:val="false"/>
              <w:numPr>
                <w:ilvl w:val="0"/>
                <w:numId w:val="59"/>
              </w:numPr>
              <w:tabs>
                <w:tab w:val="clear" w:pos="708"/>
                <w:tab w:val="left" w:pos="1158" w:leader="none"/>
              </w:tabs>
              <w:spacing w:before="0" w:after="0"/>
              <w:contextualSpacing/>
              <w:rPr>
                <w:color w:themeColor="text1" w:themeShade="80" w:val="1E1E1E"/>
              </w:rPr>
            </w:pPr>
            <w:r>
              <w:rPr>
                <w:color w:themeColor="text1" w:themeShade="80" w:val="1E1E1E"/>
                <w:lang w:eastAsia="ar-SA"/>
              </w:rPr>
              <w:t>однолинейная схема подключения всех проектируемых нагрузок к источникам электроснабжения с указанием узла учёта;</w:t>
            </w:r>
          </w:p>
          <w:p>
            <w:pPr>
              <w:pStyle w:val="ListParagraph"/>
              <w:widowControl w:val="false"/>
              <w:numPr>
                <w:ilvl w:val="0"/>
                <w:numId w:val="59"/>
              </w:numPr>
              <w:tabs>
                <w:tab w:val="clear" w:pos="708"/>
                <w:tab w:val="left" w:pos="1158" w:leader="none"/>
              </w:tabs>
              <w:spacing w:before="0" w:after="0"/>
              <w:contextualSpacing/>
              <w:rPr>
                <w:color w:themeColor="text1" w:themeShade="80" w:val="1E1E1E"/>
              </w:rPr>
            </w:pPr>
            <w:r>
              <w:rPr>
                <w:color w:themeColor="text1" w:themeShade="80" w:val="1E1E1E"/>
                <w:lang w:eastAsia="ar-SA"/>
              </w:rPr>
              <w:t>блок-схема кабельных линий;</w:t>
            </w:r>
          </w:p>
          <w:p>
            <w:pPr>
              <w:pStyle w:val="ListParagraph"/>
              <w:widowControl w:val="false"/>
              <w:numPr>
                <w:ilvl w:val="0"/>
                <w:numId w:val="59"/>
              </w:numPr>
              <w:tabs>
                <w:tab w:val="clear" w:pos="708"/>
                <w:tab w:val="left" w:pos="1158" w:leader="none"/>
              </w:tabs>
              <w:spacing w:before="0" w:after="0"/>
              <w:contextualSpacing/>
              <w:rPr>
                <w:color w:themeColor="text1" w:themeShade="80" w:val="1E1E1E"/>
              </w:rPr>
            </w:pPr>
            <w:r>
              <w:rPr>
                <w:color w:themeColor="text1" w:themeShade="80" w:val="1E1E1E"/>
                <w:lang w:eastAsia="ar-SA"/>
              </w:rPr>
              <w:t>принципиальная схема электрических соединений;</w:t>
            </w:r>
          </w:p>
          <w:p>
            <w:pPr>
              <w:pStyle w:val="ListParagraph"/>
              <w:widowControl w:val="false"/>
              <w:numPr>
                <w:ilvl w:val="0"/>
                <w:numId w:val="59"/>
              </w:numPr>
              <w:tabs>
                <w:tab w:val="clear" w:pos="708"/>
                <w:tab w:val="left" w:pos="1158" w:leader="none"/>
              </w:tabs>
              <w:spacing w:before="0" w:after="0"/>
              <w:contextualSpacing/>
              <w:rPr>
                <w:color w:themeColor="text1" w:themeShade="80" w:val="1E1E1E"/>
              </w:rPr>
            </w:pPr>
            <w:r>
              <w:rPr>
                <w:color w:themeColor="text1" w:themeShade="80" w:val="1E1E1E"/>
                <w:lang w:eastAsia="ar-SA"/>
              </w:rPr>
              <w:t>принципиальная схема подключения приборов учета;</w:t>
            </w:r>
          </w:p>
          <w:p>
            <w:pPr>
              <w:pStyle w:val="ListParagraph"/>
              <w:widowControl w:val="false"/>
              <w:numPr>
                <w:ilvl w:val="0"/>
                <w:numId w:val="59"/>
              </w:numPr>
              <w:tabs>
                <w:tab w:val="clear" w:pos="708"/>
                <w:tab w:val="left" w:pos="1158" w:leader="none"/>
              </w:tabs>
              <w:spacing w:before="0" w:after="0"/>
              <w:contextualSpacing/>
              <w:rPr>
                <w:color w:themeColor="text1" w:themeShade="80" w:val="1E1E1E"/>
              </w:rPr>
            </w:pPr>
            <w:r>
              <w:rPr>
                <w:color w:themeColor="text1" w:themeShade="80" w:val="1E1E1E"/>
                <w:lang w:eastAsia="ar-SA"/>
              </w:rPr>
              <w:t xml:space="preserve">расчёт мощности дизель-генератора; </w:t>
            </w:r>
          </w:p>
          <w:p>
            <w:pPr>
              <w:pStyle w:val="ListParagraph"/>
              <w:widowControl w:val="false"/>
              <w:numPr>
                <w:ilvl w:val="0"/>
                <w:numId w:val="59"/>
              </w:numPr>
              <w:tabs>
                <w:tab w:val="clear" w:pos="708"/>
                <w:tab w:val="left" w:pos="1158" w:leader="none"/>
              </w:tabs>
              <w:spacing w:before="0" w:after="0"/>
              <w:contextualSpacing/>
              <w:rPr>
                <w:color w:themeColor="text1" w:themeShade="80" w:val="1E1E1E"/>
              </w:rPr>
            </w:pPr>
            <w:r>
              <w:rPr>
                <w:color w:themeColor="text1" w:themeShade="80" w:val="1E1E1E"/>
                <w:lang w:eastAsia="ar-SA"/>
              </w:rPr>
              <w:t>расчёт количества дизельного топлива при непрерывной работе в течение одних суток;</w:t>
            </w:r>
          </w:p>
          <w:p>
            <w:pPr>
              <w:pStyle w:val="ListParagraph"/>
              <w:numPr>
                <w:ilvl w:val="0"/>
                <w:numId w:val="59"/>
              </w:numPr>
              <w:spacing w:before="0" w:after="0"/>
              <w:contextualSpacing/>
              <w:rPr>
                <w:color w:themeColor="text1" w:themeShade="80" w:val="1E1E1E"/>
              </w:rPr>
            </w:pPr>
            <w:r>
              <w:rPr>
                <w:color w:themeColor="text1" w:themeShade="80" w:val="1E1E1E"/>
                <w:lang w:eastAsia="ar-SA"/>
              </w:rPr>
              <w:t>расчет ёмкости и количества аккумуляторов для источника(ов) бесперебойного питания.</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22.Технические требования к системе связи и передачи данных и извещений</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44"/>
              </w:numPr>
              <w:spacing w:before="120" w:after="120"/>
              <w:contextualSpacing/>
              <w:rPr>
                <w:bCs/>
                <w:color w:themeColor="text1" w:themeShade="80" w:val="1E1E1E"/>
              </w:rPr>
            </w:pPr>
            <w:r>
              <w:rPr>
                <w:bCs/>
                <w:color w:themeColor="text1" w:themeShade="80" w:val="1E1E1E"/>
              </w:rPr>
              <w:t>Требование к системе связи:</w:t>
            </w:r>
          </w:p>
          <w:p>
            <w:pPr>
              <w:pStyle w:val="ListParagraph"/>
              <w:numPr>
                <w:ilvl w:val="0"/>
                <w:numId w:val="61"/>
              </w:numPr>
              <w:rPr>
                <w:bCs/>
                <w:color w:themeColor="text1" w:themeShade="80" w:val="1E1E1E"/>
              </w:rPr>
            </w:pPr>
            <w:r>
              <w:rPr>
                <w:bCs/>
                <w:color w:themeColor="text1" w:themeShade="80" w:val="1E1E1E"/>
              </w:rPr>
              <w:t>Система связи предназначена для обеспечения телефонной связью персонала сил транспортной безопасности между собой и возможностью выхода на ЕДДС (систему 112 при наличии).</w:t>
            </w:r>
          </w:p>
          <w:p>
            <w:pPr>
              <w:pStyle w:val="ListParagraph"/>
              <w:numPr>
                <w:ilvl w:val="0"/>
                <w:numId w:val="44"/>
              </w:numPr>
              <w:rPr>
                <w:bCs/>
                <w:color w:themeColor="text1" w:themeShade="80" w:val="1E1E1E"/>
              </w:rPr>
            </w:pPr>
            <w:r>
              <w:rPr>
                <w:bCs/>
                <w:color w:themeColor="text1" w:themeShade="80" w:val="1E1E1E"/>
              </w:rPr>
              <w:t>Система связи должна обеспечивать связь:</w:t>
            </w:r>
          </w:p>
          <w:p>
            <w:pPr>
              <w:pStyle w:val="ListParagraph"/>
              <w:numPr>
                <w:ilvl w:val="0"/>
                <w:numId w:val="62"/>
              </w:numPr>
              <w:ind w:hanging="360" w:start="1509"/>
              <w:rPr>
                <w:bCs/>
                <w:color w:themeColor="text1" w:themeShade="80" w:val="1E1E1E"/>
              </w:rPr>
            </w:pPr>
            <w:r>
              <w:rPr>
                <w:bCs/>
                <w:color w:themeColor="text1" w:themeShade="80" w:val="1E1E1E"/>
              </w:rPr>
              <w:t>между персоналом технологических модулей ТБ, КПП, ГБР на объектах с дежурными по пунктам управления транспортной безопасности;</w:t>
            </w:r>
          </w:p>
          <w:p>
            <w:pPr>
              <w:pStyle w:val="ListParagraph"/>
              <w:numPr>
                <w:ilvl w:val="0"/>
                <w:numId w:val="62"/>
              </w:numPr>
              <w:ind w:hanging="360" w:start="1509"/>
              <w:rPr>
                <w:bCs/>
                <w:color w:themeColor="text1" w:themeShade="80" w:val="1E1E1E"/>
              </w:rPr>
            </w:pPr>
            <w:r>
              <w:rPr>
                <w:bCs/>
                <w:color w:themeColor="text1" w:themeShade="80" w:val="1E1E1E"/>
              </w:rPr>
              <w:t>дежурных ПУОТБ между собой;</w:t>
            </w:r>
          </w:p>
          <w:p>
            <w:pPr>
              <w:pStyle w:val="ListParagraph"/>
              <w:numPr>
                <w:ilvl w:val="0"/>
                <w:numId w:val="62"/>
              </w:numPr>
              <w:ind w:hanging="360" w:start="1509"/>
              <w:rPr>
                <w:bCs/>
                <w:color w:themeColor="text1" w:themeShade="80" w:val="1E1E1E"/>
              </w:rPr>
            </w:pPr>
            <w:r>
              <w:rPr>
                <w:bCs/>
                <w:color w:themeColor="text1" w:themeShade="80" w:val="1E1E1E"/>
              </w:rPr>
              <w:t>с ближайшим дежурным ЕДДС (при наличии).</w:t>
            </w:r>
          </w:p>
          <w:p>
            <w:pPr>
              <w:pStyle w:val="ListParagraph"/>
              <w:numPr>
                <w:ilvl w:val="0"/>
                <w:numId w:val="44"/>
              </w:numPr>
              <w:rPr>
                <w:bCs/>
                <w:color w:themeColor="text1" w:themeShade="80" w:val="1E1E1E"/>
              </w:rPr>
            </w:pPr>
            <w:r>
              <w:rPr>
                <w:bCs/>
                <w:color w:themeColor="text1" w:themeShade="80" w:val="1E1E1E"/>
              </w:rPr>
              <w:t xml:space="preserve">Средства связи должны размещаться в технологических помещениях ПУОТБ в исполнении автоматической телефонной станции, с номерной емкость определяемой при проектировании. </w:t>
            </w:r>
          </w:p>
          <w:p>
            <w:pPr>
              <w:pStyle w:val="ListParagraph"/>
              <w:numPr>
                <w:ilvl w:val="0"/>
                <w:numId w:val="44"/>
              </w:numPr>
              <w:rPr>
                <w:bCs/>
                <w:color w:themeColor="text1" w:themeShade="80" w:val="1E1E1E"/>
              </w:rPr>
            </w:pPr>
            <w:r>
              <w:rPr>
                <w:bCs/>
                <w:color w:themeColor="text1" w:themeShade="80" w:val="1E1E1E"/>
              </w:rPr>
              <w:t>Точки включения в сеть связи операторов определить в соответствии с ТУ оператора (ов) связи.</w:t>
            </w:r>
          </w:p>
          <w:p>
            <w:pPr>
              <w:pStyle w:val="ListParagraph"/>
              <w:numPr>
                <w:ilvl w:val="0"/>
                <w:numId w:val="44"/>
              </w:numPr>
              <w:ind w:hanging="360" w:start="800"/>
              <w:rPr>
                <w:bCs/>
                <w:color w:themeColor="text1" w:themeShade="80" w:val="1E1E1E"/>
              </w:rPr>
            </w:pPr>
            <w:r>
              <w:rPr>
                <w:bCs/>
                <w:color w:themeColor="text1" w:themeShade="80" w:val="1E1E1E"/>
              </w:rPr>
              <w:t>Система передачи данных и извещений должна обеспечивать:</w:t>
            </w:r>
          </w:p>
          <w:p>
            <w:pPr>
              <w:pStyle w:val="ListParagraph"/>
              <w:numPr>
                <w:ilvl w:val="0"/>
                <w:numId w:val="45"/>
              </w:numPr>
              <w:ind w:hanging="360" w:start="1225"/>
              <w:rPr>
                <w:bCs/>
                <w:color w:themeColor="text1" w:themeShade="80" w:val="1E1E1E"/>
              </w:rPr>
            </w:pPr>
            <w:r>
              <w:rPr>
                <w:bCs/>
                <w:color w:themeColor="text1" w:themeShade="80" w:val="1E1E1E"/>
              </w:rPr>
              <w:t xml:space="preserve">передачу извещений (тревожных, служебных, информационных) от охраняемого объекта (от средств сбора и обработки информации) на пункт управления транспортной безопасности ( в т.ч. посредством </w:t>
            </w:r>
            <w:r>
              <w:rPr>
                <w:bCs/>
                <w:color w:themeColor="text1" w:themeShade="80" w:val="1E1E1E"/>
                <w:lang w:val="en-US"/>
              </w:rPr>
              <w:t>SMS</w:t>
            </w:r>
            <w:r>
              <w:rPr>
                <w:bCs/>
                <w:color w:themeColor="text1" w:themeShade="80" w:val="1E1E1E"/>
              </w:rPr>
              <w:t>);</w:t>
            </w:r>
          </w:p>
          <w:p>
            <w:pPr>
              <w:pStyle w:val="ListParagraph"/>
              <w:numPr>
                <w:ilvl w:val="0"/>
                <w:numId w:val="44"/>
              </w:numPr>
              <w:spacing w:before="120" w:after="120"/>
              <w:ind w:hanging="360" w:start="800"/>
              <w:contextualSpacing/>
              <w:rPr>
                <w:color w:themeColor="text1" w:themeShade="80" w:val="1E1E1E"/>
              </w:rPr>
            </w:pPr>
            <w:r>
              <w:rPr>
                <w:bCs/>
                <w:color w:themeColor="text1" w:themeShade="80" w:val="1E1E1E"/>
              </w:rPr>
              <w:t>Для передачи информации на пункты управления объектов транспортной инфраструктуры предусмотреть использование линии связи: волоконно-оптической (ВОЛС).</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23.Технические требования к системам удаленного мониторинга</w:t>
            </w:r>
          </w:p>
        </w:tc>
        <w:tc>
          <w:tcPr>
            <w:tcW w:w="7616" w:type="dxa"/>
            <w:tcBorders>
              <w:top w:val="single" w:sz="4" w:space="0" w:color="000000"/>
              <w:start w:val="single" w:sz="4" w:space="0" w:color="000000"/>
              <w:bottom w:val="single" w:sz="4" w:space="0" w:color="000000"/>
              <w:end w:val="single" w:sz="4" w:space="0" w:color="000000"/>
            </w:tcBorders>
          </w:tcPr>
          <w:p>
            <w:pPr>
              <w:pStyle w:val="NoSpacing"/>
              <w:numPr>
                <w:ilvl w:val="0"/>
                <w:numId w:val="60"/>
              </w:numPr>
              <w:spacing w:lineRule="atLeast" w:line="240"/>
              <w:ind w:hanging="360" w:start="379"/>
              <w:jc w:val="both"/>
              <w:rPr>
                <w:rFonts w:ascii="Times New Roman" w:hAnsi="Times New Roman"/>
                <w:color w:themeColor="text1" w:themeShade="80" w:val="1E1E1E"/>
                <w:sz w:val="24"/>
                <w:szCs w:val="24"/>
              </w:rPr>
            </w:pPr>
            <w:r>
              <w:rPr>
                <w:rFonts w:ascii="Times New Roman" w:hAnsi="Times New Roman"/>
                <w:color w:themeColor="text1" w:themeShade="80" w:val="1E1E1E"/>
                <w:sz w:val="24"/>
                <w:szCs w:val="24"/>
              </w:rPr>
              <w:t>Система удаленного мониторинга должна представлять собой совокупность служебных модулей ИТСОТБ, проектируемых на объектах, обеспечивающих удаленный контроль работоспособности основных элементов ИТСООТБ (электропитания, блоков питания, контроль вскрытия оборудования) и дистанционного управления ИТСОТБ.</w:t>
            </w:r>
          </w:p>
          <w:p>
            <w:pPr>
              <w:pStyle w:val="ListParagraph"/>
              <w:numPr>
                <w:ilvl w:val="0"/>
                <w:numId w:val="60"/>
              </w:numPr>
              <w:spacing w:before="120" w:after="120"/>
              <w:ind w:hanging="360" w:start="379"/>
              <w:contextualSpacing/>
              <w:rPr>
                <w:color w:themeColor="text1" w:themeShade="80" w:val="1E1E1E"/>
              </w:rPr>
            </w:pPr>
            <w:r>
              <w:rPr>
                <w:color w:themeColor="text1" w:themeShade="80" w:val="1E1E1E"/>
              </w:rPr>
              <w:t>Система удаленного мониторинга должна обеспечивать возможность передачи тревожных сообщений на единый пункт управления ОТБ группы ОТИ при выходе из строя элементов ИТСОТБ.</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24.Технические требования к системе пожарной сигнализации</w:t>
            </w:r>
          </w:p>
        </w:tc>
        <w:tc>
          <w:tcPr>
            <w:tcW w:w="7616" w:type="dxa"/>
            <w:tcBorders>
              <w:top w:val="single" w:sz="4" w:space="0" w:color="000000"/>
              <w:start w:val="single" w:sz="4" w:space="0" w:color="000000"/>
              <w:bottom w:val="single" w:sz="4" w:space="0" w:color="000000"/>
              <w:end w:val="single" w:sz="4" w:space="0" w:color="000000"/>
            </w:tcBorders>
          </w:tcPr>
          <w:p>
            <w:pPr>
              <w:pStyle w:val="Normal"/>
              <w:spacing w:before="120" w:after="120"/>
              <w:rPr>
                <w:color w:themeColor="text1" w:themeShade="80" w:val="1E1E1E"/>
              </w:rPr>
            </w:pPr>
            <w:r>
              <w:rPr>
                <w:color w:themeColor="text1" w:themeShade="80" w:val="1E1E1E"/>
              </w:rPr>
              <w:t>Систему пожарной сигнализации предусмотреть в составе модульных зданий, обеспечивающую требования действующих нормативных документов в области пожарной сигнализации включая, но не ограничиваясь СП484.1311500.2020; СП485.1311500.2020, СП486.1311500.2020. Выделяемые для ПУОТБ здания (помещения) должны быть оборудованы пожарной сигнализацией с выводом сигналов в помещения с круглосуточным присутствием персонала.</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25.Технические требования к системам информационной безопасности</w:t>
            </w:r>
          </w:p>
        </w:tc>
        <w:tc>
          <w:tcPr>
            <w:tcW w:w="7616" w:type="dxa"/>
            <w:tcBorders>
              <w:top w:val="single" w:sz="4" w:space="0" w:color="000000"/>
              <w:start w:val="single" w:sz="4" w:space="0" w:color="000000"/>
              <w:bottom w:val="single" w:sz="4" w:space="0" w:color="000000"/>
              <w:end w:val="single" w:sz="4" w:space="0" w:color="000000"/>
            </w:tcBorders>
          </w:tcPr>
          <w:p>
            <w:pPr>
              <w:pStyle w:val="Normal"/>
              <w:spacing w:before="120" w:after="120"/>
              <w:rPr>
                <w:sz w:val="22"/>
                <w:szCs w:val="22"/>
              </w:rPr>
            </w:pPr>
            <w:r>
              <w:rPr>
                <w:sz w:val="22"/>
                <w:szCs w:val="22"/>
              </w:rPr>
              <w:t>На каждом объекте предусматриваются следующие инженерно-технические средства обеспечения транспортной безопасности:</w:t>
            </w:r>
          </w:p>
          <w:p>
            <w:pPr>
              <w:pStyle w:val="ListParagraph"/>
              <w:numPr>
                <w:ilvl w:val="0"/>
                <w:numId w:val="14"/>
              </w:numPr>
              <w:ind w:hanging="360" w:start="712"/>
              <w:rPr/>
            </w:pPr>
            <w:r>
              <w:rPr/>
              <w:t>средства инженерно-технической укрепленности (СИТУ);</w:t>
            </w:r>
          </w:p>
          <w:p>
            <w:pPr>
              <w:pStyle w:val="ListParagraph"/>
              <w:numPr>
                <w:ilvl w:val="0"/>
                <w:numId w:val="14"/>
              </w:numPr>
              <w:ind w:hanging="360" w:start="712"/>
              <w:rPr/>
            </w:pPr>
            <w:r>
              <w:rPr/>
              <w:t>систему сбора и обработки информации (ССОИ);</w:t>
            </w:r>
          </w:p>
          <w:p>
            <w:pPr>
              <w:pStyle w:val="ListParagraph"/>
              <w:numPr>
                <w:ilvl w:val="0"/>
                <w:numId w:val="14"/>
              </w:numPr>
              <w:ind w:hanging="360" w:start="712"/>
              <w:rPr/>
            </w:pPr>
            <w:r>
              <w:rPr/>
              <w:t>система охранного телевизионного наблюдения (СОТН);</w:t>
            </w:r>
          </w:p>
          <w:p>
            <w:pPr>
              <w:pStyle w:val="ListParagraph"/>
              <w:numPr>
                <w:ilvl w:val="0"/>
                <w:numId w:val="14"/>
              </w:numPr>
              <w:ind w:hanging="360" w:start="712"/>
              <w:rPr/>
            </w:pPr>
            <w:r>
              <w:rPr/>
              <w:t xml:space="preserve">систему охранной и тревожной сигнализации (СОТС); </w:t>
            </w:r>
          </w:p>
          <w:p>
            <w:pPr>
              <w:pStyle w:val="ListParagraph"/>
              <w:numPr>
                <w:ilvl w:val="0"/>
                <w:numId w:val="14"/>
              </w:numPr>
              <w:ind w:hanging="360" w:start="712"/>
              <w:rPr/>
            </w:pPr>
            <w:r>
              <w:rPr/>
              <w:t>систему пожарной сигнализации для модульных объектов с передачей дублирующего сигнала в единый центр;</w:t>
            </w:r>
          </w:p>
          <w:p>
            <w:pPr>
              <w:pStyle w:val="ListParagraph"/>
              <w:numPr>
                <w:ilvl w:val="0"/>
                <w:numId w:val="14"/>
              </w:numPr>
              <w:ind w:hanging="360" w:start="712"/>
              <w:rPr/>
            </w:pPr>
            <w:r>
              <w:rPr/>
              <w:t>систему контроля управления доступом (СКУД);</w:t>
            </w:r>
          </w:p>
          <w:p>
            <w:pPr>
              <w:pStyle w:val="ListParagraph"/>
              <w:numPr>
                <w:ilvl w:val="0"/>
                <w:numId w:val="14"/>
              </w:numPr>
              <w:ind w:hanging="360" w:start="712"/>
              <w:rPr/>
            </w:pPr>
            <w:r>
              <w:rPr/>
              <w:t>систему связи и оповещения (ССО) с установкой оборудования на каждом объекте и системой управления в ПУОТБ в соответствии со схемой, предоставляемой заказчиком.</w:t>
            </w:r>
          </w:p>
          <w:p>
            <w:pPr>
              <w:pStyle w:val="ListParagraph"/>
              <w:numPr>
                <w:ilvl w:val="0"/>
                <w:numId w:val="14"/>
              </w:numPr>
              <w:ind w:hanging="360" w:start="712"/>
              <w:rPr/>
            </w:pPr>
            <w:r>
              <w:rPr/>
              <w:t>систему электропитания и охранного освещения (ЭС);</w:t>
            </w:r>
          </w:p>
          <w:p>
            <w:pPr>
              <w:pStyle w:val="ListParagraph"/>
              <w:numPr>
                <w:ilvl w:val="0"/>
                <w:numId w:val="14"/>
              </w:numPr>
              <w:ind w:hanging="360" w:start="712"/>
              <w:rPr/>
            </w:pPr>
            <w:r>
              <w:rPr/>
              <w:t>систему мониторинга технического состояния оборудования (СМ) с выводом информации на ПУОТБ, обслуживающего данные объекты;</w:t>
            </w:r>
          </w:p>
          <w:p>
            <w:pPr>
              <w:pStyle w:val="ListParagraph"/>
              <w:numPr>
                <w:ilvl w:val="0"/>
                <w:numId w:val="14"/>
              </w:numPr>
              <w:ind w:hanging="360" w:start="712"/>
              <w:rPr/>
            </w:pPr>
            <w:r>
              <w:rPr/>
              <w:t>систему информационной безопасности для проектируемых систем ИТСОТБ.</w:t>
            </w:r>
          </w:p>
          <w:p>
            <w:pPr>
              <w:pStyle w:val="NormalWeb"/>
              <w:spacing w:beforeAutospacing="0" w:before="0" w:afterAutospacing="0" w:after="0"/>
              <w:jc w:val="both"/>
              <w:rPr>
                <w:color w:themeColor="text1" w:themeShade="80" w:val="1E1E1E"/>
                <w:sz w:val="22"/>
                <w:szCs w:val="22"/>
              </w:rPr>
            </w:pPr>
            <w:r>
              <w:rPr>
                <w:sz w:val="22"/>
                <w:szCs w:val="22"/>
              </w:rPr>
              <w:t>В системе СКУД предусматривается обработка персональных данных, которая является информационной системой персональных данных (далее  ИСПДн).</w:t>
            </w:r>
          </w:p>
          <w:p>
            <w:pPr>
              <w:pStyle w:val="NormalWeb"/>
              <w:spacing w:beforeAutospacing="0" w:before="0" w:afterAutospacing="0" w:after="0"/>
              <w:jc w:val="both"/>
              <w:rPr>
                <w:color w:themeColor="text1" w:themeShade="80" w:val="1E1E1E"/>
                <w:sz w:val="22"/>
                <w:szCs w:val="22"/>
              </w:rPr>
            </w:pPr>
            <w:r>
              <w:rPr>
                <w:color w:themeColor="text1" w:themeShade="80" w:val="1E1E1E"/>
                <w:sz w:val="22"/>
                <w:szCs w:val="22"/>
              </w:rPr>
            </w:r>
          </w:p>
          <w:p>
            <w:pPr>
              <w:pStyle w:val="NormalWeb"/>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Работы по проектированию СЗПДн должны быть выполнены по следующим стадиям и этапам (но не ограничиваясь):</w:t>
            </w:r>
          </w:p>
          <w:p>
            <w:pPr>
              <w:pStyle w:val="NormalWeb"/>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1) Выявление ИСПДн.</w:t>
            </w:r>
          </w:p>
          <w:p>
            <w:pPr>
              <w:pStyle w:val="NormalWeb"/>
              <w:numPr>
                <w:ilvl w:val="0"/>
                <w:numId w:val="57"/>
              </w:numPr>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состава и условий обработки ПДн;</w:t>
            </w:r>
          </w:p>
          <w:p>
            <w:pPr>
              <w:pStyle w:val="NormalWeb"/>
              <w:numPr>
                <w:ilvl w:val="0"/>
                <w:numId w:val="57"/>
              </w:numPr>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юридических оснований на обработку ПДн;</w:t>
            </w:r>
          </w:p>
          <w:p>
            <w:pPr>
              <w:pStyle w:val="NormalWeb"/>
              <w:numPr>
                <w:ilvl w:val="0"/>
                <w:numId w:val="57"/>
              </w:numPr>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перечня обрабатываемых ПДн;</w:t>
            </w:r>
          </w:p>
          <w:p>
            <w:pPr>
              <w:pStyle w:val="NormalWeb"/>
              <w:numPr>
                <w:ilvl w:val="0"/>
                <w:numId w:val="57"/>
              </w:numPr>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конфигурации ИСПДн;</w:t>
            </w:r>
          </w:p>
          <w:p>
            <w:pPr>
              <w:pStyle w:val="NormalWeb"/>
              <w:numPr>
                <w:ilvl w:val="0"/>
                <w:numId w:val="57"/>
              </w:numPr>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технических средств ИСПДн;</w:t>
            </w:r>
          </w:p>
          <w:p>
            <w:pPr>
              <w:pStyle w:val="NormalWeb"/>
              <w:numPr>
                <w:ilvl w:val="0"/>
                <w:numId w:val="57"/>
              </w:numPr>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условий размещения технических средств ИСПДн относительно границ контролируемой зоны;</w:t>
            </w:r>
          </w:p>
          <w:p>
            <w:pPr>
              <w:pStyle w:val="NormalWeb"/>
              <w:numPr>
                <w:ilvl w:val="0"/>
                <w:numId w:val="57"/>
              </w:numPr>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технологического процесса обработки ПДн;</w:t>
            </w:r>
          </w:p>
          <w:p>
            <w:pPr>
              <w:pStyle w:val="NormalWeb"/>
              <w:numPr>
                <w:ilvl w:val="0"/>
                <w:numId w:val="57"/>
              </w:numPr>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уровня защищенности ИСПДн;</w:t>
            </w:r>
          </w:p>
          <w:p>
            <w:pPr>
              <w:pStyle w:val="NormalWeb"/>
              <w:numPr>
                <w:ilvl w:val="0"/>
                <w:numId w:val="57"/>
              </w:numPr>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угроз безопасности при обработке ПДн.</w:t>
            </w:r>
          </w:p>
          <w:p>
            <w:pPr>
              <w:pStyle w:val="NormalWeb"/>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2) Разработка модели угроз;</w:t>
            </w:r>
          </w:p>
          <w:p>
            <w:pPr>
              <w:pStyle w:val="NormalWeb"/>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3) Разработка описания организационных и технических мер защиты информации, реализуемых в системе защиты информации;</w:t>
            </w:r>
          </w:p>
          <w:p>
            <w:pPr>
              <w:pStyle w:val="NormalWeb"/>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4) Проектирование СЗПДн:</w:t>
            </w:r>
          </w:p>
          <w:p>
            <w:pPr>
              <w:pStyle w:val="NormalWeb"/>
              <w:numPr>
                <w:ilvl w:val="0"/>
                <w:numId w:val="58"/>
              </w:numPr>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разработка документации технического проекта, включая пояснительную записку, схемы размещения средств защиты информации и описание настроек средств защиты информации, спецификацию оборудования, изделий и материалов.</w:t>
            </w:r>
          </w:p>
          <w:p>
            <w:pPr>
              <w:pStyle w:val="NormalWeb"/>
              <w:spacing w:beforeAutospacing="0" w:before="0" w:afterAutospacing="0" w:after="0"/>
              <w:jc w:val="both"/>
              <w:rPr>
                <w:rFonts w:ascii="Arial" w:hAnsi="Arial" w:cs="Arial"/>
                <w:color w:themeColor="text1" w:themeShade="80" w:val="1E1E1E"/>
                <w:sz w:val="20"/>
                <w:szCs w:val="20"/>
              </w:rPr>
            </w:pPr>
            <w:r>
              <w:rPr>
                <w:color w:themeColor="text1" w:themeShade="80" w:val="1E1E1E"/>
                <w:sz w:val="22"/>
                <w:szCs w:val="22"/>
              </w:rPr>
              <w:t>5) Подготовка Проекта акта определения уровень защищенности ИСПДн.</w:t>
            </w:r>
          </w:p>
          <w:p>
            <w:pPr>
              <w:pStyle w:val="Normal"/>
              <w:spacing w:before="0" w:after="0"/>
              <w:rPr>
                <w:rFonts w:eastAsia="Times New Roman" w:cs="Times New Roman"/>
                <w:color w:themeColor="text1" w:themeShade="80" w:val="1E1E1E"/>
                <w:sz w:val="22"/>
                <w:szCs w:val="22"/>
              </w:rPr>
            </w:pPr>
            <w:r>
              <w:rPr>
                <w:rFonts w:eastAsia="Times New Roman" w:cs="Times New Roman"/>
                <w:color w:themeColor="text1" w:themeShade="80" w:val="1E1E1E"/>
                <w:sz w:val="22"/>
                <w:szCs w:val="22"/>
              </w:rPr>
            </w:r>
          </w:p>
          <w:p>
            <w:pPr>
              <w:pStyle w:val="Normal"/>
              <w:spacing w:before="0" w:after="0"/>
              <w:rPr>
                <w:rFonts w:ascii="Arial" w:hAnsi="Arial" w:eastAsia="Times New Roman" w:cs="Arial"/>
                <w:color w:themeColor="text1" w:themeShade="80" w:val="1E1E1E"/>
                <w:sz w:val="20"/>
                <w:szCs w:val="20"/>
              </w:rPr>
            </w:pPr>
            <w:r>
              <w:rPr>
                <w:rFonts w:eastAsia="Times New Roman" w:cs="Times New Roman"/>
                <w:color w:themeColor="text1" w:themeShade="80" w:val="1E1E1E"/>
                <w:sz w:val="22"/>
                <w:szCs w:val="22"/>
              </w:rPr>
              <w:t>В рамках работ по КИИ должны быть выполнены следующие работы:</w:t>
            </w:r>
          </w:p>
          <w:p>
            <w:pPr>
              <w:pStyle w:val="Normal"/>
              <w:numPr>
                <w:ilvl w:val="0"/>
                <w:numId w:val="55"/>
              </w:numPr>
              <w:spacing w:before="0" w:after="0"/>
              <w:rPr>
                <w:rFonts w:ascii="Arial" w:hAnsi="Arial" w:eastAsia="Times New Roman" w:cs="Arial"/>
                <w:color w:themeColor="text1" w:themeShade="80" w:val="1E1E1E"/>
                <w:sz w:val="20"/>
                <w:szCs w:val="20"/>
              </w:rPr>
            </w:pPr>
            <w:r>
              <w:rPr>
                <w:rFonts w:eastAsia="Times New Roman" w:cs="Times New Roman"/>
                <w:color w:themeColor="text1" w:themeShade="80" w:val="1E1E1E"/>
                <w:sz w:val="22"/>
                <w:szCs w:val="22"/>
              </w:rPr>
              <w:t>формирование перечня угроз и нарушителей безопасности объекта КИИ и оценка актуальности угроз безопасности информации, обрабатываемой на объекте КИИ;</w:t>
            </w:r>
          </w:p>
          <w:p>
            <w:pPr>
              <w:pStyle w:val="Normal"/>
              <w:numPr>
                <w:ilvl w:val="0"/>
                <w:numId w:val="55"/>
              </w:numPr>
              <w:spacing w:before="0" w:after="0"/>
              <w:rPr>
                <w:rFonts w:ascii="Arial" w:hAnsi="Arial" w:eastAsia="Times New Roman" w:cs="Arial"/>
                <w:color w:themeColor="text1" w:themeShade="80" w:val="1E1E1E"/>
                <w:sz w:val="20"/>
                <w:szCs w:val="20"/>
              </w:rPr>
            </w:pPr>
            <w:r>
              <w:rPr>
                <w:rFonts w:eastAsia="Times New Roman" w:cs="Times New Roman"/>
                <w:color w:themeColor="text1" w:themeShade="80" w:val="1E1E1E"/>
                <w:sz w:val="22"/>
                <w:szCs w:val="22"/>
              </w:rPr>
              <w:t xml:space="preserve">оценка в соответствии с перечнем показателей критериев значимости, установленным Постановлением Правительства РФ от 8.02.2018 г. № 127 </w:t>
            </w:r>
            <w:r>
              <w:rPr>
                <w:color w:themeColor="text1" w:themeShade="80" w:val="1E1E1E"/>
              </w:rPr>
              <w:t>"Об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w:t>
            </w:r>
            <w:r>
              <w:rPr>
                <w:rFonts w:eastAsia="Times New Roman" w:cs="Times New Roman"/>
                <w:color w:themeColor="text1" w:themeShade="80" w:val="1E1E1E"/>
                <w:sz w:val="22"/>
                <w:szCs w:val="22"/>
              </w:rPr>
              <w:t>, масштаба возможных последствий в случае возникновения компьютерных инцидентов на объекте КИИ и подготовка обосновывающих оценку документальных материалов;</w:t>
            </w:r>
          </w:p>
          <w:p>
            <w:pPr>
              <w:pStyle w:val="Normal"/>
              <w:numPr>
                <w:ilvl w:val="0"/>
                <w:numId w:val="55"/>
              </w:numPr>
              <w:spacing w:before="0" w:after="0"/>
              <w:rPr>
                <w:rFonts w:ascii="Arial" w:hAnsi="Arial" w:eastAsia="Times New Roman" w:cs="Arial"/>
                <w:color w:themeColor="text1" w:themeShade="80" w:val="1E1E1E"/>
                <w:sz w:val="20"/>
                <w:szCs w:val="20"/>
              </w:rPr>
            </w:pPr>
            <w:r>
              <w:rPr>
                <w:rFonts w:eastAsia="Times New Roman" w:cs="Times New Roman"/>
                <w:color w:themeColor="text1" w:themeShade="80" w:val="1E1E1E"/>
                <w:sz w:val="22"/>
                <w:szCs w:val="22"/>
              </w:rPr>
              <w:t>установление соответствия объекта КИИ одной из категорий значимости, либо принятие решения об отсутствии необходимости присвоения ему одной из категорий значимости в соответствии с Постановлением Правительства РФ от 8.02.2018 г. № 127;</w:t>
            </w:r>
          </w:p>
          <w:p>
            <w:pPr>
              <w:pStyle w:val="Normal"/>
              <w:numPr>
                <w:ilvl w:val="0"/>
                <w:numId w:val="55"/>
              </w:numPr>
              <w:spacing w:before="0" w:after="0"/>
              <w:rPr>
                <w:rFonts w:ascii="Arial" w:hAnsi="Arial" w:eastAsia="Times New Roman" w:cs="Arial"/>
                <w:color w:themeColor="text1" w:themeShade="80" w:val="1E1E1E"/>
                <w:sz w:val="20"/>
                <w:szCs w:val="20"/>
              </w:rPr>
            </w:pPr>
            <w:r>
              <w:rPr>
                <w:rFonts w:eastAsia="Times New Roman" w:cs="Times New Roman"/>
                <w:color w:themeColor="text1" w:themeShade="80" w:val="1E1E1E"/>
                <w:sz w:val="22"/>
                <w:szCs w:val="22"/>
              </w:rPr>
              <w:t>разработка проекта Акта категорирования объекта КИИ в соответствии с Постановлением Правительства РФ от 8.02.2018 г. № 127;</w:t>
            </w:r>
          </w:p>
          <w:p>
            <w:pPr>
              <w:pStyle w:val="Normal"/>
              <w:spacing w:before="0" w:after="0"/>
              <w:jc w:val="start"/>
              <w:rPr>
                <w:rFonts w:ascii="Arial" w:hAnsi="Arial" w:eastAsia="Times New Roman" w:cs="Arial"/>
                <w:color w:themeColor="text1" w:themeShade="80" w:val="1E1E1E"/>
                <w:sz w:val="20"/>
                <w:szCs w:val="20"/>
              </w:rPr>
            </w:pPr>
            <w:r>
              <w:rPr>
                <w:rFonts w:eastAsia="Times New Roman" w:cs="Arial" w:ascii="Arial" w:hAnsi="Arial"/>
                <w:color w:themeColor="text1" w:themeShade="80" w:val="1E1E1E"/>
                <w:sz w:val="20"/>
                <w:szCs w:val="20"/>
              </w:rPr>
            </w:r>
          </w:p>
          <w:p>
            <w:pPr>
              <w:pStyle w:val="Normal"/>
              <w:spacing w:before="0" w:after="0"/>
              <w:rPr>
                <w:rFonts w:ascii="Arial" w:hAnsi="Arial" w:eastAsia="Times New Roman" w:cs="Arial"/>
                <w:color w:themeColor="text1" w:themeShade="80" w:val="1E1E1E"/>
                <w:sz w:val="20"/>
                <w:szCs w:val="20"/>
              </w:rPr>
            </w:pPr>
            <w:r>
              <w:rPr>
                <w:rFonts w:eastAsia="Times New Roman" w:cs="Times New Roman"/>
                <w:color w:themeColor="text1" w:themeShade="80" w:val="1E1E1E"/>
                <w:sz w:val="22"/>
                <w:szCs w:val="22"/>
              </w:rPr>
              <w:t>При формировании перечня угроз безопасности информации должны быть учтены структурно-функциональные характеристики объекта КИИ, включающие физические, логические, функциональные и технологические взаимосвязи между сегментами (подсистемами) объекта КИИ, взаимодействие с иными автоматизированными (информационными) системами и информационно-телекоммуникационными сетями, режимы обработки информации на объекте КИИ, а также иные характеристики объекта КИИ.</w:t>
            </w:r>
          </w:p>
          <w:p>
            <w:pPr>
              <w:pStyle w:val="Normal"/>
              <w:spacing w:before="0" w:after="0"/>
              <w:rPr>
                <w:rFonts w:ascii="Arial" w:hAnsi="Arial" w:eastAsia="Times New Roman" w:cs="Arial"/>
                <w:color w:themeColor="text1" w:themeShade="80" w:val="1E1E1E"/>
                <w:sz w:val="20"/>
                <w:szCs w:val="20"/>
              </w:rPr>
            </w:pPr>
            <w:r>
              <w:rPr>
                <w:rFonts w:eastAsia="Times New Roman" w:cs="Times New Roman"/>
                <w:color w:themeColor="text1" w:themeShade="80" w:val="1E1E1E"/>
                <w:sz w:val="22"/>
                <w:szCs w:val="22"/>
              </w:rPr>
              <w:t>Работы должны осуществляться в соответствии с требованиями методических рекомендаций ФСТЭК России. В процессе формирования перечня рассматриваемых угроз безопасности объекта КИИ в том числе должны быть рассмотрены угрозы, представленные в Банке данных угроз ФСТЭК России.</w:t>
            </w:r>
          </w:p>
          <w:p>
            <w:pPr>
              <w:pStyle w:val="Normal"/>
              <w:spacing w:before="0" w:after="0"/>
              <w:jc w:val="start"/>
              <w:rPr>
                <w:rFonts w:ascii="Arial" w:hAnsi="Arial" w:eastAsia="Times New Roman" w:cs="Arial"/>
                <w:color w:themeColor="text1" w:themeShade="80" w:val="1E1E1E"/>
                <w:sz w:val="20"/>
                <w:szCs w:val="20"/>
              </w:rPr>
            </w:pPr>
            <w:r>
              <w:rPr>
                <w:rFonts w:eastAsia="Times New Roman" w:cs="Arial" w:ascii="Arial" w:hAnsi="Arial"/>
                <w:color w:themeColor="text1" w:themeShade="80" w:val="1E1E1E"/>
                <w:sz w:val="20"/>
                <w:szCs w:val="20"/>
              </w:rPr>
            </w:r>
          </w:p>
          <w:p>
            <w:pPr>
              <w:pStyle w:val="Normal"/>
              <w:spacing w:before="0" w:after="0"/>
              <w:rPr>
                <w:rFonts w:ascii="Arial" w:hAnsi="Arial" w:eastAsia="Times New Roman" w:cs="Arial"/>
                <w:color w:themeColor="text1" w:themeShade="80" w:val="1E1E1E"/>
                <w:sz w:val="20"/>
                <w:szCs w:val="20"/>
              </w:rPr>
            </w:pPr>
            <w:r>
              <w:rPr>
                <w:rFonts w:eastAsia="Times New Roman" w:cs="Times New Roman"/>
                <w:color w:themeColor="text1" w:themeShade="80" w:val="1E1E1E"/>
                <w:sz w:val="22"/>
                <w:szCs w:val="22"/>
              </w:rPr>
              <w:t>По результатам этапа должны быть разработаны следующие документы:</w:t>
            </w:r>
          </w:p>
          <w:p>
            <w:pPr>
              <w:pStyle w:val="Normal"/>
              <w:numPr>
                <w:ilvl w:val="1"/>
                <w:numId w:val="56"/>
              </w:numPr>
              <w:shd w:val="clear" w:color="auto" w:fill="FFFFFF"/>
              <w:spacing w:before="0" w:after="0"/>
              <w:rPr>
                <w:rFonts w:ascii="Arial" w:hAnsi="Arial" w:eastAsia="Times New Roman" w:cs="Arial"/>
                <w:color w:themeColor="text1" w:themeShade="80" w:val="1E1E1E"/>
                <w:sz w:val="20"/>
                <w:szCs w:val="20"/>
              </w:rPr>
            </w:pPr>
            <w:r>
              <w:rPr>
                <w:rFonts w:eastAsia="Times New Roman" w:cs="Times New Roman"/>
                <w:color w:themeColor="text1" w:themeShade="80" w:val="1E1E1E"/>
                <w:sz w:val="22"/>
                <w:szCs w:val="22"/>
              </w:rPr>
              <w:t>Модель угроз безопасности информации для объектов критической информационной инфраструктуры (КИИ);</w:t>
            </w:r>
          </w:p>
          <w:p>
            <w:pPr>
              <w:pStyle w:val="Normal"/>
              <w:numPr>
                <w:ilvl w:val="1"/>
                <w:numId w:val="56"/>
              </w:numPr>
              <w:shd w:val="clear" w:color="auto" w:fill="FFFFFF"/>
              <w:spacing w:before="0" w:after="0"/>
              <w:rPr>
                <w:rFonts w:ascii="Arial" w:hAnsi="Arial" w:eastAsia="Times New Roman" w:cs="Arial"/>
                <w:color w:themeColor="text1" w:themeShade="80" w:val="1E1E1E"/>
                <w:sz w:val="20"/>
                <w:szCs w:val="20"/>
              </w:rPr>
            </w:pPr>
            <w:r>
              <w:rPr>
                <w:rFonts w:eastAsia="Times New Roman" w:cs="Times New Roman"/>
                <w:color w:themeColor="text1" w:themeShade="80" w:val="1E1E1E"/>
                <w:sz w:val="22"/>
                <w:szCs w:val="22"/>
              </w:rPr>
              <w:t>Модель нарушителя безопасности информации для объектов КИИ (с использованием Банка данных угроз ФСТЭК России);</w:t>
            </w:r>
          </w:p>
          <w:p>
            <w:pPr>
              <w:pStyle w:val="Normal"/>
              <w:numPr>
                <w:ilvl w:val="1"/>
                <w:numId w:val="56"/>
              </w:numPr>
              <w:shd w:val="clear" w:color="auto" w:fill="FFFFFF"/>
              <w:spacing w:before="0" w:after="0"/>
              <w:rPr>
                <w:color w:themeColor="text1" w:themeShade="80" w:val="1E1E1E"/>
              </w:rPr>
            </w:pPr>
            <w:r>
              <w:rPr>
                <w:rFonts w:eastAsia="Times New Roman" w:cs="Times New Roman"/>
                <w:color w:themeColor="text1" w:themeShade="80" w:val="1E1E1E"/>
                <w:sz w:val="22"/>
                <w:szCs w:val="22"/>
              </w:rPr>
              <w:t>Проект акта категорирования объекта КИИ.</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26.Технические требования к единому пункту управления</w:t>
            </w:r>
          </w:p>
        </w:tc>
        <w:tc>
          <w:tcPr>
            <w:tcW w:w="7616" w:type="dxa"/>
            <w:tcBorders>
              <w:top w:val="single" w:sz="4" w:space="0" w:color="000000"/>
              <w:start w:val="single" w:sz="4" w:space="0" w:color="000000"/>
              <w:bottom w:val="single" w:sz="4" w:space="0" w:color="000000"/>
              <w:end w:val="single" w:sz="4" w:space="0" w:color="000000"/>
            </w:tcBorders>
          </w:tcPr>
          <w:p>
            <w:pPr>
              <w:pStyle w:val="Normal"/>
              <w:spacing w:before="120" w:after="120"/>
              <w:rPr>
                <w:color w:themeColor="text1" w:themeShade="80" w:val="1E1E1E"/>
              </w:rPr>
            </w:pPr>
            <w:r>
              <w:rPr>
                <w:color w:themeColor="text1" w:themeShade="80" w:val="1E1E1E"/>
              </w:rPr>
              <w:t>Оценить возможность размещения ЕПУ ОТБ для нескольких ОТИ.</w:t>
            </w:r>
          </w:p>
          <w:p>
            <w:pPr>
              <w:pStyle w:val="Normal"/>
              <w:spacing w:before="0" w:after="0"/>
              <w:rPr>
                <w:color w:themeColor="text1" w:themeShade="80" w:val="1E1E1E"/>
              </w:rPr>
            </w:pPr>
            <w:r>
              <w:rPr>
                <w:color w:themeColor="text1" w:themeShade="80" w:val="1E1E1E"/>
              </w:rPr>
              <w:t>Основными задачами единого пункта управления (ЕПУ) ОТБ являются:</w:t>
            </w:r>
          </w:p>
          <w:p>
            <w:pPr>
              <w:pStyle w:val="Normal"/>
              <w:numPr>
                <w:ilvl w:val="0"/>
                <w:numId w:val="4"/>
              </w:numPr>
              <w:spacing w:before="0" w:after="0"/>
              <w:rPr>
                <w:color w:themeColor="text1" w:themeShade="80" w:val="1E1E1E"/>
              </w:rPr>
            </w:pPr>
            <w:r>
              <w:rPr>
                <w:color w:themeColor="text1" w:themeShade="80" w:val="1E1E1E"/>
              </w:rPr>
              <w:t>непрерывное функционирование;</w:t>
            </w:r>
          </w:p>
          <w:p>
            <w:pPr>
              <w:pStyle w:val="Normal"/>
              <w:numPr>
                <w:ilvl w:val="0"/>
                <w:numId w:val="4"/>
              </w:numPr>
              <w:spacing w:before="0" w:after="0"/>
              <w:rPr>
                <w:color w:themeColor="text1" w:themeShade="80" w:val="1E1E1E"/>
              </w:rPr>
            </w:pPr>
            <w:r>
              <w:rPr>
                <w:color w:themeColor="text1" w:themeShade="80" w:val="1E1E1E"/>
              </w:rPr>
              <w:t>управление техническими средствами и силами обеспечения транспортной безопасности;</w:t>
            </w:r>
          </w:p>
          <w:p>
            <w:pPr>
              <w:pStyle w:val="Normal"/>
              <w:numPr>
                <w:ilvl w:val="0"/>
                <w:numId w:val="4"/>
              </w:numPr>
              <w:spacing w:before="0" w:after="0"/>
              <w:rPr>
                <w:color w:themeColor="text1" w:themeShade="80" w:val="1E1E1E"/>
              </w:rPr>
            </w:pPr>
            <w:r>
              <w:rPr>
                <w:color w:themeColor="text1" w:themeShade="80" w:val="1E1E1E"/>
              </w:rPr>
              <w:t>обеспечение взаимодействия как между силами обеспечения транспортной безопасности ОТИ, так и силами обеспечения транспортной безопасности других ОТИ, с которыми имеется технологическое взаимодействие (при возникновении такого взаимодействия);</w:t>
            </w:r>
          </w:p>
          <w:p>
            <w:pPr>
              <w:pStyle w:val="Normal"/>
              <w:numPr>
                <w:ilvl w:val="0"/>
                <w:numId w:val="4"/>
              </w:numPr>
              <w:spacing w:before="0" w:after="0"/>
              <w:rPr>
                <w:color w:themeColor="text1" w:themeShade="80" w:val="1E1E1E"/>
              </w:rPr>
            </w:pPr>
            <w:r>
              <w:rPr>
                <w:color w:themeColor="text1" w:themeShade="80" w:val="1E1E1E"/>
              </w:rPr>
              <w:t>накопление, обработка и хранение в электронном виде данных с технических средств обеспечения транспортной безопасности;</w:t>
            </w:r>
          </w:p>
          <w:p>
            <w:pPr>
              <w:pStyle w:val="Normal"/>
              <w:numPr>
                <w:ilvl w:val="0"/>
                <w:numId w:val="4"/>
              </w:numPr>
              <w:spacing w:before="0" w:after="0"/>
              <w:rPr>
                <w:color w:themeColor="text1" w:themeShade="80" w:val="1E1E1E"/>
              </w:rPr>
            </w:pPr>
            <w:r>
              <w:rPr>
                <w:color w:themeColor="text1" w:themeShade="80" w:val="1E1E1E"/>
              </w:rPr>
              <w:t>обеспечение аудио- и видеозаписи в целях документирования действий сил обеспечения транспортной безопасности на КПП и постах ОТИ, находящихся ведении ЕПУ ОТБ, а также на ЕПУ ОТБ;</w:t>
            </w:r>
          </w:p>
          <w:p>
            <w:pPr>
              <w:pStyle w:val="Normal"/>
              <w:numPr>
                <w:ilvl w:val="0"/>
                <w:numId w:val="4"/>
              </w:numPr>
              <w:spacing w:before="0" w:after="0"/>
              <w:rPr>
                <w:color w:themeColor="text1" w:themeShade="80" w:val="1E1E1E"/>
              </w:rPr>
            </w:pPr>
            <w:r>
              <w:rPr>
                <w:color w:themeColor="text1" w:themeShade="80" w:val="1E1E1E"/>
              </w:rPr>
              <w:t>обеспечение защиты технических средств обеспечения транспортной безопасности ОТИ от несанкционированного доступа к элементам управления, обработки и хранения данных, а также поддержания средств связи в постоянной готовности к использованию.</w:t>
            </w:r>
          </w:p>
          <w:p>
            <w:pPr>
              <w:pStyle w:val="Normal"/>
              <w:rPr>
                <w:color w:themeColor="text1" w:themeShade="80" w:val="1E1E1E"/>
              </w:rPr>
            </w:pPr>
            <w:r>
              <w:rPr>
                <w:color w:themeColor="text1" w:themeShade="80" w:val="1E1E1E"/>
              </w:rPr>
              <w:t>ЕПУ ОТБ оснащается техническими системами, обеспечивающими управление средствами сигнализации, контроля доступа, видеонаблюдения, аудио- и видеозаписи, связи, оповещения, сбора, обработки, приема и передачи информации.</w:t>
            </w:r>
          </w:p>
          <w:p>
            <w:pPr>
              <w:pStyle w:val="Normal"/>
              <w:rPr>
                <w:color w:themeColor="text1" w:themeShade="80" w:val="1E1E1E"/>
              </w:rPr>
            </w:pPr>
            <w:r>
              <w:rPr>
                <w:color w:themeColor="text1" w:themeShade="80" w:val="1E1E1E"/>
              </w:rPr>
              <w:t xml:space="preserve">ЕПУ ОТБ оснащается приточно-вытяжной вентиляцией, оборудованием кондиционирования воздуха, а также средствами охранной сигнализации, системой оповещения людей о возможном возгорании на ЕПУ ОТБ. </w:t>
            </w:r>
          </w:p>
          <w:p>
            <w:pPr>
              <w:pStyle w:val="Normal"/>
              <w:rPr>
                <w:color w:themeColor="text1" w:themeShade="80" w:val="1E1E1E"/>
              </w:rPr>
            </w:pPr>
            <w:r>
              <w:rPr>
                <w:color w:themeColor="text1" w:themeShade="80" w:val="1E1E1E"/>
              </w:rPr>
              <w:t xml:space="preserve">На ЕПУ ОТБ предусмотреть систему автоматической пожарной сигнализации и средства тушения (огнетушители). </w:t>
            </w:r>
          </w:p>
          <w:p>
            <w:pPr>
              <w:pStyle w:val="Normal"/>
              <w:rPr>
                <w:color w:themeColor="text1" w:themeShade="80" w:val="1E1E1E"/>
              </w:rPr>
            </w:pPr>
            <w:r>
              <w:rPr>
                <w:color w:themeColor="text1" w:themeShade="80" w:val="1E1E1E"/>
              </w:rPr>
              <w:t>В помещении дежурной смены на ЕПУ ОТБ ОТИ определить:</w:t>
            </w:r>
          </w:p>
          <w:p>
            <w:pPr>
              <w:pStyle w:val="Normal"/>
              <w:numPr>
                <w:ilvl w:val="0"/>
                <w:numId w:val="5"/>
              </w:numPr>
              <w:rPr>
                <w:color w:themeColor="text1" w:themeShade="80" w:val="1E1E1E"/>
              </w:rPr>
            </w:pPr>
            <w:r>
              <w:rPr>
                <w:color w:themeColor="text1" w:themeShade="80" w:val="1E1E1E"/>
              </w:rPr>
              <w:t xml:space="preserve">место размещения (хранения) средств досмотра; </w:t>
            </w:r>
          </w:p>
          <w:p>
            <w:pPr>
              <w:pStyle w:val="Normal"/>
              <w:numPr>
                <w:ilvl w:val="0"/>
                <w:numId w:val="5"/>
              </w:numPr>
              <w:rPr>
                <w:color w:themeColor="text1" w:themeShade="80" w:val="1E1E1E"/>
              </w:rPr>
            </w:pPr>
            <w:r>
              <w:rPr>
                <w:color w:themeColor="text1" w:themeShade="80" w:val="1E1E1E"/>
              </w:rPr>
              <w:t>место для временного хранения добровольно сданных, обнаруженных и изъятых в ходе досмотра, дополнительного досмотра или повторного досмотра предметов и веществ, которые запрещены или ограничены для перемещения.</w:t>
            </w:r>
          </w:p>
          <w:p>
            <w:pPr>
              <w:pStyle w:val="Normal"/>
              <w:rPr>
                <w:color w:themeColor="text1" w:themeShade="80" w:val="1E1E1E"/>
              </w:rPr>
            </w:pPr>
            <w:r>
              <w:rPr>
                <w:color w:themeColor="text1" w:themeShade="80" w:val="1E1E1E"/>
              </w:rPr>
              <w:t xml:space="preserve">Система сбора, обработки, приема и передачи информации обеспечивает сбор, обработку, прием и передачу данных, полученных со всех ИТС ОТБ на ЕПУ ОТБ. Для сбора, обработки, хранения приема и передачи информации в помещении серверной ЕПУ ОТБ устанавливается серверное оборудование. Данные, полученные с ТС ОТБ, подлежат хранению в электронном виде. Хранение данных осуществляется в помещении серверной. </w:t>
            </w:r>
          </w:p>
          <w:p>
            <w:pPr>
              <w:pStyle w:val="Normal"/>
              <w:rPr>
                <w:color w:themeColor="text1" w:themeShade="80" w:val="1E1E1E"/>
              </w:rPr>
            </w:pPr>
            <w:r>
              <w:rPr>
                <w:color w:themeColor="text1" w:themeShade="80" w:val="1E1E1E"/>
              </w:rPr>
              <w:t>Хранение данных аудио- и видеозаписи для документирования действий работников ПТБ, осуществляющих мероприятия по обследованию объектов досмотра, обеспечивается ПТБ на ЕПУ ОТБ в течение не менее месяца.</w:t>
            </w:r>
          </w:p>
          <w:p>
            <w:pPr>
              <w:pStyle w:val="Normal"/>
              <w:spacing w:before="120" w:after="120"/>
              <w:rPr>
                <w:color w:themeColor="text1" w:themeShade="80" w:val="1E1E1E"/>
              </w:rPr>
            </w:pPr>
            <w:r>
              <w:rPr>
                <w:color w:themeColor="text1" w:themeShade="80" w:val="1E1E1E"/>
              </w:rPr>
              <w:t>Все технические средства обеспечения транспортной безопасности должны быть сертифицированы в соответствии с постановлением правительства РФ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или документа его заменяющего.</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27.Местоположения объектов (границы объекта)</w:t>
            </w:r>
          </w:p>
        </w:tc>
        <w:tc>
          <w:tcPr>
            <w:tcW w:w="761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before="120" w:after="120"/>
              <w:rPr>
                <w:color w:themeColor="text1" w:themeShade="80" w:val="1E1E1E"/>
              </w:rPr>
            </w:pPr>
            <w:r>
              <w:rPr/>
              <w:t>Магаданская область: муниципальное образование город Магадан, Ольский муниципальный округ.</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28.Требования к составу работ, содержанию и оформлению проектной документации</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46"/>
              </w:numPr>
              <w:spacing w:before="120" w:after="120"/>
              <w:ind w:hanging="360" w:start="379"/>
              <w:contextualSpacing/>
              <w:rPr>
                <w:color w:themeColor="text1" w:themeShade="80" w:val="1E1E1E"/>
              </w:rPr>
            </w:pPr>
            <w:r>
              <w:rPr>
                <w:color w:themeColor="text1" w:themeShade="80" w:val="1E1E1E"/>
              </w:rPr>
              <w:t>Проектную документацию разработать в составе и объеме, предусмотренном Градостроительным кодексом Российской Федерации и постановлением Правительства Российской Федерации от 16 февраля 2008 г. № 87 «О составе разделов проектной документации и требованиях к их содержанию» (с изменениями и дополнениями от 21.10.2025 г.) и в соответствии с действующими нормативными документами.</w:t>
            </w:r>
          </w:p>
          <w:p>
            <w:pPr>
              <w:pStyle w:val="ListParagraph"/>
              <w:numPr>
                <w:ilvl w:val="0"/>
                <w:numId w:val="47"/>
              </w:numPr>
              <w:rPr>
                <w:color w:themeColor="text1" w:themeShade="80" w:val="1E1E1E"/>
              </w:rPr>
            </w:pPr>
            <w:r>
              <w:rPr>
                <w:color w:themeColor="text1" w:themeShade="80" w:val="1E1E1E"/>
              </w:rPr>
              <w:t>проектная документация должна быть разработана в соответствии с требованиями Федерального закона Российской Федерации от 30 декабря 2009 г. № 384 - ФЗ «Технический регламент о безопасности зданий и сооружений», Технического регламента Таможенного союза «Безопасность автомобильных дорог» TP ТС № 014/2011, иных технических регламентов, а также стандартов, в результате применения которых, на обязательной и добровольной основе обеспечивается соблюдение требований указанных технических регламентов.</w:t>
            </w:r>
          </w:p>
          <w:p>
            <w:pPr>
              <w:pStyle w:val="ListParagraph"/>
              <w:numPr>
                <w:ilvl w:val="0"/>
                <w:numId w:val="47"/>
              </w:numPr>
              <w:rPr>
                <w:color w:themeColor="text1" w:themeShade="80" w:val="1E1E1E"/>
              </w:rPr>
            </w:pPr>
            <w:r>
              <w:rPr>
                <w:color w:themeColor="text1" w:themeShade="80" w:val="1E1E1E"/>
              </w:rPr>
              <w:t>технические решения, принятые в проектной документации, должны соответствовать экологическим, санитарно-гигиеническим, противопожарным и другим нормам, действующим на территории Российской Федерации, и обеспечивать при эксплуатации безопасность для жизни и здоровья людей.</w:t>
            </w:r>
          </w:p>
          <w:p>
            <w:pPr>
              <w:pStyle w:val="ListParagraph"/>
              <w:numPr>
                <w:ilvl w:val="0"/>
                <w:numId w:val="47"/>
              </w:numPr>
              <w:rPr>
                <w:color w:themeColor="text1" w:themeShade="80" w:val="1E1E1E"/>
              </w:rPr>
            </w:pPr>
            <w:r>
              <w:rPr>
                <w:color w:themeColor="text1" w:themeShade="80" w:val="1E1E1E"/>
              </w:rPr>
              <w:t>общая пояснительная записка, в которой выделить главу «Параметры объекта» с указанием параметров Объекта, изменение которых при разработке рабочей документации и строительстве не допустимо, в том числе применительно к каждому этапу строительства (при их выделении).</w:t>
            </w:r>
          </w:p>
          <w:p>
            <w:pPr>
              <w:pStyle w:val="ListParagraph"/>
              <w:numPr>
                <w:ilvl w:val="0"/>
                <w:numId w:val="47"/>
              </w:numPr>
              <w:rPr>
                <w:color w:themeColor="text1" w:themeShade="80" w:val="1E1E1E"/>
              </w:rPr>
            </w:pPr>
            <w:r>
              <w:rPr>
                <w:color w:themeColor="text1" w:themeShade="80" w:val="1E1E1E"/>
              </w:rPr>
              <w:t>обоснование изъятия и предоставления земельных участков, в том числе соответствии с Федеральным законом от 8 ноября 2007 г. № 257-ФЗ «Об автомобильных дорогах и о дорожной деятельности в Российской Федерации и о внесении изменении в отдельные законодательные акты Российской Федерации» (с изм. от 25.05.2026), Федеральным законом от 24 июля 2002 г. № 101-ФЗ «Об обороте земель сельскохозяйственного назначения» (с изм. от 29.12.2025г); Постановлением Правительства Российской Федерации от 2 сентября 2009 г. № 717 нормах отвода земель для размещения автомобильных дорог и (или) объектов дорожного сервиса» (при необходимости).</w:t>
            </w:r>
          </w:p>
          <w:p>
            <w:pPr>
              <w:pStyle w:val="ListParagraph"/>
              <w:numPr>
                <w:ilvl w:val="0"/>
                <w:numId w:val="47"/>
              </w:numPr>
              <w:rPr>
                <w:color w:themeColor="text1" w:themeShade="80" w:val="1E1E1E"/>
              </w:rPr>
            </w:pPr>
            <w:r>
              <w:rPr>
                <w:color w:themeColor="text1" w:themeShade="80" w:val="1E1E1E"/>
              </w:rPr>
              <w:t>документы и материалы для получения Заказчиком решения уполномоченных органов государственной власти по предоставлению Заказчику разрешения на строительство Объекта.</w:t>
            </w:r>
          </w:p>
          <w:p>
            <w:pPr>
              <w:pStyle w:val="ListParagraph"/>
              <w:numPr>
                <w:ilvl w:val="0"/>
                <w:numId w:val="46"/>
              </w:numPr>
              <w:ind w:hanging="360" w:start="379"/>
              <w:rPr>
                <w:color w:themeColor="text1" w:themeShade="80" w:val="1E1E1E"/>
              </w:rPr>
            </w:pPr>
            <w:r>
              <w:rPr>
                <w:color w:themeColor="text1" w:themeShade="80" w:val="1E1E1E"/>
              </w:rPr>
              <w:t xml:space="preserve">Проектную документацию разработать на каждый этап строительства отдельно. </w:t>
            </w:r>
          </w:p>
          <w:p>
            <w:pPr>
              <w:pStyle w:val="ListParagraph"/>
              <w:numPr>
                <w:ilvl w:val="0"/>
                <w:numId w:val="46"/>
              </w:numPr>
              <w:ind w:hanging="360" w:start="379"/>
              <w:rPr>
                <w:color w:themeColor="text1" w:themeShade="80" w:val="1E1E1E"/>
              </w:rPr>
            </w:pPr>
            <w:r>
              <w:rPr>
                <w:color w:themeColor="text1" w:themeShade="80" w:val="1E1E1E"/>
              </w:rPr>
              <w:t>В составе проектной документации выделить в отдельные книги:</w:t>
            </w:r>
          </w:p>
          <w:p>
            <w:pPr>
              <w:pStyle w:val="ListParagraph"/>
              <w:numPr>
                <w:ilvl w:val="0"/>
                <w:numId w:val="48"/>
              </w:numPr>
              <w:rPr>
                <w:color w:themeColor="text1" w:themeShade="80" w:val="1E1E1E"/>
              </w:rPr>
            </w:pPr>
            <w:r>
              <w:rPr>
                <w:color w:themeColor="text1" w:themeShade="80" w:val="1E1E1E"/>
              </w:rPr>
              <w:t>отчетов по инженерным изысканиям;</w:t>
            </w:r>
          </w:p>
          <w:p>
            <w:pPr>
              <w:pStyle w:val="ListParagraph"/>
              <w:numPr>
                <w:ilvl w:val="0"/>
                <w:numId w:val="48"/>
              </w:numPr>
              <w:rPr>
                <w:color w:themeColor="text1" w:themeShade="80" w:val="1E1E1E"/>
              </w:rPr>
            </w:pPr>
            <w:r>
              <w:rPr>
                <w:color w:themeColor="text1" w:themeShade="80" w:val="1E1E1E"/>
              </w:rPr>
              <w:t>проектная документация (с разделением на тома и книги с учетом балансодержателей инженерных сетей и ИТСОТБ, проект организации строительства);</w:t>
            </w:r>
          </w:p>
          <w:p>
            <w:pPr>
              <w:pStyle w:val="ListParagraph"/>
              <w:numPr>
                <w:ilvl w:val="0"/>
                <w:numId w:val="48"/>
              </w:numPr>
              <w:rPr>
                <w:color w:themeColor="text1" w:themeShade="80" w:val="1E1E1E"/>
              </w:rPr>
            </w:pPr>
            <w:r>
              <w:rPr>
                <w:color w:themeColor="text1" w:themeShade="80" w:val="1E1E1E"/>
              </w:rPr>
              <w:t>сметная документация;</w:t>
            </w:r>
          </w:p>
          <w:p>
            <w:pPr>
              <w:pStyle w:val="ListParagraph"/>
              <w:numPr>
                <w:ilvl w:val="0"/>
                <w:numId w:val="48"/>
              </w:numPr>
              <w:rPr>
                <w:color w:themeColor="text1" w:themeShade="80" w:val="1E1E1E"/>
              </w:rPr>
            </w:pPr>
            <w:r>
              <w:rPr>
                <w:color w:themeColor="text1" w:themeShade="80" w:val="1E1E1E"/>
              </w:rPr>
              <w:t>полный комплект технических условий и согласований.</w:t>
            </w:r>
          </w:p>
          <w:p>
            <w:pPr>
              <w:pStyle w:val="ListParagraph"/>
              <w:numPr>
                <w:ilvl w:val="0"/>
                <w:numId w:val="46"/>
              </w:numPr>
              <w:ind w:hanging="360" w:start="379"/>
              <w:rPr>
                <w:color w:themeColor="text1" w:themeShade="80" w:val="1E1E1E"/>
              </w:rPr>
            </w:pPr>
            <w:r>
              <w:rPr>
                <w:color w:themeColor="text1" w:themeShade="80" w:val="1E1E1E"/>
              </w:rPr>
              <w:t xml:space="preserve">В проектной документации представить дополнительный раздел: </w:t>
            </w:r>
          </w:p>
          <w:p>
            <w:pPr>
              <w:pStyle w:val="ListParagraph"/>
              <w:numPr>
                <w:ilvl w:val="0"/>
                <w:numId w:val="49"/>
              </w:numPr>
              <w:ind w:hanging="360" w:start="1088"/>
              <w:rPr>
                <w:color w:themeColor="text1" w:themeShade="80" w:val="1E1E1E"/>
              </w:rPr>
            </w:pPr>
            <w:r>
              <w:rPr>
                <w:color w:themeColor="text1" w:themeShade="80" w:val="1E1E1E"/>
              </w:rPr>
              <w:t xml:space="preserve">организация дорожного движения на период проведения работ по оснащению ОТИ и на период эксплуатации; </w:t>
            </w:r>
          </w:p>
          <w:p>
            <w:pPr>
              <w:pStyle w:val="ListParagraph"/>
              <w:numPr>
                <w:ilvl w:val="0"/>
                <w:numId w:val="49"/>
              </w:numPr>
              <w:ind w:hanging="360" w:start="1088"/>
              <w:rPr>
                <w:color w:themeColor="text1" w:themeShade="80" w:val="1E1E1E"/>
              </w:rPr>
            </w:pPr>
            <w:r>
              <w:rPr>
                <w:color w:themeColor="text1" w:themeShade="80" w:val="1E1E1E"/>
              </w:rPr>
              <w:t>ведомость используемых строительных ресурсов (материалов) с указанием наименований ресурсов, объемов и их стоимости.</w:t>
            </w:r>
          </w:p>
          <w:p>
            <w:pPr>
              <w:pStyle w:val="ListParagraph"/>
              <w:numPr>
                <w:ilvl w:val="0"/>
                <w:numId w:val="49"/>
              </w:numPr>
              <w:rPr>
                <w:color w:themeColor="text1" w:themeShade="80" w:val="1E1E1E"/>
              </w:rPr>
            </w:pPr>
            <w:r>
              <w:rPr>
                <w:color w:themeColor="text1" w:themeShade="80" w:val="1E1E1E"/>
              </w:rPr>
              <w:t>обоснование изъятия и предоставления земельных участков, в том числе путем выкупа, в соответствии с Федеральным законом от 8 ноября 2007 г. № 257-ФЗ автомобильных дорогах и о дорожной деятельности в Российской Федерации внесении изменений в отдельные законодательные акты Российской Федерации» (с изм. от 25.05.2026); Федеральным законом от 24 июля 2002 г. №101-ФЗ «Об обороте земель сельскохозяйственного назначения» (с изм. от 29.12.2025), Постановление Правительства РФ от 2 сентября 2009 г. N 717 "О нормах отвода земель для размещения автомобильных дорог и (или) объектов дорожного сервиса" (с изм. от 11.03.2011г);</w:t>
            </w:r>
          </w:p>
          <w:p>
            <w:pPr>
              <w:pStyle w:val="ListParagraph"/>
              <w:numPr>
                <w:ilvl w:val="0"/>
                <w:numId w:val="49"/>
              </w:numPr>
              <w:ind w:hanging="360" w:start="1088"/>
              <w:rPr>
                <w:color w:themeColor="text1" w:themeShade="80" w:val="1E1E1E"/>
              </w:rPr>
            </w:pPr>
            <w:r>
              <w:rPr>
                <w:color w:themeColor="text1" w:themeShade="80" w:val="1E1E1E"/>
              </w:rPr>
              <w:t>выписки ЕГРН на земельные участки, подлежащих изъятию государственных нужд, в том числе путем выкупа;</w:t>
            </w:r>
          </w:p>
          <w:p>
            <w:pPr>
              <w:pStyle w:val="ListParagraph"/>
              <w:numPr>
                <w:ilvl w:val="0"/>
                <w:numId w:val="49"/>
              </w:numPr>
              <w:ind w:hanging="360" w:start="1088"/>
              <w:rPr>
                <w:color w:themeColor="text1" w:themeShade="80" w:val="1E1E1E"/>
              </w:rPr>
            </w:pPr>
            <w:r>
              <w:rPr>
                <w:color w:themeColor="text1" w:themeShade="80" w:val="1E1E1E"/>
              </w:rPr>
              <w:t>расчеты стоимости возмещения собственникам земельных участков землепользователям, землевладельцам, арендаторам земельных участков, связанных с изъятием, в том числе путем выкупа, или временным занятием указанных земельных участков для нужд Магаданской области, выполненные в установленном законодательством Российской Федерации порядке (при необходимости);</w:t>
            </w:r>
          </w:p>
          <w:p>
            <w:pPr>
              <w:pStyle w:val="ListParagraph"/>
              <w:numPr>
                <w:ilvl w:val="0"/>
                <w:numId w:val="46"/>
              </w:numPr>
              <w:ind w:hanging="360" w:start="379"/>
              <w:rPr>
                <w:color w:themeColor="text1" w:themeShade="80" w:val="1E1E1E"/>
              </w:rPr>
            </w:pPr>
            <w:r>
              <w:rPr>
                <w:color w:themeColor="text1" w:themeShade="80" w:val="1E1E1E"/>
              </w:rPr>
              <w:t xml:space="preserve">Проектная документация в части переустройства инженерных коммуникаций и иных объектов недвижимого имущества (при необходимости) разрабатывается после выполнения изысканий и должна быть согласована с владельцами переустраиваемых объектов, в том числе в части стоимостных параметров. </w:t>
            </w:r>
          </w:p>
          <w:p>
            <w:pPr>
              <w:pStyle w:val="ListParagraph"/>
              <w:numPr>
                <w:ilvl w:val="0"/>
                <w:numId w:val="46"/>
              </w:numPr>
              <w:ind w:hanging="360" w:start="379"/>
              <w:rPr>
                <w:color w:themeColor="text1" w:themeShade="80" w:val="1E1E1E"/>
              </w:rPr>
            </w:pPr>
            <w:r>
              <w:rPr>
                <w:color w:themeColor="text1" w:themeShade="80" w:val="1E1E1E"/>
              </w:rPr>
              <w:t>Проект организации строительства должен учитывать принятые решения по выделению этапов строительства, в том числе в части сроков, на подготовку территории строительства, оформление земель и переустройство инженерных коммуникаций</w:t>
            </w:r>
          </w:p>
          <w:p>
            <w:pPr>
              <w:pStyle w:val="ListParagraph"/>
              <w:numPr>
                <w:ilvl w:val="0"/>
                <w:numId w:val="46"/>
              </w:numPr>
              <w:ind w:hanging="360" w:start="379"/>
              <w:rPr>
                <w:color w:themeColor="text1" w:themeShade="80" w:val="1E1E1E"/>
              </w:rPr>
            </w:pPr>
            <w:r>
              <w:rPr>
                <w:color w:themeColor="text1" w:themeShade="80" w:val="1E1E1E"/>
              </w:rPr>
              <w:t>Проектные решения должны минимизировать снижение уровня безопасности и пропускной способности существующих участков автомобильных дорог в период проведения строительно-монтажных работ.</w:t>
            </w:r>
          </w:p>
          <w:p>
            <w:pPr>
              <w:pStyle w:val="ListParagraph"/>
              <w:numPr>
                <w:ilvl w:val="0"/>
                <w:numId w:val="46"/>
              </w:numPr>
              <w:ind w:hanging="360" w:start="379"/>
              <w:rPr>
                <w:color w:themeColor="text1" w:themeShade="80" w:val="1E1E1E"/>
              </w:rPr>
            </w:pPr>
            <w:r>
              <w:rPr>
                <w:color w:themeColor="text1" w:themeShade="80" w:val="1E1E1E"/>
              </w:rPr>
              <w:t xml:space="preserve">Выполнить инженерно-геодезические, инженерно-геологические, инженерно- гидрометеорологические, инженерно-экологические, экономические, а при необходимости и другие виды инженерных изысканий в объеме, необходимом для принятия обоснованных проектных решений, оформления землеустроительной и кадастровой документации. </w:t>
            </w:r>
            <w:r>
              <w:rPr/>
              <w:t>Исполнитель получает требуемые исходно-разрешительные документы, необходимые для проведения инженерных изысканий и организации проектных работ (при необходимости – совместно с Заказчиком).</w:t>
            </w:r>
          </w:p>
          <w:p>
            <w:pPr>
              <w:pStyle w:val="ListParagraph"/>
              <w:numPr>
                <w:ilvl w:val="0"/>
                <w:numId w:val="46"/>
              </w:numPr>
              <w:ind w:hanging="360" w:start="379"/>
              <w:rPr>
                <w:color w:themeColor="text1" w:themeShade="80" w:val="1E1E1E"/>
              </w:rPr>
            </w:pPr>
            <w:r>
              <w:rPr>
                <w:color w:themeColor="text1" w:themeShade="80" w:val="1E1E1E"/>
              </w:rPr>
              <w:t>Требования к технической эксплуатации и техническому обслуживанию объекта:</w:t>
            </w:r>
          </w:p>
          <w:p>
            <w:pPr>
              <w:pStyle w:val="ListParagraph"/>
              <w:numPr>
                <w:ilvl w:val="0"/>
                <w:numId w:val="50"/>
              </w:numPr>
              <w:rPr>
                <w:color w:themeColor="text1" w:themeShade="80" w:val="1E1E1E"/>
              </w:rPr>
            </w:pPr>
            <w:r>
              <w:rPr>
                <w:color w:themeColor="text1" w:themeShade="80" w:val="1E1E1E"/>
              </w:rPr>
              <w:t>разработать раздел «Организация содержания объекта», включающий меры и расчет необходимых средств по содержанию Объекта.</w:t>
            </w:r>
          </w:p>
          <w:p>
            <w:pPr>
              <w:pStyle w:val="ListParagraph"/>
              <w:numPr>
                <w:ilvl w:val="0"/>
                <w:numId w:val="46"/>
              </w:numPr>
              <w:ind w:hanging="360" w:start="379"/>
              <w:rPr>
                <w:color w:themeColor="text1" w:themeShade="80" w:val="1E1E1E"/>
              </w:rPr>
            </w:pPr>
            <w:r>
              <w:rPr>
                <w:color w:themeColor="text1" w:themeShade="80" w:val="1E1E1E"/>
              </w:rPr>
              <w:t>Требования к проекту организации строительства объекта:</w:t>
            </w:r>
          </w:p>
          <w:p>
            <w:pPr>
              <w:pStyle w:val="ListParagraph"/>
              <w:numPr>
                <w:ilvl w:val="0"/>
                <w:numId w:val="50"/>
              </w:numPr>
              <w:rPr>
                <w:color w:themeColor="text1" w:themeShade="80" w:val="1E1E1E"/>
              </w:rPr>
            </w:pPr>
            <w:r>
              <w:rPr>
                <w:color w:themeColor="text1" w:themeShade="80" w:val="1E1E1E"/>
              </w:rPr>
              <w:t>разработать раздел «Проект организации строительства» согласно требованиям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 87 (с изменениями и дополнениями от 21.10.2025 г.) с учетом принятого выделения этапов строительства.</w:t>
            </w:r>
          </w:p>
          <w:p>
            <w:pPr>
              <w:pStyle w:val="ListParagraph"/>
              <w:numPr>
                <w:ilvl w:val="0"/>
                <w:numId w:val="50"/>
              </w:numPr>
              <w:rPr>
                <w:color w:themeColor="text1" w:themeShade="80" w:val="1E1E1E"/>
              </w:rPr>
            </w:pPr>
            <w:r>
              <w:rPr>
                <w:color w:themeColor="text1" w:themeShade="80" w:val="1E1E1E"/>
              </w:rPr>
              <w:t>в «Проекте организации строительства» определить продолжительность строительства проектируемых объектов;</w:t>
            </w:r>
          </w:p>
          <w:p>
            <w:pPr>
              <w:pStyle w:val="ListParagraph"/>
              <w:numPr>
                <w:ilvl w:val="0"/>
                <w:numId w:val="50"/>
              </w:numPr>
              <w:rPr>
                <w:color w:themeColor="text1" w:themeShade="80" w:val="1E1E1E"/>
              </w:rPr>
            </w:pPr>
            <w:r>
              <w:rPr>
                <w:color w:themeColor="text1" w:themeShade="80" w:val="1E1E1E"/>
              </w:rPr>
              <w:t>в проекте организации строительства разработать схему организации дорожного движения на период производства работ, согласовать с Заказчиком.</w:t>
            </w:r>
          </w:p>
          <w:p>
            <w:pPr>
              <w:pStyle w:val="ListParagraph"/>
              <w:numPr>
                <w:ilvl w:val="0"/>
                <w:numId w:val="50"/>
              </w:numPr>
              <w:rPr>
                <w:color w:themeColor="text1" w:themeShade="80" w:val="1E1E1E"/>
              </w:rPr>
            </w:pPr>
            <w:r>
              <w:rPr>
                <w:color w:themeColor="text1" w:themeShade="80" w:val="1E1E1E"/>
              </w:rPr>
              <w:t>в составе проекта предусмотреть фактическую схему поставки оборудования, основных строительных материалов, в том числе инертных, с указанием мест для складирования. Логистическая схема должна быть разработана на основании решения транспортной задачи поиска оптимальных маршрутов с учетом стоимости доставки различными видами транспорта.</w:t>
            </w:r>
          </w:p>
          <w:p>
            <w:pPr>
              <w:pStyle w:val="ListParagraph"/>
              <w:numPr>
                <w:ilvl w:val="0"/>
                <w:numId w:val="50"/>
              </w:numPr>
              <w:rPr>
                <w:color w:themeColor="text1" w:themeShade="80" w:val="1E1E1E"/>
              </w:rPr>
            </w:pPr>
            <w:r>
              <w:rPr>
                <w:color w:themeColor="text1" w:themeShade="80" w:val="1E1E1E"/>
              </w:rPr>
              <w:t>в составе раздела «Проект организации строительства» разработать проект организации геодезических работ согласно СП 126.13330.2017 «Геодезические работы в строительстве».</w:t>
            </w:r>
          </w:p>
          <w:p>
            <w:pPr>
              <w:pStyle w:val="ListParagraph"/>
              <w:numPr>
                <w:ilvl w:val="0"/>
                <w:numId w:val="50"/>
              </w:numPr>
              <w:rPr>
                <w:color w:themeColor="text1" w:themeShade="80" w:val="1E1E1E"/>
              </w:rPr>
            </w:pPr>
            <w:r>
              <w:rPr>
                <w:color w:themeColor="text1" w:themeShade="80" w:val="1E1E1E"/>
              </w:rPr>
              <w:t>проект организации строительства должен учитывать принятые решения по выделению этапов строительства, в том числе в части сроков, на подготовку территории строительства, оформление земель и переустройство инженерных коммуникаций;</w:t>
            </w:r>
          </w:p>
          <w:p>
            <w:pPr>
              <w:pStyle w:val="ListParagraph"/>
              <w:numPr>
                <w:ilvl w:val="0"/>
                <w:numId w:val="50"/>
              </w:numPr>
              <w:rPr>
                <w:color w:themeColor="text1" w:themeShade="80" w:val="1E1E1E"/>
              </w:rPr>
            </w:pPr>
            <w:r>
              <w:rPr>
                <w:color w:themeColor="text1" w:themeShade="80" w:val="1E1E1E"/>
              </w:rPr>
              <w:t>внедрение и применение инновационных решений, новых технологий, техники, конструкций, материалов и энергосберегающих систем.</w:t>
            </w:r>
          </w:p>
          <w:p>
            <w:pPr>
              <w:pStyle w:val="ListParagraph"/>
              <w:numPr>
                <w:ilvl w:val="0"/>
                <w:numId w:val="46"/>
              </w:numPr>
              <w:ind w:hanging="360" w:start="379"/>
              <w:rPr>
                <w:color w:themeColor="text1" w:themeShade="80" w:val="1E1E1E"/>
              </w:rPr>
            </w:pPr>
            <w:r>
              <w:rPr>
                <w:color w:themeColor="text1" w:themeShade="80" w:val="1E1E1E"/>
              </w:rPr>
              <w:t xml:space="preserve">Сметную документацию разработать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территории Российской Федерации, утверждённую приказом Министерства строительства и жилищно-коммунального хозяйства Российской Федерации от 04.08.2020 № 421/пр. (с изм. от 30.01.2026 г), с использованием сметно-нормативной базы, внесенной в Федеральный реестр сметных нормативов в уровне цен квартала сдачи проектной документации в органы государственной экспертизы. </w:t>
            </w:r>
          </w:p>
          <w:p>
            <w:pPr>
              <w:pStyle w:val="ListParagraph"/>
              <w:numPr>
                <w:ilvl w:val="0"/>
                <w:numId w:val="51"/>
              </w:numPr>
              <w:rPr>
                <w:color w:themeColor="text1" w:themeShade="80" w:val="1E1E1E"/>
              </w:rPr>
            </w:pPr>
            <w:r>
              <w:rPr>
                <w:color w:themeColor="text1" w:themeShade="80" w:val="1E1E1E"/>
              </w:rPr>
              <w:t>при отсутствии во ФГИС ЦС данных о сметных ценах в текущем уровне цен на отдельные материалы, изделия, конструкции (далее - материальные ресурсы; оборудование, а также сметных нормативов на отдельные виды работ и услуг допускается определение их сметной стоимости по наиболее экономичному варианту, определённому на основании сбора информации о текущих ценах (далее - конъюнктурный анализ). Результаты конъюнктурного анализа оформляются в соответствии с рекомендуемой формой, приведённой в Приложении № 1 к Методике и подписываются застройщиком или техническим заказчиком (далее - заказчик).</w:t>
            </w:r>
          </w:p>
          <w:p>
            <w:pPr>
              <w:pStyle w:val="ListParagraph"/>
              <w:numPr>
                <w:ilvl w:val="0"/>
                <w:numId w:val="51"/>
              </w:numPr>
              <w:rPr>
                <w:color w:themeColor="text1" w:themeShade="80" w:val="1E1E1E"/>
              </w:rPr>
            </w:pPr>
            <w:r>
              <w:rPr>
                <w:color w:themeColor="text1" w:themeShade="80" w:val="1E1E1E"/>
              </w:rPr>
              <w:t>при разработке сметной документации использовать программный комплекс, прошедший подтверждение соответствия в порядке, установленном действующим законодательством (принять по согласованию с Заказчиком). Сметную документацию представить Заказчику в электронном виде в формате используемого программного продукта (программы), выходные формы также в форматах .xls, .xml.</w:t>
            </w:r>
          </w:p>
          <w:p>
            <w:pPr>
              <w:pStyle w:val="ListParagraph"/>
              <w:numPr>
                <w:ilvl w:val="0"/>
                <w:numId w:val="51"/>
              </w:numPr>
              <w:rPr>
                <w:color w:themeColor="text1" w:themeShade="80" w:val="1E1E1E"/>
              </w:rPr>
            </w:pPr>
            <w:r>
              <w:rPr>
                <w:color w:themeColor="text1" w:themeShade="80" w:val="1E1E1E"/>
              </w:rPr>
              <w:t>в пояснительной записке к сметной документации указать метод пересчета в текущую стоимость, применяемые индексы и коэффициенты.</w:t>
            </w:r>
          </w:p>
          <w:p>
            <w:pPr>
              <w:pStyle w:val="ListParagraph"/>
              <w:numPr>
                <w:ilvl w:val="0"/>
                <w:numId w:val="51"/>
              </w:numPr>
              <w:rPr>
                <w:color w:themeColor="text1" w:themeShade="80" w:val="1E1E1E"/>
              </w:rPr>
            </w:pPr>
            <w:r>
              <w:rPr>
                <w:color w:themeColor="text1" w:themeShade="80" w:val="1E1E1E"/>
              </w:rPr>
              <w:t>включить в состав пояснительной записки к сводному сметному расчету стоимости строительства расчет распределения средств по направлениям капитальных вложений (балансодержателям) на строительство и переустройство объектов, не относящихся к имуществу МОГКУ «УДТК», для передачи их на баланс.</w:t>
            </w:r>
          </w:p>
          <w:p>
            <w:pPr>
              <w:pStyle w:val="ListParagraph"/>
              <w:numPr>
                <w:ilvl w:val="0"/>
                <w:numId w:val="51"/>
              </w:numPr>
              <w:rPr>
                <w:color w:themeColor="text1" w:themeShade="80" w:val="1E1E1E"/>
              </w:rPr>
            </w:pPr>
            <w:r>
              <w:rPr>
                <w:color w:themeColor="text1" w:themeShade="80" w:val="1E1E1E"/>
              </w:rPr>
              <w:t>при отсутствии стоимости отдельных материальных ресурсов в территориальных сборниках (каталогах) сметных цен на материалы, изделия и конструкции допустимо использовать федеральные сборники (каталоги) сметных цен на материалы, изделия и конструкции с соответствующим коэффициентом перевода, при отсутствии стоимости материальных ресурсов в федеральных сборниках (каталогах) сметных цен на материалы, изделия и конструкции определять такие стоимости в текущем уровне цен - по фактической стоимости материалов, изделий и конструкций с учетом транспортных и заготовительно-складских расходов, с последующим пересчетом стоимости материальных ресурсов в базовый уровень цен с использованием индексов изменения сметной стоимости, доводимых ежеквартально в сообщениях Минстроя России, на дату определения сметной стоимости. Определение текущей стоимости материальных ресурсов осуществляется на основе исходных данных, получаемых поставщиков и организаций - производителей продукции (прайс-листы).</w:t>
            </w:r>
          </w:p>
          <w:p>
            <w:pPr>
              <w:pStyle w:val="ListParagraph"/>
              <w:numPr>
                <w:ilvl w:val="0"/>
                <w:numId w:val="51"/>
              </w:numPr>
              <w:rPr>
                <w:color w:themeColor="text1" w:themeShade="80" w:val="1E1E1E"/>
              </w:rPr>
            </w:pPr>
            <w:r>
              <w:rPr>
                <w:color w:themeColor="text1" w:themeShade="80" w:val="1E1E1E"/>
              </w:rPr>
              <w:t>прайс-листы, используемые при определении стоимости, должны содержать:</w:t>
            </w:r>
          </w:p>
          <w:p>
            <w:pPr>
              <w:pStyle w:val="ListParagraph"/>
              <w:numPr>
                <w:ilvl w:val="0"/>
                <w:numId w:val="53"/>
              </w:numPr>
              <w:ind w:hanging="360" w:start="1797"/>
              <w:rPr>
                <w:color w:themeColor="text1" w:themeShade="80" w:val="1E1E1E"/>
              </w:rPr>
            </w:pPr>
            <w:r>
              <w:rPr>
                <w:color w:themeColor="text1" w:themeShade="80" w:val="1E1E1E"/>
              </w:rPr>
              <w:t>реквизиты организации, предоставившей обосновывающий документ (наименование, адрес, контактные данные, ИНН, банковские реквизиты);</w:t>
            </w:r>
          </w:p>
          <w:p>
            <w:pPr>
              <w:pStyle w:val="ListParagraph"/>
              <w:numPr>
                <w:ilvl w:val="0"/>
                <w:numId w:val="53"/>
              </w:numPr>
              <w:ind w:hanging="360" w:start="1797"/>
              <w:rPr>
                <w:color w:themeColor="text1" w:themeShade="80" w:val="1E1E1E"/>
              </w:rPr>
            </w:pPr>
            <w:r>
              <w:rPr>
                <w:color w:themeColor="text1" w:themeShade="80" w:val="1E1E1E"/>
              </w:rPr>
              <w:t>полное наименование материального ресурса или оборудования с указанием марки, технических характеристик и т.п. идентификационных данных;</w:t>
            </w:r>
          </w:p>
          <w:p>
            <w:pPr>
              <w:pStyle w:val="ListParagraph"/>
              <w:numPr>
                <w:ilvl w:val="0"/>
                <w:numId w:val="53"/>
              </w:numPr>
              <w:ind w:hanging="360" w:start="1797"/>
              <w:rPr>
                <w:color w:themeColor="text1" w:themeShade="80" w:val="1E1E1E"/>
              </w:rPr>
            </w:pPr>
            <w:r>
              <w:rPr>
                <w:color w:themeColor="text1" w:themeShade="80" w:val="1E1E1E"/>
              </w:rPr>
              <w:t>уровень ценовых показателей (месяц, год);</w:t>
            </w:r>
          </w:p>
          <w:p>
            <w:pPr>
              <w:pStyle w:val="ListParagraph"/>
              <w:numPr>
                <w:ilvl w:val="0"/>
                <w:numId w:val="53"/>
              </w:numPr>
              <w:ind w:hanging="360" w:start="1797"/>
              <w:rPr>
                <w:color w:themeColor="text1" w:themeShade="80" w:val="1E1E1E"/>
              </w:rPr>
            </w:pPr>
            <w:r>
              <w:rPr>
                <w:color w:themeColor="text1" w:themeShade="80" w:val="1E1E1E"/>
              </w:rPr>
              <w:t>расшифровку включенных в стоимость затрат и условий поставки (отпускная цена опт/розница, транспортные затраты, тара, комплектация, сервисные расходы, НДС и т.п.) в текущем уровне цен в рублевом эквиваленте.</w:t>
            </w:r>
          </w:p>
          <w:p>
            <w:pPr>
              <w:pStyle w:val="ListParagraph"/>
              <w:ind w:start="379"/>
              <w:rPr>
                <w:color w:themeColor="text1" w:themeShade="80" w:val="1E1E1E"/>
              </w:rPr>
            </w:pPr>
            <w:r>
              <w:rPr>
                <w:color w:themeColor="text1" w:themeShade="80" w:val="1E1E1E"/>
              </w:rPr>
            </w:r>
          </w:p>
          <w:p>
            <w:pPr>
              <w:pStyle w:val="ListParagraph"/>
              <w:numPr>
                <w:ilvl w:val="0"/>
                <w:numId w:val="52"/>
              </w:numPr>
              <w:ind w:hanging="360" w:start="1088"/>
              <w:rPr>
                <w:color w:themeColor="text1" w:themeShade="80" w:val="1E1E1E"/>
              </w:rPr>
            </w:pPr>
            <w:r>
              <w:rPr>
                <w:color w:themeColor="text1" w:themeShade="80" w:val="1E1E1E"/>
              </w:rPr>
              <w:t>обосновывающие отпускную цену документы должны содержать информацию, актуальную на момент подготовки сметной документации.</w:t>
            </w:r>
          </w:p>
          <w:p>
            <w:pPr>
              <w:pStyle w:val="ListParagraph"/>
              <w:numPr>
                <w:ilvl w:val="0"/>
                <w:numId w:val="52"/>
              </w:numPr>
              <w:ind w:hanging="360" w:start="1088"/>
              <w:rPr>
                <w:color w:themeColor="text1" w:themeShade="80" w:val="1E1E1E"/>
              </w:rPr>
            </w:pPr>
            <w:r>
              <w:rPr>
                <w:color w:themeColor="text1" w:themeShade="80" w:val="1E1E1E"/>
              </w:rPr>
              <w:t>прайс-листы должны быть подобраны на основе мониторинга цен на материальные ресурсы (конъюнктурного анализа), с представлением сравнительной таблицы стоимостных показателей не менее трех производителей и (или) поставщиков и согласованы Заказчиком. При этом пересчет стоимости из текущего уровня цен в базовый уровень цен осуществлять с использованием индексов пересчета, сообщаемых Минстроем России, на дату составления сметной документации. Результаты мониторинга цен на материальные ресурсы (конъюнктурного анализа) включить в состав проектной документации, сшить в отдельную книгу (Том) с обязательным проставлением в ней страниц и позиций.</w:t>
            </w:r>
          </w:p>
          <w:p>
            <w:pPr>
              <w:pStyle w:val="ListParagraph"/>
              <w:numPr>
                <w:ilvl w:val="0"/>
                <w:numId w:val="52"/>
              </w:numPr>
              <w:ind w:hanging="360" w:start="1088"/>
              <w:rPr>
                <w:color w:themeColor="text1" w:themeShade="80" w:val="1E1E1E"/>
              </w:rPr>
            </w:pPr>
            <w:r>
              <w:rPr>
                <w:color w:themeColor="text1" w:themeShade="80" w:val="1E1E1E"/>
              </w:rPr>
              <w:t>в каждой строке локальной сметы, где стоимость материальных ресурсов и оборудования определена по прайс-листам, показать порядок расчета цены. Пересчет стоимости оборудования из текущего уровня цен в базисный уровень цен 2001 г. осуществлять по индексу на оборудование, пересчет стоимости материальных ресурсов по индексу на СМР.</w:t>
            </w:r>
          </w:p>
          <w:p>
            <w:pPr>
              <w:pStyle w:val="ListParagraph"/>
              <w:numPr>
                <w:ilvl w:val="0"/>
                <w:numId w:val="52"/>
              </w:numPr>
              <w:ind w:hanging="360" w:start="1088"/>
              <w:rPr>
                <w:color w:themeColor="text1" w:themeShade="80" w:val="1E1E1E"/>
              </w:rPr>
            </w:pPr>
            <w:r>
              <w:rPr>
                <w:color w:themeColor="text1" w:themeShade="80" w:val="1E1E1E"/>
              </w:rPr>
              <w:t>при выборе оборудования, изделий и материальных ресурсов предпочтение должно отдаваться отечественным производителям. Необходимость применения импортного оборудования должно быть обосновано расчетами, сравнительными характеристиками и другими показателями.</w:t>
            </w:r>
          </w:p>
          <w:p>
            <w:pPr>
              <w:pStyle w:val="ListParagraph"/>
              <w:numPr>
                <w:ilvl w:val="0"/>
                <w:numId w:val="52"/>
              </w:numPr>
              <w:ind w:hanging="360" w:start="1088"/>
              <w:rPr>
                <w:color w:themeColor="text1" w:themeShade="80" w:val="1E1E1E"/>
              </w:rPr>
            </w:pPr>
            <w:r>
              <w:rPr>
                <w:color w:themeColor="text1" w:themeShade="80" w:val="1E1E1E"/>
              </w:rPr>
              <w:t>при разработке сметной документации при необходимости включить затраты на;</w:t>
            </w:r>
          </w:p>
          <w:p>
            <w:pPr>
              <w:pStyle w:val="ListParagraph"/>
              <w:numPr>
                <w:ilvl w:val="0"/>
                <w:numId w:val="52"/>
              </w:numPr>
              <w:rPr>
                <w:color w:themeColor="text1" w:themeShade="80" w:val="1E1E1E"/>
              </w:rPr>
            </w:pPr>
            <w:r>
              <w:rPr>
                <w:color w:themeColor="text1" w:themeShade="80" w:val="1E1E1E"/>
              </w:rPr>
              <w:t>утилизацию непригодного грунта и иных отходов строительства на полигонах ТБО;</w:t>
            </w:r>
          </w:p>
          <w:p>
            <w:pPr>
              <w:pStyle w:val="ListParagraph"/>
              <w:numPr>
                <w:ilvl w:val="0"/>
                <w:numId w:val="52"/>
              </w:numPr>
              <w:rPr>
                <w:color w:themeColor="text1" w:themeShade="80" w:val="1E1E1E"/>
              </w:rPr>
            </w:pPr>
            <w:r>
              <w:rPr>
                <w:color w:themeColor="text1" w:themeShade="80" w:val="1E1E1E"/>
              </w:rPr>
              <w:t>перевозку рабочих к месту работ;</w:t>
            </w:r>
          </w:p>
          <w:p>
            <w:pPr>
              <w:pStyle w:val="ListParagraph"/>
              <w:numPr>
                <w:ilvl w:val="0"/>
                <w:numId w:val="52"/>
              </w:numPr>
              <w:rPr>
                <w:color w:themeColor="text1" w:themeShade="80" w:val="1E1E1E"/>
              </w:rPr>
            </w:pPr>
            <w:r>
              <w:rPr>
                <w:color w:themeColor="text1" w:themeShade="80" w:val="1E1E1E"/>
              </w:rPr>
              <w:t>проведение обследования, диагностики (с составлением паспортов) и пусконаладочных работ;</w:t>
            </w:r>
          </w:p>
          <w:p>
            <w:pPr>
              <w:pStyle w:val="ListParagraph"/>
              <w:numPr>
                <w:ilvl w:val="0"/>
                <w:numId w:val="52"/>
              </w:numPr>
              <w:rPr>
                <w:color w:themeColor="text1" w:themeShade="80" w:val="1E1E1E"/>
              </w:rPr>
            </w:pPr>
            <w:r>
              <w:rPr>
                <w:color w:themeColor="text1" w:themeShade="80" w:val="1E1E1E"/>
              </w:rPr>
              <w:t>проведение строительного контроля (постановление Правительства Российской Федерации от 21 июня 2010 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pPr>
              <w:pStyle w:val="ListParagraph"/>
              <w:numPr>
                <w:ilvl w:val="0"/>
                <w:numId w:val="52"/>
              </w:numPr>
              <w:rPr>
                <w:color w:themeColor="text1" w:themeShade="80" w:val="1E1E1E"/>
              </w:rPr>
            </w:pPr>
            <w:r>
              <w:rPr>
                <w:color w:themeColor="text1" w:themeShade="80" w:val="1E1E1E"/>
              </w:rPr>
              <w:t>технологическое присоединение к инженерным коммуникациям;</w:t>
            </w:r>
          </w:p>
          <w:p>
            <w:pPr>
              <w:pStyle w:val="ListParagraph"/>
              <w:numPr>
                <w:ilvl w:val="0"/>
                <w:numId w:val="52"/>
              </w:numPr>
              <w:rPr>
                <w:color w:themeColor="text1" w:themeShade="80" w:val="1E1E1E"/>
              </w:rPr>
            </w:pPr>
            <w:r>
              <w:rPr>
                <w:color w:themeColor="text1" w:themeShade="80" w:val="1E1E1E"/>
              </w:rPr>
              <w:t>переустройство коммуникаций и др. (при необходимости), затраты на подключение к электрическим сетям.</w:t>
            </w:r>
          </w:p>
          <w:p>
            <w:pPr>
              <w:pStyle w:val="ListParagraph"/>
              <w:numPr>
                <w:ilvl w:val="0"/>
                <w:numId w:val="52"/>
              </w:numPr>
              <w:rPr>
                <w:color w:themeColor="text1" w:themeShade="80" w:val="1E1E1E"/>
              </w:rPr>
            </w:pPr>
            <w:r>
              <w:rPr>
                <w:color w:themeColor="text1" w:themeShade="80" w:val="1E1E1E"/>
              </w:rPr>
              <w:t xml:space="preserve">оплату аренды за временно либо постоянно занимаемые земли и объекты недвижимости (при необходимости);  </w:t>
            </w:r>
          </w:p>
          <w:p>
            <w:pPr>
              <w:pStyle w:val="ListParagraph"/>
              <w:numPr>
                <w:ilvl w:val="0"/>
                <w:numId w:val="52"/>
              </w:numPr>
              <w:rPr>
                <w:color w:themeColor="text1" w:themeShade="80" w:val="1E1E1E"/>
              </w:rPr>
            </w:pPr>
            <w:r>
              <w:rPr>
                <w:color w:themeColor="text1" w:themeShade="80" w:val="1E1E1E"/>
              </w:rPr>
              <w:t>затраты на организацию каналов передачи данных (при необходимости);</w:t>
            </w:r>
          </w:p>
          <w:p>
            <w:pPr>
              <w:pStyle w:val="ListParagraph"/>
              <w:numPr>
                <w:ilvl w:val="0"/>
                <w:numId w:val="52"/>
              </w:numPr>
              <w:rPr>
                <w:color w:themeColor="text1" w:themeShade="80" w:val="1E1E1E"/>
              </w:rPr>
            </w:pPr>
            <w:r>
              <w:rPr>
                <w:color w:themeColor="text1" w:themeShade="80" w:val="1E1E1E"/>
              </w:rPr>
              <w:t>покупку дополнительных электрических мощностей (при необходимости);</w:t>
            </w:r>
          </w:p>
          <w:p>
            <w:pPr>
              <w:pStyle w:val="ListParagraph"/>
              <w:numPr>
                <w:ilvl w:val="0"/>
                <w:numId w:val="52"/>
              </w:numPr>
              <w:rPr>
                <w:color w:themeColor="text1" w:themeShade="80" w:val="1E1E1E"/>
              </w:rPr>
            </w:pPr>
            <w:r>
              <w:rPr>
                <w:color w:themeColor="text1" w:themeShade="80" w:val="1E1E1E"/>
              </w:rPr>
              <w:t>строительно-монтажные работы;</w:t>
            </w:r>
          </w:p>
          <w:p>
            <w:pPr>
              <w:pStyle w:val="ListParagraph"/>
              <w:numPr>
                <w:ilvl w:val="0"/>
                <w:numId w:val="52"/>
              </w:numPr>
              <w:rPr>
                <w:color w:themeColor="text1" w:themeShade="80" w:val="1E1E1E"/>
              </w:rPr>
            </w:pPr>
            <w:r>
              <w:rPr>
                <w:color w:themeColor="text1" w:themeShade="80" w:val="1E1E1E"/>
              </w:rPr>
              <w:t>разработку рабочей документации;</w:t>
            </w:r>
          </w:p>
          <w:p>
            <w:pPr>
              <w:pStyle w:val="ListParagraph"/>
              <w:numPr>
                <w:ilvl w:val="0"/>
                <w:numId w:val="52"/>
              </w:numPr>
              <w:rPr>
                <w:color w:themeColor="text1" w:themeShade="80" w:val="1E1E1E"/>
              </w:rPr>
            </w:pPr>
            <w:r>
              <w:rPr>
                <w:color w:themeColor="text1" w:themeShade="80" w:val="1E1E1E"/>
              </w:rPr>
              <w:t>непредвиденные работы и затраты в размере 3%;</w:t>
            </w:r>
          </w:p>
          <w:p>
            <w:pPr>
              <w:pStyle w:val="ListParagraph"/>
              <w:numPr>
                <w:ilvl w:val="0"/>
                <w:numId w:val="52"/>
              </w:numPr>
              <w:rPr>
                <w:color w:themeColor="text1" w:themeShade="80" w:val="1E1E1E"/>
              </w:rPr>
            </w:pPr>
            <w:r>
              <w:rPr>
                <w:color w:themeColor="text1" w:themeShade="80" w:val="1E1E1E"/>
              </w:rPr>
              <w:t>другие необходимые затраты в соответствии с требованиями приказа Минстроя России от 4 августа 2020 г. № 421/пр «Методика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 с изм. от 30.01.2026г).</w:t>
            </w:r>
          </w:p>
          <w:p>
            <w:pPr>
              <w:pStyle w:val="ListParagraph"/>
              <w:ind w:start="946"/>
              <w:rPr>
                <w:color w:themeColor="text1" w:themeShade="80" w:val="1E1E1E"/>
              </w:rPr>
            </w:pPr>
            <w:r>
              <w:rPr>
                <w:color w:themeColor="text1" w:themeShade="80" w:val="1E1E1E"/>
              </w:rPr>
              <w:t>В связи с переходом Магаданской области в 4 кв. 2023 года на ресурсно-индексный метод определения сметной стоимости строительства, в рамках реализации всех новых проектов строительства, реконструкции и капитального ремонта объектов капитального строительства на территории Магаданской области сметную документацию необходимо будет разработать с применением ресурсно-индексного метода определения сметной стоимости строительства, при котором источниками формирования сметной стоимости строительства одновременно будут являться данные о сметных ценах строительных ресурсов в текущем уровне цен из ФГИС ЦС и сметные цены в базисном уровне цен по состоянию на 1 января 2022 года из ФСНБ – 2022 с индексами изменения сметной стоимости строительства по группам однородных строительных ресурсов.</w:t>
            </w:r>
          </w:p>
          <w:p>
            <w:pPr>
              <w:pStyle w:val="ListParagraph"/>
              <w:numPr>
                <w:ilvl w:val="0"/>
                <w:numId w:val="52"/>
              </w:numPr>
              <w:ind w:hanging="360" w:start="946"/>
              <w:rPr>
                <w:color w:themeColor="text1" w:themeShade="80" w:val="1E1E1E"/>
              </w:rPr>
            </w:pPr>
            <w:r>
              <w:rPr>
                <w:color w:themeColor="text1" w:themeShade="80" w:val="1E1E1E"/>
              </w:rPr>
              <w:t>в составе затрат Главы 9 «Прочие работы и затраты» сводного сметного расчета на объект строительства учитывать расчетные компенсационные затраты, связанные с необходимостью осуществления платежей в счет возмещения вреда, причиняемого тяжеловесными транспортными средствами (участвующими в строительстве объекта) автомобильным дорогам общего пользования, имеющим максимальную разрешенную максимальную массу свыше 12 тонн.</w:t>
            </w:r>
          </w:p>
          <w:p>
            <w:pPr>
              <w:pStyle w:val="ListParagraph"/>
              <w:numPr>
                <w:ilvl w:val="0"/>
                <w:numId w:val="52"/>
              </w:numPr>
              <w:ind w:hanging="360" w:start="946"/>
              <w:rPr>
                <w:color w:themeColor="text1" w:themeShade="80" w:val="1E1E1E"/>
              </w:rPr>
            </w:pPr>
            <w:r>
              <w:rPr>
                <w:color w:themeColor="text1" w:themeShade="80" w:val="1E1E1E"/>
              </w:rPr>
              <w:t>сформировать Ведомость объемов конструктивных решений (элементов) и комплексов (видов) работ, оборудования согласно приказа Минстроя России от 23.12.2019 N 841/пр (ред. от 15.09.2025 г) "Об утверждении Порядка определения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Договора, предметом которого являются строительство, реконструкция объектов капитального строительства", гл VI, п. 30, п.п. б), 2 абз. и согласовать ее с Заказчиком.</w:t>
            </w:r>
          </w:p>
          <w:p>
            <w:pPr>
              <w:pStyle w:val="ListParagraph"/>
              <w:numPr>
                <w:ilvl w:val="0"/>
                <w:numId w:val="52"/>
              </w:numPr>
              <w:ind w:hanging="360" w:start="946"/>
              <w:rPr>
                <w:color w:themeColor="text1" w:themeShade="80" w:val="1E1E1E"/>
              </w:rPr>
            </w:pPr>
            <w:r>
              <w:rPr>
                <w:color w:themeColor="text1" w:themeShade="80" w:val="1E1E1E"/>
              </w:rPr>
              <w:t>на основании Ведомости объемов конструктивных решений составить проект сметы Договора, предусматривающий определение цены каждого конструктивного решения (элемента), комплекса (вида) работ, оборудования, входящего в состав конструктивного решения (элемента), комплекса (вида) работ, либо выделенного отдельной строкой, всего и на принятую единицу измерения.</w:t>
            </w:r>
          </w:p>
          <w:p>
            <w:pPr>
              <w:pStyle w:val="ListParagraph"/>
              <w:numPr>
                <w:ilvl w:val="0"/>
                <w:numId w:val="52"/>
              </w:numPr>
              <w:ind w:hanging="360" w:start="946"/>
              <w:rPr>
                <w:color w:themeColor="text1" w:themeShade="80" w:val="1E1E1E"/>
              </w:rPr>
            </w:pPr>
            <w:r>
              <w:rPr>
                <w:color w:themeColor="text1" w:themeShade="80" w:val="1E1E1E"/>
              </w:rPr>
              <w:t>сформировать общую ведомость используемых строительных ресурсов с указанием наименований ресурсов, объемов и их стоимости.</w:t>
            </w:r>
          </w:p>
          <w:p>
            <w:pPr>
              <w:pStyle w:val="Normal"/>
              <w:ind w:start="586"/>
              <w:rPr>
                <w:color w:themeColor="text1" w:themeShade="80" w:val="1E1E1E"/>
              </w:rPr>
            </w:pPr>
            <w:r>
              <w:rPr>
                <w:color w:themeColor="text1" w:themeShade="80" w:val="1E1E1E"/>
              </w:rPr>
              <w:t>Передачу документов для проверки достоверности определения сметной стоимости на рассмотрение в органы экспертизы осуществляет Исполнитель. Исполнитель обеспечивает сопровождение и отработку замечаний экспертизы. В случае выдачи отрицательного заключения экспертизы Исполнитель безвозмездно устраняет все замечания и за счет собственных средств проходит повторную экспертизу.</w:t>
            </w:r>
          </w:p>
          <w:p>
            <w:pPr>
              <w:pStyle w:val="ListParagraph"/>
              <w:numPr>
                <w:ilvl w:val="0"/>
                <w:numId w:val="46"/>
              </w:numPr>
              <w:ind w:hanging="360" w:start="379"/>
              <w:rPr>
                <w:color w:themeColor="text1" w:themeShade="80" w:val="1E1E1E"/>
              </w:rPr>
            </w:pPr>
            <w:r>
              <w:rPr/>
              <w:t>Решения по информационной безопасности выделить в отдельные тома с соответствующими сметными расчетами. Необходимость рассмотрения указанных томов в органах государственной экспертизы в части проверки достоверности сметной стоимости определяется заказчиком на этапе проектирования.</w:t>
            </w:r>
          </w:p>
          <w:p>
            <w:pPr>
              <w:pStyle w:val="ListParagraph"/>
              <w:numPr>
                <w:ilvl w:val="0"/>
                <w:numId w:val="46"/>
              </w:numPr>
              <w:ind w:hanging="360" w:start="379"/>
              <w:rPr>
                <w:color w:themeColor="text1" w:themeShade="80" w:val="1E1E1E"/>
              </w:rPr>
            </w:pPr>
            <w:r>
              <w:rPr>
                <w:color w:themeColor="text1" w:themeShade="80" w:val="1E1E1E"/>
              </w:rPr>
              <w:t>Для разработки и обоснования проектных решений могут быть использованы и другие технические документы, и результаты научно-исследовательских разработок (использование типовых решений по оснащению техническими средствами аналогичных объектов по возможности).</w:t>
            </w:r>
          </w:p>
          <w:p>
            <w:pPr>
              <w:pStyle w:val="ListParagraph"/>
              <w:numPr>
                <w:ilvl w:val="0"/>
                <w:numId w:val="46"/>
              </w:numPr>
              <w:spacing w:before="120" w:after="120"/>
              <w:ind w:hanging="360" w:start="379"/>
              <w:contextualSpacing/>
              <w:rPr>
                <w:color w:themeColor="text1" w:themeShade="80" w:val="1E1E1E"/>
              </w:rPr>
            </w:pPr>
            <w:r>
              <w:rPr>
                <w:color w:themeColor="text1" w:themeShade="80" w:val="1E1E1E"/>
              </w:rPr>
              <w:t>Проектную документацию заверить электронными подписями руководителя проектной организации, главного инженера проекта, исполнителей, а также справкой проектной организации о соответствии проектной документации требованиям действующего законодательства и задания на проектирование.</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29.Требования к сдаче проектной документации Заказчику</w:t>
            </w:r>
          </w:p>
        </w:tc>
        <w:tc>
          <w:tcPr>
            <w:tcW w:w="7616" w:type="dxa"/>
            <w:tcBorders>
              <w:top w:val="single" w:sz="4" w:space="0" w:color="000000"/>
              <w:start w:val="single" w:sz="4" w:space="0" w:color="000000"/>
              <w:bottom w:val="single" w:sz="4" w:space="0" w:color="000000"/>
              <w:end w:val="single" w:sz="4" w:space="0" w:color="000000"/>
            </w:tcBorders>
          </w:tcPr>
          <w:p>
            <w:pPr>
              <w:pStyle w:val="ListParagraph"/>
              <w:numPr>
                <w:ilvl w:val="0"/>
                <w:numId w:val="54"/>
              </w:numPr>
              <w:spacing w:before="0" w:after="0"/>
              <w:ind w:firstLine="357" w:start="0"/>
              <w:contextualSpacing/>
              <w:rPr>
                <w:color w:themeColor="text1" w:themeShade="80" w:val="1E1E1E"/>
              </w:rPr>
            </w:pPr>
            <w:r>
              <w:rPr>
                <w:color w:themeColor="text1" w:themeShade="80" w:val="1E1E1E"/>
              </w:rPr>
              <w:t xml:space="preserve">Передать Заказчику по установленному Договором графику работ: проектную документацию (в томах или в книгах) в 3-х экземплярах и на электронном USB - носителе в 1 экземпляре (формат .pdf и в форматах среды разработки (.doc; .xls; .dwg и т.д.), включая все необходимые электронные библиотеки, шрифты, шейп-файлы и т.д., обеспечивающие однозначное соответствие электронной и бумажной версий проектной документации. Проектная документация разрабатывается на </w:t>
            </w:r>
            <w:r>
              <w:rPr>
                <w:color w:themeColor="text1" w:themeShade="80" w:val="1E1E1E"/>
                <w:shd w:fill="FFFFFF" w:val="clear"/>
              </w:rPr>
              <w:t xml:space="preserve">(на каждый ОТИ) </w:t>
            </w:r>
            <w:r>
              <w:rPr>
                <w:color w:themeColor="text1" w:themeShade="80" w:val="1E1E1E"/>
              </w:rPr>
              <w:t>отдельно.</w:t>
            </w:r>
          </w:p>
          <w:p>
            <w:pPr>
              <w:pStyle w:val="ListParagraph"/>
              <w:numPr>
                <w:ilvl w:val="0"/>
                <w:numId w:val="54"/>
              </w:numPr>
              <w:spacing w:before="0" w:after="0"/>
              <w:ind w:firstLine="357" w:start="0"/>
              <w:contextualSpacing/>
              <w:rPr>
                <w:color w:themeColor="text1" w:themeShade="80" w:val="1E1E1E"/>
              </w:rPr>
            </w:pPr>
            <w:r>
              <w:rPr>
                <w:color w:themeColor="text1" w:themeShade="80" w:val="1E1E1E"/>
              </w:rPr>
              <w:t>Передать Заказчику по установленному Договором графику работ: технические отчеты об инженерных изысканиях (в томах или в книгах)  в 3-х экземплярах и на электронном USB - носителе в 1 экземпляре (формат .pdf и в форматах среды разработки (.doc; .xls; .dwg и т.д.), включая все необходимые электронные библиотеки, шрифты, шейп-файлы и т.д., обеспечивающие однозначное соответствие электронной и бумажной версий проектной документации. Технические отчеты об инженерных изысканиях разрабатываются на каждый ОТИ отдельно.</w:t>
            </w:r>
          </w:p>
          <w:p>
            <w:pPr>
              <w:pStyle w:val="ListParagraph"/>
              <w:numPr>
                <w:ilvl w:val="0"/>
                <w:numId w:val="54"/>
              </w:numPr>
              <w:spacing w:before="0" w:after="0"/>
              <w:ind w:firstLine="357" w:start="0"/>
              <w:contextualSpacing/>
              <w:rPr>
                <w:color w:themeColor="text1" w:themeShade="80" w:val="1E1E1E"/>
              </w:rPr>
            </w:pPr>
            <w:r>
              <w:rPr>
                <w:color w:themeColor="text1" w:themeShade="80" w:val="1E1E1E"/>
              </w:rPr>
              <w:t>Передать Заказчику по установленному Договором графику работ: сметную часть проектной документации предоставить Заказчику на бумажном носителе в 2-х экземплярах и на электронном USB - носителе в 1 экземпляре (формат .pdf и в форматах среды разработки (.gsfx; .doc; .xls; .dwg и т.д.), включая все необходимые электронные библиотеки, шрифты, шейп-файлы и т.д., обеспечивающие однозначное соответствие электронной и бумажной версий проектной документации.</w:t>
            </w:r>
          </w:p>
          <w:p>
            <w:pPr>
              <w:pStyle w:val="ListParagraph"/>
              <w:numPr>
                <w:ilvl w:val="0"/>
                <w:numId w:val="54"/>
              </w:numPr>
              <w:spacing w:before="0" w:after="0"/>
              <w:ind w:firstLine="357" w:start="0"/>
              <w:contextualSpacing/>
              <w:rPr>
                <w:color w:themeColor="text1" w:themeShade="80" w:val="1E1E1E"/>
              </w:rPr>
            </w:pPr>
            <w:r>
              <w:rPr>
                <w:color w:themeColor="text1" w:themeShade="80" w:val="1E1E1E"/>
              </w:rPr>
              <w:t>Бумажные экземпляры проектной документации заверить подписями руководителя генеральной проектной организации и главного инженера проектной документации, круглой печатью генеральной проектной организации, а также справкой проектной организации о соответствии проектной документации требованиям действующего законодательства и задания на проектирование.</w:t>
            </w:r>
          </w:p>
          <w:p>
            <w:pPr>
              <w:pStyle w:val="ListParagraph"/>
              <w:numPr>
                <w:ilvl w:val="0"/>
                <w:numId w:val="54"/>
              </w:numPr>
              <w:spacing w:before="0" w:after="0"/>
              <w:ind w:firstLine="357" w:start="0"/>
              <w:contextualSpacing/>
              <w:rPr>
                <w:color w:themeColor="text1" w:themeShade="80" w:val="1E1E1E"/>
              </w:rPr>
            </w:pPr>
            <w:r>
              <w:rPr>
                <w:color w:themeColor="text1" w:themeShade="80" w:val="1E1E1E"/>
              </w:rPr>
              <w:t>В составе отчетов результатов инженерных изысканий представить Заказчику фото и видеоматериалы, подтверждающие выполнение работ, с составлением совместного акта.</w:t>
            </w:r>
          </w:p>
          <w:p>
            <w:pPr>
              <w:pStyle w:val="ListParagraph"/>
              <w:numPr>
                <w:ilvl w:val="0"/>
                <w:numId w:val="54"/>
              </w:numPr>
              <w:spacing w:before="0" w:after="0"/>
              <w:ind w:firstLine="357" w:start="0"/>
              <w:contextualSpacing/>
              <w:rPr>
                <w:color w:themeColor="text1" w:themeShade="80" w:val="1E1E1E"/>
              </w:rPr>
            </w:pPr>
            <w:r>
              <w:rPr>
                <w:color w:themeColor="text1" w:themeShade="80" w:val="1E1E1E"/>
              </w:rPr>
              <w:t>Срок сдачи проектной документации Заказчику с положительным заключением государственной экспертизы в части достоверности сметной стоимости в соответствии с графиком исполнения Договора.</w:t>
            </w:r>
          </w:p>
        </w:tc>
      </w:tr>
      <w:tr>
        <w:trPr>
          <w:trHeight w:val="647" w:hRule="atLeast"/>
        </w:trPr>
        <w:tc>
          <w:tcPr>
            <w:tcW w:w="2589" w:type="dxa"/>
            <w:tcBorders>
              <w:top w:val="single" w:sz="4" w:space="0" w:color="000000"/>
              <w:start w:val="single" w:sz="4" w:space="0" w:color="000000"/>
              <w:bottom w:val="single" w:sz="4" w:space="0" w:color="000000"/>
              <w:end w:val="single" w:sz="4" w:space="0" w:color="000000"/>
            </w:tcBorders>
          </w:tcPr>
          <w:p>
            <w:pPr>
              <w:pStyle w:val="Normal"/>
              <w:spacing w:before="120" w:after="120"/>
              <w:jc w:val="start"/>
              <w:rPr>
                <w:b/>
                <w:color w:themeColor="text1" w:themeShade="80" w:val="1E1E1E"/>
              </w:rPr>
            </w:pPr>
            <w:r>
              <w:rPr>
                <w:b/>
                <w:color w:themeColor="text1" w:themeShade="80" w:val="1E1E1E"/>
              </w:rPr>
              <w:t>30.Требования к Исполнителю</w:t>
            </w:r>
          </w:p>
        </w:tc>
        <w:tc>
          <w:tcPr>
            <w:tcW w:w="7616" w:type="dxa"/>
            <w:tcBorders>
              <w:top w:val="single" w:sz="4" w:space="0" w:color="000000"/>
              <w:start w:val="single" w:sz="4" w:space="0" w:color="000000"/>
              <w:bottom w:val="single" w:sz="4" w:space="0" w:color="000000"/>
              <w:end w:val="single" w:sz="4" w:space="0" w:color="000000"/>
            </w:tcBorders>
          </w:tcPr>
          <w:p>
            <w:pPr>
              <w:pStyle w:val="Normal"/>
              <w:spacing w:before="120" w:after="120"/>
              <w:ind w:firstLine="237"/>
              <w:rPr>
                <w:color w:themeColor="text1" w:themeShade="80" w:val="1E1E1E"/>
              </w:rPr>
            </w:pPr>
            <w:r>
              <w:rPr>
                <w:color w:themeColor="text1" w:themeShade="80" w:val="1E1E1E"/>
              </w:rPr>
              <w:t>Для оказания услуг установлены Требования к Исполнителю:</w:t>
            </w:r>
          </w:p>
          <w:p>
            <w:pPr>
              <w:pStyle w:val="ListParagraph"/>
              <w:numPr>
                <w:ilvl w:val="0"/>
                <w:numId w:val="63"/>
              </w:numPr>
              <w:ind w:firstLine="237" w:start="0"/>
              <w:rPr>
                <w:color w:themeColor="text1" w:themeShade="80" w:val="1E1E1E"/>
              </w:rPr>
            </w:pPr>
            <w:r>
              <w:rPr>
                <w:color w:themeColor="text1" w:themeShade="80" w:val="1E1E1E"/>
              </w:rPr>
              <w:t>наличие у исполнителя квалифицированных штатных специалистов, имеющих высшее инженерное образование, аттестованных в качестве сил обеспечения транспортной безопасности в сфере автомобильного, городского пассажирского транспорта и дорожного хозяйства, обладающих опытом работы в области обеспечения транспортной безопасности не менее 3-х лет:</w:t>
            </w:r>
          </w:p>
          <w:p>
            <w:pPr>
              <w:pStyle w:val="ListParagraph"/>
              <w:numPr>
                <w:ilvl w:val="0"/>
                <w:numId w:val="63"/>
              </w:numPr>
              <w:ind w:firstLine="237" w:start="0"/>
              <w:rPr>
                <w:color w:themeColor="text1" w:themeShade="80" w:val="1E1E1E"/>
              </w:rPr>
            </w:pPr>
            <w:r>
              <w:rPr>
                <w:color w:themeColor="text1" w:themeShade="80" w:val="1E1E1E"/>
              </w:rPr>
              <w:t>В составе исполнителей должны быть должностные лица, состоящие в НОПРИЗ.</w:t>
            </w:r>
          </w:p>
          <w:p>
            <w:pPr>
              <w:pStyle w:val="ListParagraph"/>
              <w:numPr>
                <w:ilvl w:val="0"/>
                <w:numId w:val="63"/>
              </w:numPr>
              <w:ind w:firstLine="237" w:start="0"/>
              <w:rPr>
                <w:color w:themeColor="text1" w:themeShade="80" w:val="1E1E1E"/>
              </w:rPr>
            </w:pPr>
            <w:r>
              <w:rPr>
                <w:color w:themeColor="text1" w:themeShade="80" w:val="1E1E1E"/>
              </w:rPr>
              <w:t>Возможность на законном основании, на момент подачи заявки на участие в закупке, возможность проведения дополнительной оценки уязвимости объектов транспортной инфраструктуры и транспортных средств в сфере автомобильного транспорта и дорожного хозяйства и проводить работы по внесению изменений в Планы обеспечения транспортной безопасности объектов транспортной инфраструктуры в сфере автомобильного транспорта и дорожного хозяйства.</w:t>
            </w:r>
          </w:p>
          <w:p>
            <w:pPr>
              <w:pStyle w:val="ConsPlusNormal"/>
              <w:numPr>
                <w:ilvl w:val="0"/>
                <w:numId w:val="63"/>
              </w:numPr>
              <w:ind w:firstLine="237" w:start="0"/>
              <w:jc w:val="both"/>
              <w:rPr>
                <w:rFonts w:ascii="Times New Roman" w:hAnsi="Times New Roman" w:cs="Times New Roman"/>
                <w:color w:themeColor="text1" w:val="3C3C3C"/>
                <w:sz w:val="24"/>
                <w:szCs w:val="24"/>
              </w:rPr>
            </w:pPr>
            <w:r>
              <w:rPr>
                <w:rFonts w:cs="Times New Roman" w:ascii="Times New Roman" w:hAnsi="Times New Roman"/>
                <w:iCs/>
                <w:color w:themeColor="text1" w:themeShade="80" w:val="1E1E1E"/>
                <w:sz w:val="24"/>
                <w:szCs w:val="24"/>
              </w:rPr>
              <w:t xml:space="preserve">Наличие лицензии ФСБ России 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 технического обслуживания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включающая работы предусмотренные пунктами 2,3  перечня выполняемых работ и оказываемых услуг, составляющих лицензируемую деятельность, в отношении шифровальных (криптографических) средств, являющегося приложением к Положению, утвержденному постановлением Правительства Российской Федерации от 16.04.2012 № 313, </w:t>
            </w:r>
            <w:r>
              <w:rPr>
                <w:rFonts w:cs="Times New Roman" w:ascii="Times New Roman" w:hAnsi="Times New Roman"/>
                <w:iCs/>
                <w:color w:themeColor="text1" w:val="3C3C3C"/>
                <w:sz w:val="24"/>
                <w:szCs w:val="24"/>
              </w:rPr>
              <w:t>перечень работ:</w:t>
            </w:r>
            <w:r>
              <w:rPr>
                <w:rFonts w:cs="Times New Roman" w:ascii="Times New Roman" w:hAnsi="Times New Roman"/>
                <w:color w:themeColor="text1" w:val="3C3C3C"/>
                <w:sz w:val="24"/>
                <w:szCs w:val="24"/>
              </w:rPr>
              <w:t xml:space="preserve"> </w:t>
            </w:r>
          </w:p>
          <w:p>
            <w:pPr>
              <w:pStyle w:val="ConsPlusNormal"/>
              <w:ind w:firstLine="237"/>
              <w:jc w:val="both"/>
              <w:rPr>
                <w:rFonts w:ascii="Times New Roman" w:hAnsi="Times New Roman" w:cs="Times New Roman"/>
                <w:color w:themeColor="text1" w:val="3C3C3C"/>
                <w:sz w:val="24"/>
                <w:szCs w:val="24"/>
              </w:rPr>
            </w:pPr>
            <w:r>
              <w:rPr>
                <w:rFonts w:cs="Times New Roman" w:ascii="Times New Roman" w:hAnsi="Times New Roman"/>
                <w:color w:themeColor="text1" w:val="3C3C3C"/>
                <w:sz w:val="24"/>
                <w:szCs w:val="24"/>
              </w:rPr>
              <w:t>- Разработка защищенных с использованием шифровальных (криптографических) средств информационных систем.</w:t>
            </w:r>
          </w:p>
          <w:p>
            <w:pPr>
              <w:pStyle w:val="ConsPlusNormal"/>
              <w:ind w:firstLine="237"/>
              <w:jc w:val="both"/>
              <w:rPr>
                <w:rFonts w:ascii="Times New Roman" w:hAnsi="Times New Roman" w:cs="Times New Roman"/>
                <w:color w:themeColor="text1" w:val="3C3C3C"/>
                <w:sz w:val="24"/>
                <w:szCs w:val="24"/>
              </w:rPr>
            </w:pPr>
            <w:bookmarkStart w:id="1" w:name="Par181"/>
            <w:bookmarkEnd w:id="1"/>
            <w:r>
              <w:rPr>
                <w:rFonts w:cs="Times New Roman" w:ascii="Times New Roman" w:hAnsi="Times New Roman"/>
                <w:color w:themeColor="text1" w:val="3C3C3C"/>
                <w:sz w:val="24"/>
                <w:szCs w:val="24"/>
              </w:rPr>
              <w:t>- Разработка защищенных с использованием шифровальных (криптографических) средств телекоммуникационных систем.</w:t>
            </w:r>
          </w:p>
          <w:p>
            <w:pPr>
              <w:pStyle w:val="ConsPlusTitle"/>
              <w:numPr>
                <w:ilvl w:val="0"/>
                <w:numId w:val="63"/>
              </w:numPr>
              <w:ind w:firstLine="237" w:start="0"/>
              <w:jc w:val="both"/>
              <w:rPr>
                <w:rFonts w:ascii="Times New Roman" w:hAnsi="Times New Roman" w:cs="Times New Roman"/>
                <w:color w:themeColor="text1" w:themeShade="80" w:val="1E1E1E"/>
                <w:sz w:val="24"/>
                <w:szCs w:val="24"/>
              </w:rPr>
            </w:pPr>
            <w:r>
              <w:rPr>
                <w:rFonts w:cs="Times New Roman" w:ascii="Times New Roman" w:hAnsi="Times New Roman"/>
                <w:b w:val="false"/>
                <w:bCs/>
                <w:color w:themeColor="text1" w:themeShade="80" w:val="1E1E1E"/>
                <w:sz w:val="24"/>
                <w:szCs w:val="24"/>
              </w:rPr>
              <w:t xml:space="preserve">Наличие у Исполнителя Лицензии ФСТЭК России </w:t>
            </w:r>
            <w:bookmarkStart w:id="2" w:name="_Hlk161914982"/>
            <w:r>
              <w:rPr>
                <w:rFonts w:cs="Times New Roman" w:ascii="Times New Roman" w:hAnsi="Times New Roman"/>
                <w:b w:val="false"/>
                <w:bCs/>
                <w:color w:themeColor="text1" w:themeShade="80" w:val="1E1E1E"/>
                <w:sz w:val="24"/>
                <w:szCs w:val="24"/>
              </w:rPr>
              <w:t>на осуществление деятельности по технической защите конфиденциальной информации</w:t>
            </w:r>
            <w:r>
              <w:rPr>
                <w:rFonts w:cs="Times New Roman" w:ascii="Times New Roman" w:hAnsi="Times New Roman"/>
                <w:iCs/>
                <w:color w:themeColor="text1" w:themeShade="80" w:val="1E1E1E"/>
                <w:sz w:val="24"/>
                <w:szCs w:val="24"/>
              </w:rPr>
              <w:t xml:space="preserve"> </w:t>
            </w:r>
            <w:r>
              <w:rPr>
                <w:rFonts w:cs="Times New Roman" w:ascii="Times New Roman" w:hAnsi="Times New Roman"/>
                <w:b w:val="false"/>
                <w:bCs/>
                <w:iCs/>
                <w:color w:themeColor="text1" w:themeShade="80" w:val="1E1E1E"/>
                <w:sz w:val="24"/>
                <w:szCs w:val="24"/>
              </w:rPr>
              <w:t xml:space="preserve">включающая </w:t>
            </w:r>
            <w:bookmarkEnd w:id="2"/>
            <w:r>
              <w:rPr>
                <w:rFonts w:cs="Times New Roman" w:ascii="Times New Roman" w:hAnsi="Times New Roman"/>
                <w:b w:val="false"/>
                <w:bCs/>
                <w:iCs/>
                <w:color w:themeColor="text1" w:themeShade="80" w:val="1E1E1E"/>
                <w:sz w:val="24"/>
                <w:szCs w:val="24"/>
              </w:rPr>
              <w:t>виды работ, услуг, составляющих лицензируемый вид деятельности (в соответствии с пунктом 4 Положения о лицензировании деятельности по технической защите конфиденциальной информации, утвержденного постановлением Правительства Российской Федерации от 3 февраля 2012 г. N 79):</w:t>
            </w:r>
          </w:p>
          <w:p>
            <w:pPr>
              <w:pStyle w:val="Normal"/>
              <w:shd w:val="clear" w:color="auto" w:fill="FFFFFF"/>
              <w:spacing w:before="0" w:after="0"/>
              <w:ind w:firstLine="237"/>
              <w:rPr>
                <w:rFonts w:eastAsia="Times New Roman" w:cs="Times New Roman"/>
                <w:color w:themeColor="text1" w:themeShade="80" w:val="1E1E1E"/>
              </w:rPr>
            </w:pPr>
            <w:r>
              <w:rPr>
                <w:rFonts w:eastAsia="Times New Roman" w:cs="Times New Roman"/>
                <w:color w:themeColor="text1" w:themeShade="80" w:val="1E1E1E"/>
              </w:rPr>
              <w:t>д - работы и услуги по проектированию в защищенном исполнении (д1...д2):</w:t>
            </w:r>
          </w:p>
          <w:p>
            <w:pPr>
              <w:pStyle w:val="Normal"/>
              <w:shd w:val="clear" w:color="auto" w:fill="FFFFFF"/>
              <w:spacing w:before="0" w:after="0"/>
              <w:ind w:firstLine="237"/>
              <w:rPr>
                <w:rFonts w:eastAsia="Times New Roman" w:cs="Times New Roman"/>
                <w:color w:themeColor="text1" w:themeShade="80" w:val="1E1E1E"/>
              </w:rPr>
            </w:pPr>
            <w:r>
              <w:rPr>
                <w:rFonts w:eastAsia="Times New Roman" w:cs="Times New Roman"/>
                <w:color w:themeColor="text1" w:themeShade="80" w:val="1E1E1E"/>
              </w:rPr>
              <w:t>д1 - средств и систем информатизации;</w:t>
            </w:r>
          </w:p>
          <w:p>
            <w:pPr>
              <w:pStyle w:val="Normal"/>
              <w:shd w:val="clear" w:color="auto" w:fill="FFFFFF"/>
              <w:spacing w:before="0" w:after="0"/>
              <w:ind w:firstLine="237"/>
              <w:rPr>
                <w:rFonts w:eastAsia="Times New Roman" w:cs="Times New Roman"/>
                <w:color w:themeColor="text1" w:themeShade="80" w:val="1E1E1E"/>
              </w:rPr>
            </w:pPr>
            <w:r>
              <w:rPr>
                <w:rFonts w:eastAsia="Times New Roman" w:cs="Times New Roman"/>
                <w:color w:themeColor="text1" w:themeShade="80" w:val="1E1E1E"/>
              </w:rPr>
              <w:t>д2 - помещений со средствами (системами) информатизации, подлежащими защите;</w:t>
            </w:r>
          </w:p>
          <w:p>
            <w:pPr>
              <w:pStyle w:val="ConsPlusNormal"/>
              <w:numPr>
                <w:ilvl w:val="0"/>
                <w:numId w:val="63"/>
              </w:numPr>
              <w:ind w:firstLine="237" w:start="0"/>
              <w:jc w:val="both"/>
              <w:rPr>
                <w:rFonts w:ascii="Times New Roman" w:hAnsi="Times New Roman" w:cs="Times New Roman"/>
                <w:color w:themeColor="text1" w:themeShade="80" w:val="1E1E1E"/>
                <w:sz w:val="24"/>
                <w:szCs w:val="24"/>
              </w:rPr>
            </w:pPr>
            <w:r>
              <w:rPr>
                <w:rFonts w:cs="Times New Roman" w:ascii="Times New Roman" w:hAnsi="Times New Roman"/>
                <w:color w:themeColor="text1" w:themeShade="80" w:val="1E1E1E"/>
                <w:sz w:val="24"/>
                <w:szCs w:val="24"/>
              </w:rPr>
              <w:t>СРО в проектировании.</w:t>
            </w:r>
          </w:p>
          <w:p>
            <w:pPr>
              <w:pStyle w:val="ConsPlusNormal"/>
              <w:numPr>
                <w:ilvl w:val="0"/>
                <w:numId w:val="63"/>
              </w:numPr>
              <w:spacing w:before="220" w:after="0"/>
              <w:ind w:firstLine="237" w:start="0"/>
              <w:jc w:val="both"/>
              <w:rPr>
                <w:rFonts w:ascii="Times New Roman" w:hAnsi="Times New Roman" w:cs="Times New Roman"/>
                <w:color w:themeColor="text1" w:themeShade="80" w:val="1E1E1E"/>
                <w:sz w:val="24"/>
                <w:szCs w:val="24"/>
              </w:rPr>
            </w:pPr>
            <w:r>
              <w:rPr>
                <w:rFonts w:cs="Times New Roman" w:ascii="Times New Roman" w:hAnsi="Times New Roman"/>
                <w:color w:themeColor="text1" w:themeShade="80" w:val="1E1E1E"/>
                <w:sz w:val="24"/>
                <w:szCs w:val="24"/>
              </w:rPr>
              <w:t>Опыт выполнения работ по проектированию инженерно-технических систем обеспечения транспортной безопасности объектов транспортной инфраструктуры дорожного хозяйства.</w:t>
            </w:r>
          </w:p>
          <w:p>
            <w:pPr>
              <w:pStyle w:val="ListParagraph"/>
              <w:numPr>
                <w:ilvl w:val="0"/>
                <w:numId w:val="63"/>
              </w:numPr>
              <w:spacing w:before="120" w:after="120"/>
              <w:ind w:firstLine="237" w:start="0"/>
              <w:contextualSpacing/>
              <w:rPr>
                <w:color w:themeColor="text1" w:themeShade="80" w:val="1E1E1E"/>
              </w:rPr>
            </w:pPr>
            <w:r>
              <w:rPr>
                <w:color w:themeColor="text1" w:themeShade="80" w:val="1E1E1E"/>
              </w:rPr>
              <w:t>При необходимости привлечения иных организаций для выполнения субподрядных работ в рамках исполнения Договора, необходимо наличие у привлекаемых организаций соответствующих штатных (привлеченных) специалистов, лицензий, аккредитаций. Перечень планируемых к привлечению компаний для выполнения субподрядных работ в рамках исполнения Договора должен быть согласован с Заказчиком (с учетом предоставления кадрового состава).</w:t>
            </w:r>
          </w:p>
        </w:tc>
      </w:tr>
      <w:tr>
        <w:trPr>
          <w:trHeight w:val="248" w:hRule="atLeast"/>
        </w:trPr>
        <w:tc>
          <w:tcPr>
            <w:tcW w:w="258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120" w:after="0"/>
              <w:rPr>
                <w:rFonts w:eastAsia="Times New Roman" w:cs="Times New Roman"/>
                <w:b/>
                <w:color w:themeColor="text1" w:themeShade="80" w:val="1E1E1E"/>
                <w:highlight w:val="yellow"/>
              </w:rPr>
            </w:pPr>
            <w:r>
              <w:rPr>
                <w:rFonts w:eastAsia="Times New Roman" w:cs="Times New Roman"/>
                <w:b/>
                <w:color w:themeColor="text1" w:themeShade="80" w:val="1E1E1E"/>
                <w:lang w:eastAsia="ar-SA"/>
              </w:rPr>
              <w:t>31.Приемка выполненных работ.</w:t>
            </w:r>
          </w:p>
        </w:tc>
        <w:tc>
          <w:tcPr>
            <w:tcW w:w="761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before="120" w:after="0"/>
              <w:rPr>
                <w:rFonts w:eastAsia="Times New Roman" w:cs="Times New Roman"/>
                <w:color w:themeColor="text1" w:themeShade="80" w:val="1E1E1E"/>
                <w:lang w:eastAsia="ar-SA"/>
              </w:rPr>
            </w:pPr>
            <w:r>
              <w:rPr>
                <w:rFonts w:eastAsia="Times New Roman" w:cs="Times New Roman"/>
                <w:color w:themeColor="text1" w:themeShade="80" w:val="1E1E1E"/>
                <w:lang w:eastAsia="ar-SA"/>
              </w:rPr>
              <w:t>Приемка выполненных работ и их оплата производится Заказчиком согласно «Графика исполнения Договора» (Приложение № 2 к ГК).</w:t>
            </w:r>
          </w:p>
          <w:p>
            <w:pPr>
              <w:pStyle w:val="Normal"/>
              <w:widowControl w:val="false"/>
              <w:spacing w:before="120" w:after="0"/>
              <w:rPr>
                <w:rFonts w:eastAsia="Times New Roman" w:cs="Times New Roman"/>
                <w:color w:themeColor="text1" w:themeShade="80" w:val="1E1E1E"/>
                <w:highlight w:val="yellow"/>
              </w:rPr>
            </w:pPr>
            <w:r>
              <w:rPr>
                <w:color w:themeColor="text1" w:themeShade="80" w:val="1E1E1E"/>
                <w:lang w:eastAsia="ar-SA"/>
              </w:rPr>
              <w:t xml:space="preserve">Приемка сметной документации проводиться  Заказчиком только после предоставления Подрядчиком положительного заключения государственной экспертизы </w:t>
            </w:r>
            <w:r>
              <w:rPr>
                <w:color w:themeColor="text1" w:themeShade="80" w:val="1E1E1E"/>
                <w:lang w:bidi="ru-RU"/>
              </w:rPr>
              <w:t xml:space="preserve">проектной документации </w:t>
            </w:r>
            <w:r>
              <w:rPr>
                <w:color w:themeColor="text1" w:themeShade="80" w:val="1E1E1E"/>
              </w:rPr>
              <w:t>в части проверки достоверности определения сметной стоимости</w:t>
            </w:r>
            <w:r>
              <w:rPr>
                <w:color w:themeColor="text1" w:themeShade="80" w:val="1E1E1E"/>
                <w:sz w:val="22"/>
                <w:szCs w:val="22"/>
              </w:rPr>
              <w:t>.</w:t>
            </w:r>
          </w:p>
        </w:tc>
      </w:tr>
    </w:tbl>
    <w:p>
      <w:pPr>
        <w:pStyle w:val="Normal"/>
        <w:rPr>
          <w:color w:themeColor="text1" w:themeShade="80" w:val="1E1E1E"/>
        </w:rPr>
      </w:pPr>
      <w:r>
        <w:rPr>
          <w:color w:themeColor="text1" w:themeShade="80" w:val="1E1E1E"/>
        </w:rPr>
      </w:r>
    </w:p>
    <w:p>
      <w:pPr>
        <w:pStyle w:val="Normal"/>
        <w:rPr>
          <w:color w:themeColor="text1" w:themeShade="80" w:val="1E1E1E"/>
        </w:rPr>
      </w:pPr>
      <w:r>
        <w:rPr>
          <w:rFonts w:cs="Times New Roman"/>
          <w:color w:themeColor="text1" w:themeShade="80" w:val="1E1E1E"/>
        </w:rPr>
      </w:r>
    </w:p>
    <w:p>
      <w:pPr>
        <w:pStyle w:val="Normal"/>
        <w:spacing w:lineRule="auto" w:line="276" w:before="0" w:after="200"/>
        <w:jc w:val="start"/>
        <w:rPr>
          <w:rFonts w:cs="Times New Roman"/>
          <w:color w:themeColor="text1" w:themeShade="80" w:val="1E1E1E"/>
        </w:rPr>
      </w:pPr>
      <w:r>
        <w:rPr>
          <w:rFonts w:cs="Times New Roman"/>
          <w:color w:themeColor="text1" w:themeShade="80" w:val="1E1E1E"/>
        </w:rPr>
      </w:r>
      <w:r>
        <w:br w:type="page"/>
      </w:r>
    </w:p>
    <w:p>
      <w:pPr>
        <w:pStyle w:val="Normal"/>
        <w:spacing w:before="0" w:after="0"/>
        <w:jc w:val="end"/>
        <w:rPr>
          <w:rFonts w:cs="Times New Roman"/>
        </w:rPr>
      </w:pPr>
      <w:r>
        <w:rPr>
          <w:rFonts w:cs="Times New Roman"/>
        </w:rPr>
      </w:r>
    </w:p>
    <w:tbl>
      <w:tblPr>
        <w:tblW w:w="4837" w:type="dxa"/>
        <w:jc w:val="start"/>
        <w:tblInd w:w="4910" w:type="dxa"/>
        <w:tblLayout w:type="fixed"/>
        <w:tblCellMar>
          <w:top w:w="0" w:type="dxa"/>
          <w:start w:w="108" w:type="dxa"/>
          <w:bottom w:w="0" w:type="dxa"/>
          <w:end w:w="108" w:type="dxa"/>
        </w:tblCellMar>
        <w:tblLook w:val="01e0" w:noHBand="0" w:noVBand="0" w:firstColumn="1" w:lastRow="1" w:lastColumn="1" w:firstRow="1"/>
      </w:tblPr>
      <w:tblGrid>
        <w:gridCol w:w="4837"/>
      </w:tblGrid>
      <w:tr>
        <w:trPr>
          <w:trHeight w:val="985" w:hRule="atLeast"/>
        </w:trPr>
        <w:tc>
          <w:tcPr>
            <w:tcW w:w="4837" w:type="dxa"/>
            <w:tcBorders/>
          </w:tcPr>
          <w:p>
            <w:pPr>
              <w:pStyle w:val="Normal"/>
              <w:spacing w:lineRule="auto" w:line="276" w:before="120" w:after="120"/>
              <w:rPr>
                <w:b/>
                <w:bCs/>
                <w:lang w:eastAsia="en-US"/>
              </w:rPr>
            </w:pPr>
            <w:r>
              <w:rPr>
                <w:b/>
                <w:bCs/>
                <w:lang w:eastAsia="en-US"/>
              </w:rPr>
              <w:t xml:space="preserve">Приложение № 1 к Техническому заданию </w:t>
            </w:r>
          </w:p>
          <w:p>
            <w:pPr>
              <w:pStyle w:val="Normal"/>
              <w:spacing w:lineRule="auto" w:line="276"/>
              <w:rPr>
                <w:bCs/>
                <w:lang w:eastAsia="en-US"/>
              </w:rPr>
            </w:pPr>
            <w:r>
              <w:rPr>
                <w:lang w:eastAsia="en-US"/>
              </w:rPr>
              <w:t>к заданию на выполнение работ по разработке проектной и рабочей документации на оснащение инженерно-техническими системами (средствами) обеспечения транспортной безопасности объектов транспортной инфраструктуры 1 категории, расположенных на автомобильных дорогах общего пользования межмуниципального и регионального значения Магаданской области.</w:t>
            </w:r>
          </w:p>
          <w:p>
            <w:pPr>
              <w:pStyle w:val="Normal"/>
              <w:spacing w:lineRule="auto" w:line="276" w:before="120" w:after="120"/>
              <w:rPr>
                <w:bCs/>
                <w:lang w:eastAsia="en-US"/>
              </w:rPr>
            </w:pPr>
            <w:r>
              <w:rPr>
                <w:bCs/>
                <w:lang w:eastAsia="en-US"/>
              </w:rPr>
            </w:r>
          </w:p>
        </w:tc>
      </w:tr>
    </w:tbl>
    <w:p>
      <w:pPr>
        <w:pStyle w:val="Normal"/>
        <w:spacing w:lineRule="auto" w:line="276" w:before="120" w:after="200"/>
        <w:ind w:firstLine="708"/>
        <w:jc w:val="center"/>
        <w:rPr>
          <w:b/>
          <w:lang w:eastAsia="x-none"/>
        </w:rPr>
      </w:pPr>
      <w:r>
        <w:rPr>
          <w:b/>
          <w:lang w:eastAsia="x-none"/>
        </w:rPr>
        <w:t>Требования к разработке проекта планировки территории и проекта межевания территории</w:t>
      </w:r>
    </w:p>
    <w:tbl>
      <w:tblPr>
        <w:tblW w:w="10359" w:type="dxa"/>
        <w:jc w:val="start"/>
        <w:tblInd w:w="-612" w:type="dxa"/>
        <w:tblLayout w:type="fixed"/>
        <w:tblCellMar>
          <w:top w:w="0" w:type="dxa"/>
          <w:start w:w="108" w:type="dxa"/>
          <w:bottom w:w="0" w:type="dxa"/>
          <w:end w:w="108" w:type="dxa"/>
        </w:tblCellMar>
        <w:tblLook w:val="01e0" w:noHBand="0" w:noVBand="0" w:firstColumn="1" w:lastRow="1" w:lastColumn="1" w:firstRow="1"/>
      </w:tblPr>
      <w:tblGrid>
        <w:gridCol w:w="648"/>
        <w:gridCol w:w="2771"/>
        <w:gridCol w:w="6940"/>
      </w:tblGrid>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Параметр проекта</w:t>
            </w:r>
          </w:p>
        </w:tc>
        <w:tc>
          <w:tcPr>
            <w:tcW w:w="69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Описание</w:t>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1.</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Наименование работ</w:t>
            </w:r>
          </w:p>
        </w:tc>
        <w:tc>
          <w:tcPr>
            <w:tcW w:w="69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lang w:eastAsia="en-US"/>
              </w:rPr>
            </w:pPr>
            <w:r>
              <w:rPr>
                <w:lang w:eastAsia="en-US"/>
              </w:rPr>
              <w:t>Документация по  планировке территории (проект планировки территории и проект межевания территории) для оснащения инженерно-техническими системами (средствами) обеспечения транспортной безопасности объектов транспортной инфраструктуры 1 категории, расположенных на автомобильных дорогах общего пользования межмуниципального и регионального значения Магаданской области.</w:t>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2.</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Источник финансирования</w:t>
            </w:r>
          </w:p>
        </w:tc>
        <w:tc>
          <w:tcPr>
            <w:tcW w:w="69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lang w:eastAsia="en-US"/>
              </w:rPr>
            </w:pPr>
            <w:r>
              <w:rPr>
                <w:lang w:eastAsia="en-US"/>
              </w:rPr>
              <w:t xml:space="preserve">Бюджет Магаданской области </w:t>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3.</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Основание для выполнения работ</w:t>
            </w:r>
          </w:p>
        </w:tc>
        <w:tc>
          <w:tcPr>
            <w:tcW w:w="69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lang w:eastAsia="en-US"/>
              </w:rPr>
            </w:pPr>
            <w:r>
              <w:rPr>
                <w:lang w:eastAsia="en-US"/>
              </w:rPr>
              <w:t>Федеральный закон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(с изменениями)</w:t>
            </w:r>
          </w:p>
          <w:p>
            <w:pPr>
              <w:pStyle w:val="Normal"/>
              <w:spacing w:lineRule="auto" w:line="276" w:before="120" w:after="120"/>
              <w:rPr>
                <w:lang w:eastAsia="en-US"/>
              </w:rPr>
            </w:pPr>
            <w:r>
              <w:rPr>
                <w:lang w:eastAsia="en-US"/>
              </w:rPr>
              <w:t>Настоящее техническое задание</w:t>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4.</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Местонахождение объекта строительства</w:t>
            </w:r>
          </w:p>
        </w:tc>
        <w:tc>
          <w:tcPr>
            <w:tcW w:w="69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lang w:eastAsia="en-US"/>
              </w:rPr>
            </w:pPr>
            <w:r>
              <w:rPr>
                <w:lang w:eastAsia="en-US"/>
              </w:rPr>
              <w:t>Российская Федерация, Магаданская область</w:t>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5.</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Цель разработки документации по планировке и межевания территории</w:t>
            </w:r>
          </w:p>
        </w:tc>
        <w:tc>
          <w:tcPr>
            <w:tcW w:w="69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Основными целями проекта являются:</w:t>
            </w:r>
          </w:p>
          <w:p>
            <w:pPr>
              <w:pStyle w:val="Normal"/>
              <w:spacing w:lineRule="auto" w:line="276"/>
              <w:rPr>
                <w:lang w:eastAsia="en-US"/>
              </w:rPr>
            </w:pPr>
            <w:r>
              <w:rPr>
                <w:lang w:eastAsia="en-US"/>
              </w:rPr>
              <w:t xml:space="preserve">- </w:t>
            </w:r>
            <w:r>
              <w:rPr/>
              <w:t xml:space="preserve">Разработка проекта планировки </w:t>
            </w:r>
            <w:r>
              <w:rPr>
                <w:shd w:fill="FFFFFF" w:val="clear"/>
              </w:rPr>
              <w:t>и проекта межевания территории, предусматривающих размещение линейного объекта;</w:t>
            </w:r>
          </w:p>
          <w:p>
            <w:pPr>
              <w:pStyle w:val="Normal"/>
              <w:spacing w:lineRule="auto" w:line="276"/>
              <w:rPr>
                <w:lang w:eastAsia="en-US"/>
              </w:rPr>
            </w:pPr>
            <w:r>
              <w:rPr>
                <w:lang w:eastAsia="en-US"/>
              </w:rPr>
              <w:t>- установление границ зоны планируемого размещения линейного объекта;</w:t>
            </w:r>
          </w:p>
          <w:p>
            <w:pPr>
              <w:pStyle w:val="Normal"/>
              <w:spacing w:lineRule="auto" w:line="276"/>
              <w:rPr>
                <w:lang w:eastAsia="en-US"/>
              </w:rPr>
            </w:pPr>
            <w:r>
              <w:rPr>
                <w:lang w:eastAsia="en-US"/>
              </w:rPr>
              <w:t>- установление характеристик и параметров объектов;</w:t>
            </w:r>
          </w:p>
          <w:p>
            <w:pPr>
              <w:pStyle w:val="Normal"/>
              <w:spacing w:lineRule="auto" w:line="276"/>
              <w:rPr>
                <w:lang w:eastAsia="en-US"/>
              </w:rPr>
            </w:pPr>
            <w:r>
              <w:rPr>
                <w:lang w:eastAsia="en-US"/>
              </w:rPr>
              <w:t>- установление границ земельных участков, зон действия публичных сервитутов, видов обременений и ограничений использования земельных участков;</w:t>
            </w:r>
          </w:p>
          <w:p>
            <w:pPr>
              <w:pStyle w:val="Normal"/>
              <w:spacing w:lineRule="auto" w:line="276"/>
              <w:rPr>
                <w:lang w:eastAsia="en-US"/>
              </w:rPr>
            </w:pPr>
            <w:r>
              <w:rPr>
                <w:lang w:eastAsia="en-US"/>
              </w:rPr>
              <w:t xml:space="preserve">- установление границ участков территорий общего пользования: </w:t>
            </w:r>
          </w:p>
          <w:p>
            <w:pPr>
              <w:pStyle w:val="Normal"/>
              <w:spacing w:lineRule="auto" w:line="276" w:before="120" w:after="120"/>
              <w:rPr>
                <w:lang w:eastAsia="en-US"/>
              </w:rPr>
            </w:pPr>
            <w:r>
              <w:rPr>
                <w:lang w:eastAsia="en-US"/>
              </w:rPr>
              <w:t xml:space="preserve">- </w:t>
            </w:r>
            <w:r>
              <w:rPr/>
              <w:t>Проведение кадастровых работ, в</w:t>
            </w:r>
            <w:r>
              <w:rPr>
                <w:bCs/>
              </w:rPr>
              <w:t>несение изменений в сведения государственного кадастра недвижимости.</w:t>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6.</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Основные технические характеристики</w:t>
            </w:r>
          </w:p>
        </w:tc>
        <w:tc>
          <w:tcPr>
            <w:tcW w:w="694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1080" w:leader="none"/>
                <w:tab w:val="left" w:pos="1610" w:leader="none"/>
                <w:tab w:val="left" w:pos="7020" w:leader="none"/>
              </w:tabs>
              <w:spacing w:lineRule="auto" w:line="276" w:before="120" w:after="120"/>
              <w:ind w:end="170"/>
              <w:rPr>
                <w:bCs/>
                <w:lang w:eastAsia="en-US"/>
              </w:rPr>
            </w:pPr>
            <w:r>
              <w:rPr>
                <w:bCs/>
                <w:lang w:eastAsia="en-US"/>
              </w:rPr>
              <w:t>определить проектом.</w:t>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7.</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 xml:space="preserve">Нормативно-правовая методическая база и ранее выполненные работы, учет которых необходим при проектировании </w:t>
            </w:r>
          </w:p>
        </w:tc>
        <w:tc>
          <w:tcPr>
            <w:tcW w:w="69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Проект документации по планировке выполнить в соответствии с требованиями законодательства Российской Федерации, включая:</w:t>
            </w:r>
          </w:p>
          <w:p>
            <w:pPr>
              <w:pStyle w:val="Normal"/>
              <w:spacing w:lineRule="auto" w:line="276"/>
              <w:rPr>
                <w:lang w:eastAsia="en-US"/>
              </w:rPr>
            </w:pPr>
            <w:r>
              <w:rPr>
                <w:lang w:eastAsia="en-US"/>
              </w:rPr>
              <w:t>- Градостроительный кодекс Российской Федерации;</w:t>
            </w:r>
          </w:p>
          <w:p>
            <w:pPr>
              <w:pStyle w:val="Normal"/>
              <w:spacing w:lineRule="auto" w:line="276"/>
              <w:rPr>
                <w:lang w:eastAsia="en-US"/>
              </w:rPr>
            </w:pPr>
            <w:r>
              <w:rPr>
                <w:lang w:eastAsia="en-US"/>
              </w:rPr>
              <w:t>- Земельный кодекс Российской Федерации;</w:t>
            </w:r>
          </w:p>
          <w:p>
            <w:pPr>
              <w:pStyle w:val="Normal"/>
              <w:spacing w:lineRule="auto" w:line="276"/>
              <w:rPr>
                <w:lang w:eastAsia="en-US"/>
              </w:rPr>
            </w:pPr>
            <w:r>
              <w:rPr>
                <w:lang w:eastAsia="en-US"/>
              </w:rPr>
              <w:t>- Водный кодекс Российской Федерации;</w:t>
            </w:r>
          </w:p>
          <w:p>
            <w:pPr>
              <w:pStyle w:val="Normal"/>
              <w:spacing w:lineRule="auto" w:line="276"/>
              <w:rPr>
                <w:lang w:eastAsia="en-US"/>
              </w:rPr>
            </w:pPr>
            <w:r>
              <w:rPr>
                <w:lang w:eastAsia="en-US"/>
              </w:rPr>
              <w:t>- Федеральный закон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(с изменениями от 25.05.2026);</w:t>
            </w:r>
          </w:p>
          <w:p>
            <w:pPr>
              <w:pStyle w:val="Normal"/>
              <w:spacing w:lineRule="auto" w:line="276"/>
              <w:rPr>
                <w:lang w:eastAsia="en-US"/>
              </w:rPr>
            </w:pPr>
            <w:r>
              <w:rPr>
                <w:lang w:eastAsia="en-US"/>
              </w:rPr>
              <w:t>- Федеральный закон от 24.07.2007 № 221-ФЗ «О кадастровой деятельности».</w:t>
            </w:r>
          </w:p>
          <w:p>
            <w:pPr>
              <w:pStyle w:val="Normal"/>
              <w:spacing w:lineRule="auto" w:line="276"/>
              <w:rPr>
                <w:lang w:eastAsia="en-US"/>
              </w:rPr>
            </w:pPr>
            <w:r>
              <w:rPr>
                <w:lang w:eastAsia="en-US"/>
              </w:rPr>
              <w:t>- Федеральный закон от 13.07.2015 № 218-ФЗ «О государственной регистрации недвижимости».</w:t>
            </w:r>
          </w:p>
          <w:p>
            <w:pPr>
              <w:pStyle w:val="Normal"/>
              <w:spacing w:lineRule="auto" w:line="276"/>
              <w:rPr>
                <w:lang w:eastAsia="en-US"/>
              </w:rPr>
            </w:pPr>
            <w:r>
              <w:rPr>
                <w:lang w:eastAsia="en-US"/>
              </w:rPr>
              <w:t>- Федеральный закон от 18.06.2001 № 78-ФЗ «О землеустройстве».</w:t>
            </w:r>
          </w:p>
          <w:p>
            <w:pPr>
              <w:pStyle w:val="Normal"/>
              <w:spacing w:lineRule="auto" w:line="276"/>
              <w:rPr>
                <w:lang w:eastAsia="en-US"/>
              </w:rPr>
            </w:pPr>
            <w:r>
              <w:rPr>
                <w:lang w:eastAsia="en-US"/>
              </w:rPr>
              <w:t>- Федеральный закон от 30.12.2015 № 431-ФЗ «О геодезии, картографии и пространственных данных и о внесении изменений в отдельные законодательные акты Российской Федерации».</w:t>
            </w:r>
          </w:p>
          <w:p>
            <w:pPr>
              <w:pStyle w:val="Normal"/>
              <w:spacing w:lineRule="auto" w:line="276"/>
              <w:rPr>
                <w:lang w:eastAsia="en-US"/>
              </w:rPr>
            </w:pPr>
            <w:r>
              <w:rPr>
                <w:lang w:eastAsia="en-US"/>
              </w:rPr>
              <w:t>- Постановление Правительства РФ от 12 мая 2017 г. № 564</w:t>
            </w:r>
          </w:p>
          <w:p>
            <w:pPr>
              <w:pStyle w:val="Normal"/>
              <w:spacing w:lineRule="auto" w:line="276"/>
              <w:rPr>
                <w:lang w:eastAsia="en-US"/>
              </w:rPr>
            </w:pPr>
            <w:r>
              <w:rPr>
                <w:lang w:eastAsia="en-US"/>
              </w:rPr>
              <w:t>«Об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pPr>
              <w:pStyle w:val="Normal"/>
              <w:spacing w:lineRule="auto" w:line="276"/>
              <w:rPr>
                <w:lang w:eastAsia="en-US"/>
              </w:rPr>
            </w:pPr>
            <w:r>
              <w:rPr>
                <w:lang w:eastAsia="en-US"/>
              </w:rPr>
              <w:t>- Постановление Правительства РФ от 2 сентября 2009 г. № 717</w:t>
            </w:r>
          </w:p>
          <w:p>
            <w:pPr>
              <w:pStyle w:val="Normal"/>
              <w:spacing w:lineRule="auto" w:line="276"/>
              <w:rPr>
                <w:lang w:eastAsia="en-US"/>
              </w:rPr>
            </w:pPr>
            <w:r>
              <w:rPr>
                <w:lang w:eastAsia="en-US"/>
              </w:rPr>
              <w:t>«О нормах отвода земель для размещения автомобильных дорог и (или) объектов дорожного сервиса».</w:t>
            </w:r>
          </w:p>
          <w:p>
            <w:pPr>
              <w:pStyle w:val="Normal"/>
              <w:spacing w:lineRule="auto" w:line="276"/>
              <w:rPr>
                <w:lang w:eastAsia="en-US"/>
              </w:rPr>
            </w:pPr>
            <w:r>
              <w:rPr>
                <w:lang w:eastAsia="en-US"/>
              </w:rPr>
              <w:t>- Приказ Росреестра от 14.12.2021 № П/0592 «Об утверждении формы и состава сведений межевого плана, требований к его подготовке» Материалы государственного кадастра недвижимости;</w:t>
            </w:r>
          </w:p>
          <w:p>
            <w:pPr>
              <w:pStyle w:val="Normal"/>
              <w:spacing w:lineRule="auto" w:line="276"/>
              <w:rPr>
                <w:lang w:eastAsia="en-US"/>
              </w:rPr>
            </w:pPr>
            <w:r>
              <w:rPr>
                <w:lang w:eastAsia="en-US"/>
              </w:rPr>
              <w:t>- Материалы натурного геодезического обследования территории.</w:t>
            </w:r>
          </w:p>
          <w:p>
            <w:pPr>
              <w:pStyle w:val="Normal"/>
              <w:spacing w:lineRule="auto" w:line="276"/>
              <w:rPr>
                <w:lang w:eastAsia="en-US"/>
              </w:rPr>
            </w:pPr>
            <w:r>
              <w:rPr>
                <w:lang w:eastAsia="en-US"/>
              </w:rPr>
              <w:t>- Действующие государственные регламенты, нормы, правила, стандарты, а также исходные данные, технические условия и требования, выданные органами государственного надзора и заинтересованными организациями при согласовании места размещения объекта строительства.</w:t>
            </w:r>
          </w:p>
          <w:p>
            <w:pPr>
              <w:pStyle w:val="Normal"/>
              <w:spacing w:lineRule="auto" w:line="276" w:before="120" w:after="120"/>
              <w:rPr>
                <w:lang w:eastAsia="en-US"/>
              </w:rPr>
            </w:pPr>
            <w:r>
              <w:rPr>
                <w:lang w:eastAsia="en-US"/>
              </w:rPr>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8.</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Состав исходных данных для разработки документации по планировке территории</w:t>
            </w:r>
          </w:p>
        </w:tc>
        <w:tc>
          <w:tcPr>
            <w:tcW w:w="69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ind w:firstLine="612"/>
              <w:rPr>
                <w:rFonts w:eastAsia="Times New Roman"/>
                <w:lang w:eastAsia="en-US"/>
              </w:rPr>
            </w:pPr>
            <w:r>
              <w:rPr>
                <w:lang w:eastAsia="en-US"/>
              </w:rPr>
              <w:t xml:space="preserve">Схема территориального планирования </w:t>
            </w:r>
            <w:r>
              <w:rPr>
                <w:rFonts w:eastAsia="Times New Roman"/>
                <w:lang w:eastAsia="en-US"/>
              </w:rPr>
              <w:t>Магаданской области.</w:t>
            </w:r>
          </w:p>
          <w:p>
            <w:pPr>
              <w:pStyle w:val="Normal"/>
              <w:spacing w:lineRule="auto" w:line="276"/>
              <w:ind w:firstLine="612"/>
              <w:rPr>
                <w:lang w:eastAsia="en-US"/>
              </w:rPr>
            </w:pPr>
            <w:r>
              <w:rPr>
                <w:lang w:eastAsia="en-US"/>
              </w:rPr>
              <w:t>Топографические карты и планы в масштабах, установленных Законом Магаданской области от 09 ноября 2009 г. №1192-ОЗ «О градостроительной деятельности в Магаданской области».</w:t>
            </w:r>
          </w:p>
          <w:p>
            <w:pPr>
              <w:pStyle w:val="Normal"/>
              <w:spacing w:lineRule="auto" w:line="276"/>
              <w:ind w:firstLine="612"/>
              <w:rPr>
                <w:lang w:eastAsia="en-US"/>
              </w:rPr>
            </w:pPr>
            <w:r>
              <w:rPr>
                <w:lang w:eastAsia="en-US"/>
              </w:rPr>
              <w:t>Сведения о существующем состоянии и использовании планируемой территории, включающие:</w:t>
            </w:r>
          </w:p>
          <w:p>
            <w:pPr>
              <w:pStyle w:val="Normal"/>
              <w:spacing w:lineRule="auto" w:line="276"/>
              <w:rPr>
                <w:lang w:eastAsia="en-US"/>
              </w:rPr>
            </w:pPr>
            <w:r>
              <w:rPr>
                <w:lang w:eastAsia="en-US"/>
              </w:rPr>
              <w:t>- сведения о геологическом строении и гидрогеологических условиях территории, об инженерно-геологических изысканиях;</w:t>
            </w:r>
          </w:p>
          <w:p>
            <w:pPr>
              <w:pStyle w:val="Normal"/>
              <w:spacing w:lineRule="auto" w:line="276"/>
              <w:rPr>
                <w:lang w:eastAsia="en-US"/>
              </w:rPr>
            </w:pPr>
            <w:r>
              <w:rPr>
                <w:lang w:eastAsia="en-US"/>
              </w:rPr>
              <w:t>- сведения о функциональном использовании территории;</w:t>
            </w:r>
          </w:p>
          <w:p>
            <w:pPr>
              <w:pStyle w:val="Normal"/>
              <w:spacing w:lineRule="auto" w:line="276"/>
              <w:rPr>
                <w:lang w:eastAsia="en-US"/>
              </w:rPr>
            </w:pPr>
            <w:r>
              <w:rPr>
                <w:lang w:eastAsia="en-US"/>
              </w:rPr>
              <w:t>- сведения государственного земельного кадастра о землепользовании, о земельно-имущественных отношениях;</w:t>
            </w:r>
          </w:p>
          <w:p>
            <w:pPr>
              <w:pStyle w:val="Normal"/>
              <w:spacing w:lineRule="auto" w:line="276"/>
              <w:rPr>
                <w:lang w:eastAsia="en-US"/>
              </w:rPr>
            </w:pPr>
            <w:r>
              <w:rPr>
                <w:lang w:eastAsia="en-US"/>
              </w:rPr>
              <w:t>- сведения об установленных границах территорий объектов культурного наследия, границах зон охраны культурного наследия.</w:t>
            </w:r>
          </w:p>
          <w:p>
            <w:pPr>
              <w:pStyle w:val="Normal"/>
              <w:spacing w:lineRule="auto" w:line="276"/>
              <w:ind w:firstLine="612"/>
              <w:rPr>
                <w:lang w:eastAsia="en-US"/>
              </w:rPr>
            </w:pPr>
            <w:r>
              <w:rPr>
                <w:lang w:eastAsia="en-US"/>
              </w:rPr>
              <w:t>Состав исходных данных может быть дополнен и уточнен при выполнении работ по подготовке проекта планировки и межевания территории, предназначенной для размещения планируемого объекта.</w:t>
            </w:r>
          </w:p>
          <w:p>
            <w:pPr>
              <w:pStyle w:val="Normal"/>
              <w:spacing w:lineRule="auto" w:line="276"/>
              <w:ind w:firstLine="612"/>
              <w:rPr>
                <w:lang w:eastAsia="en-US"/>
              </w:rPr>
            </w:pPr>
            <w:r>
              <w:rPr>
                <w:lang w:eastAsia="en-US"/>
              </w:rPr>
              <w:t>В случае недостаточности исходных данных либо их отсутствия, проведение работ по инженерным изысканиям осуществляется Исполнителем.</w:t>
            </w:r>
          </w:p>
          <w:p>
            <w:pPr>
              <w:pStyle w:val="Normal"/>
              <w:spacing w:lineRule="auto" w:line="276"/>
              <w:ind w:firstLine="612"/>
              <w:rPr>
                <w:lang w:eastAsia="en-US"/>
              </w:rPr>
            </w:pPr>
            <w:r>
              <w:rPr>
                <w:lang w:eastAsia="en-US"/>
              </w:rPr>
              <w:t xml:space="preserve">Сбор исходных данных осуществляется Исполнителем. </w:t>
            </w:r>
          </w:p>
          <w:p>
            <w:pPr>
              <w:pStyle w:val="Normal"/>
              <w:spacing w:lineRule="auto" w:line="276" w:before="120" w:after="120"/>
              <w:ind w:firstLine="612"/>
              <w:rPr>
                <w:lang w:eastAsia="en-US"/>
              </w:rPr>
            </w:pPr>
            <w:r>
              <w:rPr>
                <w:lang w:eastAsia="en-US"/>
              </w:rPr>
              <w:t>Акт выбора  земельного участка с приложением схемы размещения земельного участка на кадастровом плане территории</w:t>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9.</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Требования к выполнению проекта планировки и межевания территории</w:t>
            </w:r>
          </w:p>
        </w:tc>
        <w:tc>
          <w:tcPr>
            <w:tcW w:w="69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ind w:firstLine="612"/>
              <w:rPr>
                <w:lang w:eastAsia="en-US"/>
              </w:rPr>
            </w:pPr>
            <w:r>
              <w:rPr>
                <w:b/>
                <w:bCs/>
                <w:lang w:eastAsia="en-US"/>
              </w:rPr>
              <w:t xml:space="preserve">Проект планировки </w:t>
            </w:r>
            <w:r>
              <w:rPr>
                <w:b/>
                <w:lang w:eastAsia="en-US"/>
              </w:rPr>
              <w:t>территории выполнить в следующем составе:</w:t>
            </w:r>
            <w:r>
              <w:rPr>
                <w:lang w:eastAsia="en-US"/>
              </w:rPr>
              <w:t xml:space="preserve"> основная часть, которая подлежит утверждению и материалы по ее обоснованию.</w:t>
            </w:r>
          </w:p>
          <w:p>
            <w:pPr>
              <w:pStyle w:val="Normal"/>
              <w:spacing w:lineRule="auto" w:line="276"/>
              <w:ind w:firstLine="612"/>
              <w:rPr>
                <w:lang w:eastAsia="en-US"/>
              </w:rPr>
            </w:pPr>
            <w:r>
              <w:rPr>
                <w:b/>
                <w:lang w:eastAsia="en-US"/>
              </w:rPr>
              <w:t>1.Основная часть проекта планировки территории должна включать в себя чертеж или чертежи планировки территории</w:t>
            </w:r>
            <w:r>
              <w:rPr>
                <w:lang w:eastAsia="en-US"/>
              </w:rPr>
              <w:t>:</w:t>
            </w:r>
          </w:p>
          <w:p>
            <w:pPr>
              <w:pStyle w:val="Normal"/>
              <w:spacing w:lineRule="auto" w:line="276"/>
              <w:ind w:firstLine="612"/>
              <w:rPr>
                <w:lang w:eastAsia="en-US"/>
              </w:rPr>
            </w:pPr>
            <w:r>
              <w:rPr>
                <w:lang w:eastAsia="en-US"/>
              </w:rPr>
              <w:t>Основной чертеж, на котором должны быть отображены:</w:t>
            </w:r>
          </w:p>
          <w:p>
            <w:pPr>
              <w:pStyle w:val="Normal"/>
              <w:spacing w:lineRule="auto" w:line="276"/>
              <w:ind w:firstLine="540"/>
              <w:rPr>
                <w:lang w:eastAsia="en-US"/>
              </w:rPr>
            </w:pPr>
            <w:r>
              <w:rPr>
                <w:lang w:eastAsia="en-US"/>
              </w:rPr>
              <w:t>1) красные линии.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pPr>
              <w:pStyle w:val="Normal"/>
              <w:spacing w:lineRule="auto" w:line="276"/>
              <w:ind w:firstLine="540"/>
              <w:rPr>
                <w:lang w:eastAsia="en-US"/>
              </w:rPr>
            </w:pPr>
            <w:r>
              <w:rPr>
                <w:lang w:eastAsia="en-US"/>
              </w:rPr>
              <w:t>2) границы существующих и планируемых элементов планировочной структуры;</w:t>
            </w:r>
          </w:p>
          <w:p>
            <w:pPr>
              <w:pStyle w:val="Normal"/>
              <w:spacing w:lineRule="auto" w:line="276"/>
              <w:ind w:firstLine="540"/>
              <w:rPr>
                <w:lang w:eastAsia="en-US"/>
              </w:rPr>
            </w:pPr>
            <w:r>
              <w:rPr>
                <w:lang w:eastAsia="en-US"/>
              </w:rPr>
              <w:t>3) границы зон планируемого размещения объектов капитального строительства;</w:t>
            </w:r>
          </w:p>
          <w:p>
            <w:pPr>
              <w:pStyle w:val="Normal"/>
              <w:spacing w:lineRule="auto" w:line="276"/>
              <w:ind w:firstLine="612"/>
              <w:rPr>
                <w:b/>
                <w:lang w:eastAsia="en-US"/>
              </w:rPr>
            </w:pPr>
            <w:r>
              <w:rPr>
                <w:b/>
                <w:lang w:eastAsia="en-US"/>
              </w:rPr>
              <w:t>2.Материалы по обоснованию проекта планировки территории должны включать в себя материалы в графической форме и пояснительную записку.</w:t>
            </w:r>
          </w:p>
          <w:p>
            <w:pPr>
              <w:pStyle w:val="Normal"/>
              <w:spacing w:lineRule="auto" w:line="276"/>
              <w:ind w:firstLine="612"/>
              <w:rPr>
                <w:lang w:eastAsia="en-US"/>
              </w:rPr>
            </w:pPr>
            <w:r>
              <w:rPr>
                <w:lang w:eastAsia="en-US"/>
              </w:rPr>
              <w:t>Материалы по обоснованию проекта планировки территории в графической форме должны содержать:</w:t>
            </w:r>
          </w:p>
          <w:p>
            <w:pPr>
              <w:pStyle w:val="Normal"/>
              <w:spacing w:lineRule="auto" w:line="276"/>
              <w:ind w:firstLine="540"/>
              <w:rPr>
                <w:lang w:eastAsia="en-US"/>
              </w:rPr>
            </w:pPr>
            <w:r>
              <w:rPr>
                <w:lang w:eastAsia="en-US"/>
              </w:rP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pPr>
              <w:pStyle w:val="Normal"/>
              <w:spacing w:lineRule="auto" w:line="276"/>
              <w:ind w:firstLine="540"/>
              <w:rPr>
                <w:lang w:eastAsia="en-US"/>
              </w:rPr>
            </w:pPr>
            <w:r>
              <w:rPr>
                <w:lang w:eastAsia="en-US"/>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pPr>
              <w:pStyle w:val="Normal"/>
              <w:spacing w:lineRule="auto" w:line="276"/>
              <w:ind w:firstLine="540"/>
              <w:rPr>
                <w:lang w:eastAsia="en-US"/>
              </w:rPr>
            </w:pPr>
            <w:r>
              <w:rPr>
                <w:lang w:eastAsia="en-US"/>
              </w:rPr>
              <w:t>3) обоснование определения границ зон планируемого размещения объектов капитального строительства;</w:t>
            </w:r>
          </w:p>
          <w:p>
            <w:pPr>
              <w:pStyle w:val="Normal"/>
              <w:spacing w:lineRule="auto" w:line="276"/>
              <w:ind w:firstLine="540"/>
              <w:rPr>
                <w:lang w:eastAsia="en-US"/>
              </w:rPr>
            </w:pPr>
            <w:r>
              <w:rPr>
                <w:lang w:eastAsia="en-US"/>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pPr>
              <w:pStyle w:val="Normal"/>
              <w:spacing w:lineRule="auto" w:line="276"/>
              <w:ind w:firstLine="540"/>
              <w:rPr>
                <w:lang w:eastAsia="en-US"/>
              </w:rPr>
            </w:pPr>
            <w:r>
              <w:rPr>
                <w:lang w:eastAsia="en-US"/>
              </w:rPr>
              <w:t>5) схему границ территорий объектов культурного наследия;</w:t>
            </w:r>
          </w:p>
          <w:p>
            <w:pPr>
              <w:pStyle w:val="Normal"/>
              <w:spacing w:lineRule="auto" w:line="276"/>
              <w:ind w:firstLine="540"/>
              <w:rPr>
                <w:lang w:eastAsia="en-US"/>
              </w:rPr>
            </w:pPr>
            <w:r>
              <w:rPr>
                <w:lang w:eastAsia="en-US"/>
              </w:rPr>
              <w:t>6) схему границ зон с особыми условиями использования территории;</w:t>
            </w:r>
          </w:p>
          <w:p>
            <w:pPr>
              <w:pStyle w:val="Normal"/>
              <w:spacing w:lineRule="auto" w:line="276"/>
              <w:ind w:firstLine="540"/>
              <w:rPr>
                <w:lang w:eastAsia="en-US"/>
              </w:rPr>
            </w:pPr>
            <w:r>
              <w:rPr>
                <w:lang w:eastAsia="en-US"/>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pPr>
              <w:pStyle w:val="Normal"/>
              <w:spacing w:lineRule="auto" w:line="276"/>
              <w:ind w:firstLine="540"/>
              <w:rPr>
                <w:lang w:eastAsia="en-US"/>
              </w:rPr>
            </w:pPr>
            <w:r>
              <w:rPr>
                <w:lang w:eastAsia="en-US"/>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pPr>
              <w:pStyle w:val="Normal"/>
              <w:spacing w:lineRule="auto" w:line="276"/>
              <w:ind w:firstLine="540"/>
              <w:rPr>
                <w:lang w:eastAsia="en-US"/>
              </w:rPr>
            </w:pPr>
            <w:r>
              <w:rPr>
                <w:lang w:eastAsia="en-US"/>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pPr>
              <w:pStyle w:val="Normal"/>
              <w:spacing w:lineRule="auto" w:line="276"/>
              <w:ind w:firstLine="540"/>
              <w:rPr>
                <w:lang w:eastAsia="en-US"/>
              </w:rPr>
            </w:pPr>
            <w:r>
              <w:rPr>
                <w:lang w:eastAsia="en-US"/>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pPr>
              <w:pStyle w:val="Normal"/>
              <w:spacing w:lineRule="auto" w:line="276"/>
              <w:ind w:firstLine="540"/>
              <w:rPr>
                <w:lang w:eastAsia="en-US"/>
              </w:rPr>
            </w:pPr>
            <w:r>
              <w:rPr>
                <w:lang w:eastAsia="en-US"/>
              </w:rPr>
              <w:t>11) перечень мероприятий по охране окружающей среды;</w:t>
            </w:r>
          </w:p>
          <w:p>
            <w:pPr>
              <w:pStyle w:val="Normal"/>
              <w:spacing w:lineRule="auto" w:line="276"/>
              <w:ind w:firstLine="540"/>
              <w:rPr>
                <w:lang w:eastAsia="en-US"/>
              </w:rPr>
            </w:pPr>
            <w:r>
              <w:rPr>
                <w:lang w:eastAsia="en-US"/>
              </w:rPr>
              <w:t>12) обоснование очередности планируемого развития территории;</w:t>
            </w:r>
          </w:p>
          <w:p>
            <w:pPr>
              <w:pStyle w:val="Normal"/>
              <w:spacing w:lineRule="auto" w:line="276"/>
              <w:ind w:firstLine="540"/>
              <w:rPr>
                <w:lang w:eastAsia="en-US"/>
              </w:rPr>
            </w:pPr>
            <w:r>
              <w:rPr>
                <w:lang w:eastAsia="en-US"/>
              </w:rPr>
              <w:t>13) иные материалы для обоснования положений по планировке территории.</w:t>
            </w:r>
          </w:p>
          <w:p>
            <w:pPr>
              <w:pStyle w:val="Normal"/>
              <w:spacing w:lineRule="auto" w:line="276"/>
              <w:ind w:firstLine="540"/>
              <w:rPr>
                <w:lang w:eastAsia="en-US"/>
              </w:rPr>
            </w:pPr>
            <w:r>
              <w:rPr>
                <w:lang w:eastAsia="en-US"/>
              </w:rPr>
            </w:r>
          </w:p>
          <w:p>
            <w:pPr>
              <w:pStyle w:val="Normal"/>
              <w:spacing w:lineRule="auto" w:line="276"/>
              <w:ind w:firstLine="612"/>
              <w:rPr>
                <w:lang w:eastAsia="en-US"/>
              </w:rPr>
            </w:pPr>
            <w:r>
              <w:rPr>
                <w:lang w:eastAsia="en-US"/>
              </w:rPr>
              <w:t>Пояснительная записка должна содержать описание и обоснование положений, касающихся:</w:t>
            </w:r>
          </w:p>
          <w:p>
            <w:pPr>
              <w:pStyle w:val="Normal"/>
              <w:spacing w:lineRule="auto" w:line="276"/>
              <w:ind w:firstLine="612"/>
              <w:rPr>
                <w:lang w:eastAsia="en-US"/>
              </w:rPr>
            </w:pPr>
            <w:r>
              <w:rPr>
                <w:lang w:eastAsia="en-US"/>
              </w:rPr>
              <w:t>1) определения параметров планируемого строительства систем социального, транспортного обслуживания и инженерно-технического обеспечения, необходимых для развития территории;</w:t>
            </w:r>
          </w:p>
          <w:p>
            <w:pPr>
              <w:pStyle w:val="Normal"/>
              <w:spacing w:lineRule="auto" w:line="276"/>
              <w:ind w:firstLine="612"/>
              <w:rPr>
                <w:lang w:eastAsia="en-US"/>
              </w:rPr>
            </w:pPr>
            <w:r>
              <w:rPr>
                <w:lang w:eastAsia="en-US"/>
              </w:rPr>
              <w:t>2) защиты территории от чрезвычайных ситуаций природного и техногенного характера, проведения мероприятий по гражданской обороне и обеспечению пожарной безопасности;</w:t>
            </w:r>
          </w:p>
          <w:p>
            <w:pPr>
              <w:pStyle w:val="Normal"/>
              <w:spacing w:lineRule="auto" w:line="276"/>
              <w:ind w:firstLine="612"/>
              <w:rPr>
                <w:lang w:eastAsia="en-US"/>
              </w:rPr>
            </w:pPr>
            <w:r>
              <w:rPr>
                <w:lang w:eastAsia="en-US"/>
              </w:rPr>
              <w:t>3) иных вопросов планировки территории.</w:t>
            </w:r>
          </w:p>
          <w:p>
            <w:pPr>
              <w:pStyle w:val="Normal"/>
              <w:spacing w:lineRule="auto" w:line="276"/>
              <w:ind w:firstLine="612"/>
              <w:rPr>
                <w:b/>
                <w:lang w:eastAsia="en-US"/>
              </w:rPr>
            </w:pPr>
            <w:r>
              <w:rPr>
                <w:b/>
                <w:bCs/>
                <w:lang w:eastAsia="en-US"/>
              </w:rPr>
              <w:t xml:space="preserve">Проект межевания </w:t>
            </w:r>
            <w:r>
              <w:rPr>
                <w:b/>
                <w:lang w:eastAsia="en-US"/>
              </w:rPr>
              <w:t>территории должен включать в себя чертежи межевания территории, на которых отображены:</w:t>
            </w:r>
          </w:p>
          <w:p>
            <w:pPr>
              <w:pStyle w:val="Normal"/>
              <w:spacing w:lineRule="auto" w:line="276"/>
              <w:ind w:firstLine="540"/>
              <w:rPr>
                <w:lang w:eastAsia="en-US"/>
              </w:rPr>
            </w:pPr>
            <w:r>
              <w:rPr>
                <w:lang w:eastAsia="en-US"/>
              </w:rPr>
              <w:t>Текстовая часть проекта межевания территории включает в себя:</w:t>
            </w:r>
          </w:p>
          <w:p>
            <w:pPr>
              <w:pStyle w:val="Normal"/>
              <w:spacing w:lineRule="auto" w:line="276"/>
              <w:ind w:firstLine="540"/>
              <w:rPr>
                <w:lang w:eastAsia="en-US"/>
              </w:rPr>
            </w:pPr>
            <w:r>
              <w:rPr>
                <w:lang w:eastAsia="en-US"/>
              </w:rPr>
              <w:t>1) перечень и сведения о площади образуемых земельных участков, в том числе возможные способы их образования;</w:t>
            </w:r>
          </w:p>
          <w:p>
            <w:pPr>
              <w:pStyle w:val="Normal"/>
              <w:spacing w:lineRule="auto" w:line="276"/>
              <w:ind w:firstLine="540"/>
              <w:rPr>
                <w:lang w:eastAsia="en-US"/>
              </w:rPr>
            </w:pPr>
            <w:r>
              <w:rPr>
                <w:lang w:eastAsia="en-US"/>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pPr>
              <w:pStyle w:val="Normal"/>
              <w:spacing w:lineRule="auto" w:line="276"/>
              <w:ind w:firstLine="540"/>
              <w:rPr>
                <w:lang w:eastAsia="en-US"/>
              </w:rPr>
            </w:pPr>
            <w:r>
              <w:rPr>
                <w:lang w:eastAsia="en-US"/>
              </w:rP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pPr>
              <w:pStyle w:val="Normal"/>
              <w:spacing w:lineRule="auto" w:line="276"/>
              <w:ind w:firstLine="540"/>
              <w:rPr>
                <w:lang w:eastAsia="en-US"/>
              </w:rPr>
            </w:pPr>
            <w:r>
              <w:rPr>
                <w:lang w:eastAsia="en-US"/>
              </w:rPr>
              <w:t xml:space="preserve"> </w:t>
            </w:r>
            <w:r>
              <w:rPr>
                <w:lang w:eastAsia="en-US"/>
              </w:rPr>
              <w:t>На чертежах межевания территории отображаются:</w:t>
            </w:r>
          </w:p>
          <w:p>
            <w:pPr>
              <w:pStyle w:val="Normal"/>
              <w:spacing w:lineRule="auto" w:line="276"/>
              <w:ind w:firstLine="540"/>
              <w:rPr>
                <w:lang w:eastAsia="en-US"/>
              </w:rPr>
            </w:pPr>
            <w:r>
              <w:rPr>
                <w:lang w:eastAsia="en-US"/>
              </w:rPr>
              <w:t>1) границы планируемых и существующих элементов планировочной структуры;</w:t>
            </w:r>
          </w:p>
          <w:p>
            <w:pPr>
              <w:pStyle w:val="Normal"/>
              <w:spacing w:lineRule="auto" w:line="276"/>
              <w:ind w:firstLine="540"/>
              <w:rPr>
                <w:lang w:eastAsia="en-US"/>
              </w:rPr>
            </w:pPr>
            <w:r>
              <w:rPr>
                <w:lang w:eastAsia="en-US"/>
              </w:rPr>
              <w:t xml:space="preserve">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r:id="rId3">
              <w:r>
                <w:rPr>
                  <w:rStyle w:val="Hyperlink"/>
                  <w:lang w:eastAsia="en-US"/>
                </w:rPr>
                <w:t>пунктом 2 части 2</w:t>
              </w:r>
            </w:hyperlink>
            <w:r>
              <w:rPr>
                <w:lang w:eastAsia="en-US"/>
              </w:rPr>
              <w:t xml:space="preserve"> статьи 43 Градостроительного кодекса;</w:t>
            </w:r>
          </w:p>
          <w:p>
            <w:pPr>
              <w:pStyle w:val="Normal"/>
              <w:spacing w:lineRule="auto" w:line="276"/>
              <w:ind w:firstLine="540"/>
              <w:rPr>
                <w:lang w:eastAsia="en-US"/>
              </w:rPr>
            </w:pPr>
            <w:r>
              <w:rPr>
                <w:lang w:eastAsia="en-US"/>
              </w:rPr>
              <w:t>3) линии отступа от красных линий в целях определения мест допустимого размещения зданий, строений, сооружений;</w:t>
            </w:r>
          </w:p>
          <w:p>
            <w:pPr>
              <w:pStyle w:val="Normal"/>
              <w:spacing w:lineRule="auto" w:line="276"/>
              <w:ind w:firstLine="540"/>
              <w:rPr>
                <w:lang w:eastAsia="en-US"/>
              </w:rPr>
            </w:pPr>
            <w:r>
              <w:rPr>
                <w:lang w:eastAsia="en-US"/>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pPr>
              <w:pStyle w:val="Normal"/>
              <w:spacing w:lineRule="auto" w:line="276"/>
              <w:ind w:firstLine="540"/>
              <w:rPr>
                <w:lang w:eastAsia="en-US"/>
              </w:rPr>
            </w:pPr>
            <w:r>
              <w:rPr>
                <w:lang w:eastAsia="en-US"/>
              </w:rPr>
              <w:t>5) границы зон действия публичных сервитутов.</w:t>
            </w:r>
          </w:p>
          <w:p>
            <w:pPr>
              <w:pStyle w:val="Normal"/>
              <w:spacing w:lineRule="auto" w:line="276"/>
              <w:ind w:firstLine="540"/>
              <w:rPr>
                <w:lang w:eastAsia="en-US"/>
              </w:rPr>
            </w:pPr>
            <w:r>
              <w:rPr>
                <w:lang w:eastAsia="en-US"/>
              </w:rPr>
              <w:t>Материалы по обоснованию проекта межевания территории включают в себя чертежи, на которых отображаются:</w:t>
            </w:r>
          </w:p>
          <w:p>
            <w:pPr>
              <w:pStyle w:val="Normal"/>
              <w:spacing w:lineRule="auto" w:line="276"/>
              <w:ind w:firstLine="540"/>
              <w:rPr>
                <w:lang w:eastAsia="en-US"/>
              </w:rPr>
            </w:pPr>
            <w:r>
              <w:rPr>
                <w:lang w:eastAsia="en-US"/>
              </w:rPr>
              <w:t>1) границы существующих земельных участков;</w:t>
            </w:r>
          </w:p>
          <w:p>
            <w:pPr>
              <w:pStyle w:val="Normal"/>
              <w:spacing w:lineRule="auto" w:line="276"/>
              <w:ind w:firstLine="540"/>
              <w:rPr>
                <w:lang w:eastAsia="en-US"/>
              </w:rPr>
            </w:pPr>
            <w:r>
              <w:rPr>
                <w:lang w:eastAsia="en-US"/>
              </w:rPr>
              <w:t>2) границы зон с особыми условиями использования территорий;</w:t>
            </w:r>
          </w:p>
          <w:p>
            <w:pPr>
              <w:pStyle w:val="Normal"/>
              <w:spacing w:lineRule="auto" w:line="276"/>
              <w:ind w:firstLine="540"/>
              <w:rPr>
                <w:lang w:eastAsia="en-US"/>
              </w:rPr>
            </w:pPr>
            <w:r>
              <w:rPr>
                <w:lang w:eastAsia="en-US"/>
              </w:rPr>
              <w:t>3) местоположение существующих объектов капитального строительства;</w:t>
            </w:r>
          </w:p>
          <w:p>
            <w:pPr>
              <w:pStyle w:val="Normal"/>
              <w:spacing w:lineRule="auto" w:line="276"/>
              <w:ind w:firstLine="540"/>
              <w:rPr>
                <w:lang w:eastAsia="en-US"/>
              </w:rPr>
            </w:pPr>
            <w:r>
              <w:rPr>
                <w:lang w:eastAsia="en-US"/>
              </w:rPr>
              <w:t>4) границы особо охраняемых природных территорий;</w:t>
            </w:r>
          </w:p>
          <w:p>
            <w:pPr>
              <w:pStyle w:val="Normal"/>
              <w:spacing w:lineRule="auto" w:line="276" w:before="120" w:after="120"/>
              <w:ind w:firstLine="540"/>
              <w:rPr>
                <w:lang w:eastAsia="en-US"/>
              </w:rPr>
            </w:pPr>
            <w:r>
              <w:rPr>
                <w:lang w:eastAsia="en-US"/>
              </w:rPr>
              <w:t>5) границы территорий объектов культурного наследия.</w:t>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10.</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Формы предоставления материалов проекта планировки территории и проекта межевания территории</w:t>
            </w:r>
          </w:p>
        </w:tc>
        <w:tc>
          <w:tcPr>
            <w:tcW w:w="69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ind w:firstLine="612"/>
              <w:rPr>
                <w:rFonts w:ascii="TimesNewRomanPSMT" w:hAnsi="TimesNewRomanPSMT" w:cs="TimesNewRomanPSMT"/>
                <w:b/>
                <w:lang w:eastAsia="en-US"/>
              </w:rPr>
            </w:pPr>
            <w:r>
              <w:rPr>
                <w:b/>
                <w:lang w:eastAsia="en-US"/>
              </w:rPr>
              <w:t>Проект планировки и проект межевания территории готовятся на бумажном и электронном носителях.</w:t>
            </w:r>
            <w:r>
              <w:rPr>
                <w:rFonts w:cs="TimesNewRomanPSMT" w:ascii="TimesNewRomanPSMT" w:hAnsi="TimesNewRomanPSMT"/>
                <w:b/>
                <w:lang w:eastAsia="en-US"/>
              </w:rPr>
              <w:t xml:space="preserve"> </w:t>
            </w:r>
          </w:p>
          <w:p>
            <w:pPr>
              <w:pStyle w:val="Normal"/>
              <w:spacing w:lineRule="auto" w:line="276"/>
              <w:ind w:firstLine="612"/>
              <w:rPr>
                <w:lang w:eastAsia="en-US"/>
              </w:rPr>
            </w:pPr>
            <w:r>
              <w:rPr>
                <w:lang w:eastAsia="en-US"/>
              </w:rPr>
              <w:t xml:space="preserve">Материалы проекта планировки территории комплектуются по разделам и передаются Заказчику на бумажном носителе в 2-х экземплярах  и  на  электронных  носителях (в векторно-цифровом виде и </w:t>
            </w:r>
            <w:r>
              <w:rPr>
                <w:lang w:val="en-US" w:eastAsia="en-US"/>
              </w:rPr>
              <w:t>pdf</w:t>
            </w:r>
            <w:r>
              <w:rPr>
                <w:lang w:eastAsia="en-US"/>
              </w:rPr>
              <w:t>-формате) в 1 экземплярах.</w:t>
            </w:r>
          </w:p>
          <w:p>
            <w:pPr>
              <w:pStyle w:val="Normal"/>
              <w:spacing w:lineRule="auto" w:line="276"/>
              <w:ind w:firstLine="612"/>
              <w:rPr>
                <w:lang w:eastAsia="en-US"/>
              </w:rPr>
            </w:pPr>
            <w:r>
              <w:rPr>
                <w:lang w:eastAsia="en-US"/>
              </w:rPr>
              <w:t>Документы на электронном носителе передаются в форматах, в которых они разрабатывались и должны быть доступными для редактирования.</w:t>
            </w:r>
          </w:p>
          <w:p>
            <w:pPr>
              <w:pStyle w:val="Normal"/>
              <w:spacing w:lineRule="auto" w:line="276"/>
              <w:ind w:firstLine="612"/>
              <w:rPr>
                <w:lang w:eastAsia="en-US"/>
              </w:rPr>
            </w:pPr>
            <w:r>
              <w:rPr>
                <w:lang w:eastAsia="en-US"/>
              </w:rPr>
              <w:t>Наименование файлов и папок на электронном носителе должны совпадать с наименованием документов на бумажном носителе.</w:t>
            </w:r>
          </w:p>
          <w:p>
            <w:pPr>
              <w:pStyle w:val="Normal"/>
              <w:spacing w:lineRule="auto" w:line="276"/>
              <w:ind w:firstLine="612"/>
              <w:rPr>
                <w:lang w:eastAsia="en-US"/>
              </w:rPr>
            </w:pPr>
            <w:r>
              <w:rPr>
                <w:lang w:eastAsia="en-US"/>
              </w:rPr>
              <w:t>Форматы электронных документов:</w:t>
            </w:r>
          </w:p>
          <w:p>
            <w:pPr>
              <w:pStyle w:val="Normal"/>
              <w:spacing w:lineRule="auto" w:line="276"/>
              <w:rPr>
                <w:lang w:eastAsia="en-US"/>
              </w:rPr>
            </w:pPr>
            <w:r>
              <w:rPr>
                <w:lang w:eastAsia="en-US"/>
              </w:rPr>
              <w:t xml:space="preserve">- текстовые материалы, расчеты, графики – в форматах, совместимых с </w:t>
            </w:r>
            <w:r>
              <w:rPr>
                <w:lang w:val="en-US" w:eastAsia="en-US"/>
              </w:rPr>
              <w:t>Microsoft</w:t>
            </w:r>
            <w:r>
              <w:rPr>
                <w:lang w:eastAsia="en-US"/>
              </w:rPr>
              <w:t xml:space="preserve"> </w:t>
            </w:r>
            <w:r>
              <w:rPr>
                <w:lang w:val="en-US" w:eastAsia="en-US"/>
              </w:rPr>
              <w:t>Office</w:t>
            </w:r>
            <w:r>
              <w:rPr>
                <w:lang w:eastAsia="en-US"/>
              </w:rPr>
              <w:t>(*.</w:t>
            </w:r>
            <w:r>
              <w:rPr>
                <w:lang w:val="en-US" w:eastAsia="en-US"/>
              </w:rPr>
              <w:t>doc</w:t>
            </w:r>
            <w:r>
              <w:rPr>
                <w:lang w:eastAsia="en-US"/>
              </w:rPr>
              <w:t>.</w:t>
            </w:r>
            <w:r>
              <w:rPr>
                <w:lang w:val="en-US" w:eastAsia="en-US"/>
              </w:rPr>
              <w:t>xls</w:t>
            </w:r>
            <w:r>
              <w:rPr>
                <w:lang w:eastAsia="en-US"/>
              </w:rPr>
              <w:t>);</w:t>
            </w:r>
          </w:p>
          <w:p>
            <w:pPr>
              <w:pStyle w:val="Normal"/>
              <w:spacing w:lineRule="auto" w:line="276"/>
              <w:rPr>
                <w:lang w:eastAsia="en-US"/>
              </w:rPr>
            </w:pPr>
            <w:r>
              <w:rPr>
                <w:lang w:eastAsia="en-US"/>
              </w:rPr>
              <w:t xml:space="preserve">- графические материалы (чертежи и схемы) – в формате, совместимом с </w:t>
            </w:r>
            <w:r>
              <w:rPr>
                <w:lang w:val="en-US" w:eastAsia="en-US"/>
              </w:rPr>
              <w:t>Autocad</w:t>
            </w:r>
            <w:r>
              <w:rPr>
                <w:lang w:eastAsia="en-US"/>
              </w:rPr>
              <w:t xml:space="preserve">, </w:t>
            </w:r>
            <w:r>
              <w:rPr>
                <w:lang w:val="en-US" w:eastAsia="en-US"/>
              </w:rPr>
              <w:t>Mapinfo</w:t>
            </w:r>
            <w:r>
              <w:rPr>
                <w:lang w:eastAsia="en-US"/>
              </w:rPr>
              <w:t xml:space="preserve">, </w:t>
            </w:r>
            <w:r>
              <w:rPr>
                <w:lang w:val="en-US" w:eastAsia="en-US"/>
              </w:rPr>
              <w:t>Panorama</w:t>
            </w:r>
            <w:r>
              <w:rPr>
                <w:lang w:eastAsia="en-US"/>
              </w:rPr>
              <w:t>;</w:t>
            </w:r>
          </w:p>
          <w:p>
            <w:pPr>
              <w:pStyle w:val="Normal"/>
              <w:spacing w:lineRule="auto" w:line="276"/>
              <w:rPr>
                <w:lang w:eastAsia="en-US"/>
              </w:rPr>
            </w:pPr>
            <w:r>
              <w:rPr>
                <w:lang w:eastAsia="en-US"/>
              </w:rPr>
              <w:t xml:space="preserve">- прочие графические материалы – в форматах </w:t>
            </w:r>
            <w:r>
              <w:rPr>
                <w:lang w:val="en-US" w:eastAsia="en-US"/>
              </w:rPr>
              <w:t>jpg</w:t>
            </w:r>
            <w:r>
              <w:rPr>
                <w:lang w:eastAsia="en-US"/>
              </w:rPr>
              <w:t>,</w:t>
            </w:r>
            <w:r>
              <w:rPr>
                <w:lang w:val="en-US" w:eastAsia="en-US"/>
              </w:rPr>
              <w:t>tiff</w:t>
            </w:r>
            <w:r>
              <w:rPr>
                <w:lang w:eastAsia="en-US"/>
              </w:rPr>
              <w:t>,</w:t>
            </w:r>
            <w:r>
              <w:rPr>
                <w:lang w:val="en-US" w:eastAsia="en-US"/>
              </w:rPr>
              <w:t>pdf</w:t>
            </w:r>
            <w:r>
              <w:rPr>
                <w:lang w:eastAsia="en-US"/>
              </w:rPr>
              <w:t>.</w:t>
            </w:r>
          </w:p>
          <w:p>
            <w:pPr>
              <w:pStyle w:val="Normal"/>
              <w:spacing w:lineRule="auto" w:line="276"/>
              <w:rPr>
                <w:lang w:eastAsia="en-US"/>
              </w:rPr>
            </w:pPr>
            <w:r>
              <w:rPr>
                <w:lang w:eastAsia="en-US"/>
              </w:rPr>
              <w:t>Внесение изменений в сведения государственного кадастра недвижимости. Выписки из ЕГРН на земельные участки под объектами (при необходимости).</w:t>
            </w:r>
          </w:p>
          <w:p>
            <w:pPr>
              <w:pStyle w:val="Normal"/>
              <w:spacing w:lineRule="auto" w:line="276" w:before="120" w:after="120"/>
              <w:ind w:firstLine="612"/>
              <w:rPr>
                <w:lang w:eastAsia="en-US"/>
              </w:rPr>
            </w:pPr>
            <w:r>
              <w:rPr>
                <w:lang w:eastAsia="en-US"/>
              </w:rPr>
            </w:r>
          </w:p>
        </w:tc>
      </w:tr>
      <w:tr>
        <w:trPr/>
        <w:tc>
          <w:tcPr>
            <w:tcW w:w="648"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jc w:val="center"/>
              <w:rPr>
                <w:b/>
                <w:lang w:eastAsia="en-US"/>
              </w:rPr>
            </w:pPr>
            <w:r>
              <w:rPr>
                <w:b/>
                <w:lang w:eastAsia="en-US"/>
              </w:rPr>
              <w:t>11.</w:t>
            </w:r>
          </w:p>
        </w:tc>
        <w:tc>
          <w:tcPr>
            <w:tcW w:w="2771"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b/>
                <w:lang w:eastAsia="en-US"/>
              </w:rPr>
            </w:pPr>
            <w:r>
              <w:rPr>
                <w:b/>
                <w:lang w:eastAsia="en-US"/>
              </w:rPr>
              <w:t>Согласование документации по планировке территории</w:t>
            </w:r>
          </w:p>
        </w:tc>
        <w:tc>
          <w:tcPr>
            <w:tcW w:w="6940" w:type="dxa"/>
            <w:tcBorders>
              <w:top w:val="single" w:sz="4" w:space="0" w:color="000000"/>
              <w:start w:val="single" w:sz="4" w:space="0" w:color="000000"/>
              <w:bottom w:val="single" w:sz="4" w:space="0" w:color="000000"/>
              <w:end w:val="single" w:sz="4" w:space="0" w:color="000000"/>
            </w:tcBorders>
          </w:tcPr>
          <w:p>
            <w:pPr>
              <w:pStyle w:val="Normal"/>
              <w:spacing w:lineRule="auto" w:line="276" w:before="120" w:after="120"/>
              <w:rPr>
                <w:lang w:eastAsia="en-US"/>
              </w:rPr>
            </w:pPr>
            <w:r>
              <w:rPr>
                <w:lang w:eastAsia="en-US"/>
              </w:rPr>
              <w:t>Проект планировки и межевания территории подлежит согласованию с Администрацией Ольского муниципального округа, и с заинтересованными организациями в порядке, определенном Градостроительным кодексом РФ.</w:t>
            </w:r>
          </w:p>
          <w:p>
            <w:pPr>
              <w:pStyle w:val="Normal"/>
              <w:spacing w:lineRule="auto" w:line="276" w:before="120" w:after="120"/>
              <w:rPr>
                <w:lang w:eastAsia="en-US"/>
              </w:rPr>
            </w:pPr>
            <w:r>
              <w:rPr>
                <w:lang w:eastAsia="en-US"/>
              </w:rPr>
            </w:r>
          </w:p>
        </w:tc>
      </w:tr>
    </w:tbl>
    <w:p>
      <w:pPr>
        <w:pStyle w:val="Normal"/>
        <w:spacing w:lineRule="auto" w:line="276" w:before="120" w:after="200"/>
        <w:ind w:firstLine="708"/>
        <w:jc w:val="center"/>
        <w:rPr>
          <w:b/>
          <w:color w:val="FF0000"/>
          <w:lang w:eastAsia="x-none"/>
        </w:rPr>
      </w:pPr>
      <w:r>
        <w:rPr>
          <w:b/>
          <w:color w:val="FF0000"/>
          <w:lang w:eastAsia="x-none"/>
        </w:rPr>
      </w:r>
    </w:p>
    <w:p>
      <w:pPr>
        <w:pStyle w:val="Normal"/>
        <w:spacing w:lineRule="auto" w:line="276" w:before="120" w:after="200"/>
        <w:ind w:firstLine="708"/>
        <w:jc w:val="center"/>
        <w:rPr>
          <w:b/>
          <w:color w:val="FF0000"/>
          <w:lang w:eastAsia="x-none"/>
        </w:rPr>
      </w:pPr>
      <w:r>
        <w:rPr>
          <w:rFonts w:cs="Times New Roman"/>
          <w:color w:val="FF0000"/>
          <w:lang w:val="en-US"/>
        </w:rPr>
      </w:r>
    </w:p>
    <w:sectPr>
      <w:footerReference w:type="even" r:id="rId4"/>
      <w:footerReference w:type="default" r:id="rId5"/>
      <w:footerReference w:type="first" r:id="rId6"/>
      <w:type w:val="nextPage"/>
      <w:pgSz w:w="11906" w:h="16838"/>
      <w:pgMar w:left="1134" w:right="567" w:gutter="0" w:header="0" w:top="567" w:footer="0" w:bottom="425"/>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Tahoma">
    <w:charset w:val="01" w:characterSet="utf-8"/>
    <w:family w:val="swiss"/>
    <w:pitch w:val="variable"/>
  </w:font>
  <w:font w:name="Calibri">
    <w:charset w:val="01" w:characterSet="utf-8"/>
    <w:family w:val="swiss"/>
    <w:pitch w:val="variable"/>
  </w:font>
  <w:font w:name="Liberation Sans">
    <w:altName w:val="Arial"/>
    <w:charset w:val="01" w:characterSet="utf-8"/>
    <w:family w:val="swiss"/>
    <w:pitch w:val="variable"/>
  </w:font>
  <w:font w:name="PT Serif">
    <w:charset w:val="01" w:characterSet="utf-8"/>
    <w:family w:val="roman"/>
    <w:pitch w:val="variable"/>
  </w:font>
  <w:font w:name="TimesNewRomanPSMT">
    <w:charset w:val="01" w:characterSet="utf-8"/>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Глава %1"/>
      <w:lvlJc w:val="start"/>
      <w:pPr>
        <w:tabs>
          <w:tab w:val="num" w:pos="0"/>
        </w:tabs>
        <w:ind w:start="234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pStyle w:val="Heading9"/>
      <w:suff w:val="nothing"/>
      <w:lvlText w:val=""/>
      <w:lvlJc w:val="start"/>
      <w:pPr>
        <w:tabs>
          <w:tab w:val="num" w:pos="0"/>
        </w:tabs>
        <w:ind w:start="0" w:hanging="0"/>
      </w:pPr>
      <w:rPr/>
    </w:lvl>
  </w:abstractNum>
  <w:abstractNum w:abstractNumId="2">
    <w:lvl w:ilvl="0">
      <w:start w:val="1"/>
      <w:numFmt w:val="decimal"/>
      <w:suff w:val="space"/>
      <w:lvlText w:val="Глава %1"/>
      <w:lvlJc w:val="start"/>
      <w:pPr>
        <w:tabs>
          <w:tab w:val="num" w:pos="0"/>
        </w:tabs>
        <w:ind w:start="234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3">
    <w:lvl w:ilvl="0">
      <w:start w:val="1"/>
      <w:numFmt w:val="decimal"/>
      <w:lvlText w:val="%1."/>
      <w:lvlJc w:val="start"/>
      <w:pPr>
        <w:tabs>
          <w:tab w:val="num" w:pos="612"/>
        </w:tabs>
        <w:ind w:start="612" w:hanging="360"/>
      </w:pPr>
      <w:rPr>
        <w:sz w:val="20"/>
        <w:szCs w:val="20"/>
      </w:rPr>
    </w:lvl>
    <w:lvl w:ilvl="1">
      <w:start w:val="1"/>
      <w:numFmt w:val="decimal"/>
      <w:isLgl/>
      <w:lvlText w:val="%1.%2."/>
      <w:lvlJc w:val="start"/>
      <w:pPr>
        <w:tabs>
          <w:tab w:val="num" w:pos="1288"/>
        </w:tabs>
        <w:ind w:start="1288" w:hanging="720"/>
      </w:pPr>
      <w:rPr>
        <w:b/>
        <w:sz w:val="20"/>
        <w:szCs w:val="20"/>
      </w:rPr>
    </w:lvl>
    <w:lvl w:ilvl="2">
      <w:start w:val="1"/>
      <w:numFmt w:val="decimal"/>
      <w:isLgl/>
      <w:lvlText w:val="%1.%2.%3."/>
      <w:lvlJc w:val="start"/>
      <w:pPr>
        <w:tabs>
          <w:tab w:val="num" w:pos="283"/>
        </w:tabs>
        <w:ind w:start="1004" w:hanging="720"/>
      </w:pPr>
      <w:rPr>
        <w:b/>
        <w:sz w:val="20"/>
        <w:szCs w:val="20"/>
      </w:rPr>
    </w:lvl>
    <w:lvl w:ilvl="3">
      <w:start w:val="1"/>
      <w:numFmt w:val="decimal"/>
      <w:isLgl/>
      <w:lvlText w:val="%1.%2.%3.%4."/>
      <w:lvlJc w:val="start"/>
      <w:pPr>
        <w:tabs>
          <w:tab w:val="num" w:pos="709"/>
        </w:tabs>
        <w:ind w:start="0" w:firstLine="142"/>
      </w:pPr>
      <w:rPr/>
    </w:lvl>
    <w:lvl w:ilvl="4">
      <w:start w:val="1"/>
      <w:numFmt w:val="decimal"/>
      <w:isLgl/>
      <w:lvlText w:val="%1.%2.%3.%4.%5."/>
      <w:lvlJc w:val="start"/>
      <w:pPr>
        <w:tabs>
          <w:tab w:val="num" w:pos="1332"/>
        </w:tabs>
        <w:ind w:start="1332" w:hanging="1080"/>
      </w:pPr>
      <w:rPr/>
    </w:lvl>
    <w:lvl w:ilvl="5">
      <w:start w:val="1"/>
      <w:numFmt w:val="decimal"/>
      <w:isLgl/>
      <w:lvlText w:val="%1.%2.%3.%4.%5.%6."/>
      <w:lvlJc w:val="start"/>
      <w:pPr>
        <w:tabs>
          <w:tab w:val="num" w:pos="1692"/>
        </w:tabs>
        <w:ind w:start="1692" w:hanging="1440"/>
      </w:pPr>
      <w:rPr/>
    </w:lvl>
    <w:lvl w:ilvl="6">
      <w:start w:val="1"/>
      <w:numFmt w:val="decimal"/>
      <w:isLgl/>
      <w:lvlText w:val="%1.%2.%3.%4.%5.%6.%7."/>
      <w:lvlJc w:val="start"/>
      <w:pPr>
        <w:tabs>
          <w:tab w:val="num" w:pos="2052"/>
        </w:tabs>
        <w:ind w:start="2052" w:hanging="1800"/>
      </w:pPr>
      <w:rPr/>
    </w:lvl>
    <w:lvl w:ilvl="7">
      <w:start w:val="1"/>
      <w:numFmt w:val="decimal"/>
      <w:isLgl/>
      <w:lvlText w:val="%1.%2.%3.%4.%5.%6.%7.%8."/>
      <w:lvlJc w:val="start"/>
      <w:pPr>
        <w:tabs>
          <w:tab w:val="num" w:pos="2052"/>
        </w:tabs>
        <w:ind w:start="2052" w:hanging="1800"/>
      </w:pPr>
      <w:rPr/>
    </w:lvl>
    <w:lvl w:ilvl="8">
      <w:start w:val="1"/>
      <w:numFmt w:val="decimal"/>
      <w:isLgl/>
      <w:lvlText w:val="%1.%2.%3.%4.%5.%6.%7.%8.%9."/>
      <w:lvlJc w:val="start"/>
      <w:pPr>
        <w:tabs>
          <w:tab w:val="num" w:pos="2412"/>
        </w:tabs>
        <w:ind w:start="2412" w:hanging="2160"/>
      </w:pPr>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10">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11">
    <w:lvl w:ilvl="0">
      <w:start w:val="1"/>
      <w:numFmt w:val="decimal"/>
      <w:lvlText w:val="%1."/>
      <w:lvlJc w:val="start"/>
      <w:pPr>
        <w:tabs>
          <w:tab w:val="num" w:pos="0"/>
        </w:tabs>
        <w:ind w:start="720" w:hanging="360"/>
      </w:pPr>
      <w:rPr/>
    </w:lvl>
    <w:lvl w:ilvl="1">
      <w:start w:val="1"/>
      <w:numFmt w:val="decimal"/>
      <w:isLgl/>
      <w:lvlText w:val="%1.%2."/>
      <w:lvlJc w:val="start"/>
      <w:pPr>
        <w:tabs>
          <w:tab w:val="num" w:pos="0"/>
        </w:tabs>
        <w:ind w:start="1011" w:hanging="585"/>
      </w:pPr>
      <w:rPr/>
    </w:lvl>
    <w:lvl w:ilvl="2">
      <w:start w:val="1"/>
      <w:numFmt w:val="decimal"/>
      <w:isLgl/>
      <w:lvlText w:val="%1.%2.%3."/>
      <w:lvlJc w:val="start"/>
      <w:pPr>
        <w:tabs>
          <w:tab w:val="num" w:pos="0"/>
        </w:tabs>
        <w:ind w:start="1080" w:hanging="720"/>
      </w:pPr>
      <w:rPr/>
    </w:lvl>
    <w:lvl w:ilvl="3">
      <w:start w:val="1"/>
      <w:numFmt w:val="decimal"/>
      <w:isLgl/>
      <w:lvlText w:val="%1.%2.%3.%4."/>
      <w:lvlJc w:val="start"/>
      <w:pPr>
        <w:tabs>
          <w:tab w:val="num" w:pos="0"/>
        </w:tabs>
        <w:ind w:start="1080" w:hanging="720"/>
      </w:pPr>
      <w:rPr/>
    </w:lvl>
    <w:lvl w:ilvl="4">
      <w:start w:val="1"/>
      <w:numFmt w:val="decimal"/>
      <w:isLgl/>
      <w:lvlText w:val="%1.%2.%3.%4.%5."/>
      <w:lvlJc w:val="start"/>
      <w:pPr>
        <w:tabs>
          <w:tab w:val="num" w:pos="0"/>
        </w:tabs>
        <w:ind w:start="1440" w:hanging="1080"/>
      </w:pPr>
      <w:rPr/>
    </w:lvl>
    <w:lvl w:ilvl="5">
      <w:start w:val="1"/>
      <w:numFmt w:val="decimal"/>
      <w:isLgl/>
      <w:lvlText w:val="%1.%2.%3.%4.%5.%6."/>
      <w:lvlJc w:val="start"/>
      <w:pPr>
        <w:tabs>
          <w:tab w:val="num" w:pos="0"/>
        </w:tabs>
        <w:ind w:start="1440" w:hanging="1080"/>
      </w:pPr>
      <w:rPr/>
    </w:lvl>
    <w:lvl w:ilvl="6">
      <w:start w:val="1"/>
      <w:numFmt w:val="decimal"/>
      <w:isLgl/>
      <w:lvlText w:val="%1.%2.%3.%4.%5.%6.%7."/>
      <w:lvlJc w:val="start"/>
      <w:pPr>
        <w:tabs>
          <w:tab w:val="num" w:pos="0"/>
        </w:tabs>
        <w:ind w:start="1800" w:hanging="1440"/>
      </w:pPr>
      <w:rPr/>
    </w:lvl>
    <w:lvl w:ilvl="7">
      <w:start w:val="1"/>
      <w:numFmt w:val="decimal"/>
      <w:isLgl/>
      <w:lvlText w:val="%1.%2.%3.%4.%5.%6.%7.%8."/>
      <w:lvlJc w:val="start"/>
      <w:pPr>
        <w:tabs>
          <w:tab w:val="num" w:pos="0"/>
        </w:tabs>
        <w:ind w:start="1800" w:hanging="1440"/>
      </w:pPr>
      <w:rPr/>
    </w:lvl>
    <w:lvl w:ilvl="8">
      <w:start w:val="1"/>
      <w:numFmt w:val="decimal"/>
      <w:isLgl/>
      <w:lvlText w:val="%1.%2.%3.%4.%5.%6.%7.%8.%9."/>
      <w:lvlJc w:val="start"/>
      <w:pPr>
        <w:tabs>
          <w:tab w:val="num" w:pos="0"/>
        </w:tabs>
        <w:ind w:start="2160" w:hanging="1800"/>
      </w:pPr>
      <w:rPr/>
    </w:lvl>
  </w:abstractNum>
  <w:abstractNum w:abstractNumId="12">
    <w:lvl w:ilvl="0">
      <w:start w:val="1"/>
      <w:numFmt w:val="decimal"/>
      <w:lvlText w:val="1.1.%1"/>
      <w:lvlJc w:val="end"/>
      <w:pPr>
        <w:tabs>
          <w:tab w:val="num" w:pos="0"/>
        </w:tabs>
        <w:ind w:start="360" w:hanging="360"/>
      </w:pPr>
      <w:rPr>
        <w:rFonts w:ascii="Times New Roman" w:hAnsi="Times New Roman"/>
        <w:b/>
        <w:sz w:val="24"/>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13">
    <w:lvl w:ilvl="0">
      <w:start w:val="1"/>
      <w:numFmt w:val="bullet"/>
      <w:lvlText w:val=""/>
      <w:lvlJc w:val="start"/>
      <w:pPr>
        <w:tabs>
          <w:tab w:val="num" w:pos="0"/>
        </w:tabs>
        <w:ind w:start="1512" w:hanging="360"/>
      </w:pPr>
      <w:rPr>
        <w:rFonts w:ascii="Symbol" w:hAnsi="Symbol" w:cs="Symbol" w:hint="default"/>
      </w:rPr>
    </w:lvl>
    <w:lvl w:ilvl="1">
      <w:start w:val="1"/>
      <w:numFmt w:val="bullet"/>
      <w:lvlText w:val="o"/>
      <w:lvlJc w:val="start"/>
      <w:pPr>
        <w:tabs>
          <w:tab w:val="num" w:pos="0"/>
        </w:tabs>
        <w:ind w:start="2232" w:hanging="360"/>
      </w:pPr>
      <w:rPr>
        <w:rFonts w:ascii="Courier New" w:hAnsi="Courier New" w:cs="Courier New" w:hint="default"/>
      </w:rPr>
    </w:lvl>
    <w:lvl w:ilvl="2">
      <w:start w:val="1"/>
      <w:numFmt w:val="bullet"/>
      <w:lvlText w:val=""/>
      <w:lvlJc w:val="start"/>
      <w:pPr>
        <w:tabs>
          <w:tab w:val="num" w:pos="0"/>
        </w:tabs>
        <w:ind w:start="2952" w:hanging="360"/>
      </w:pPr>
      <w:rPr>
        <w:rFonts w:ascii="Wingdings" w:hAnsi="Wingdings" w:cs="Wingdings" w:hint="default"/>
      </w:rPr>
    </w:lvl>
    <w:lvl w:ilvl="3">
      <w:start w:val="1"/>
      <w:numFmt w:val="bullet"/>
      <w:lvlText w:val=""/>
      <w:lvlJc w:val="start"/>
      <w:pPr>
        <w:tabs>
          <w:tab w:val="num" w:pos="0"/>
        </w:tabs>
        <w:ind w:start="3672" w:hanging="360"/>
      </w:pPr>
      <w:rPr>
        <w:rFonts w:ascii="Symbol" w:hAnsi="Symbol" w:cs="Symbol" w:hint="default"/>
      </w:rPr>
    </w:lvl>
    <w:lvl w:ilvl="4">
      <w:start w:val="1"/>
      <w:numFmt w:val="bullet"/>
      <w:lvlText w:val="o"/>
      <w:lvlJc w:val="start"/>
      <w:pPr>
        <w:tabs>
          <w:tab w:val="num" w:pos="0"/>
        </w:tabs>
        <w:ind w:start="4392" w:hanging="360"/>
      </w:pPr>
      <w:rPr>
        <w:rFonts w:ascii="Courier New" w:hAnsi="Courier New" w:cs="Courier New" w:hint="default"/>
      </w:rPr>
    </w:lvl>
    <w:lvl w:ilvl="5">
      <w:start w:val="1"/>
      <w:numFmt w:val="bullet"/>
      <w:lvlText w:val=""/>
      <w:lvlJc w:val="start"/>
      <w:pPr>
        <w:tabs>
          <w:tab w:val="num" w:pos="0"/>
        </w:tabs>
        <w:ind w:start="5112" w:hanging="360"/>
      </w:pPr>
      <w:rPr>
        <w:rFonts w:ascii="Wingdings" w:hAnsi="Wingdings" w:cs="Wingdings" w:hint="default"/>
      </w:rPr>
    </w:lvl>
    <w:lvl w:ilvl="6">
      <w:start w:val="1"/>
      <w:numFmt w:val="bullet"/>
      <w:lvlText w:val=""/>
      <w:lvlJc w:val="start"/>
      <w:pPr>
        <w:tabs>
          <w:tab w:val="num" w:pos="0"/>
        </w:tabs>
        <w:ind w:start="5832" w:hanging="360"/>
      </w:pPr>
      <w:rPr>
        <w:rFonts w:ascii="Symbol" w:hAnsi="Symbol" w:cs="Symbol" w:hint="default"/>
      </w:rPr>
    </w:lvl>
    <w:lvl w:ilvl="7">
      <w:start w:val="1"/>
      <w:numFmt w:val="bullet"/>
      <w:lvlText w:val="o"/>
      <w:lvlJc w:val="start"/>
      <w:pPr>
        <w:tabs>
          <w:tab w:val="num" w:pos="0"/>
        </w:tabs>
        <w:ind w:start="6552" w:hanging="360"/>
      </w:pPr>
      <w:rPr>
        <w:rFonts w:ascii="Courier New" w:hAnsi="Courier New" w:cs="Courier New" w:hint="default"/>
      </w:rPr>
    </w:lvl>
    <w:lvl w:ilvl="8">
      <w:start w:val="1"/>
      <w:numFmt w:val="bullet"/>
      <w:lvlText w:val=""/>
      <w:lvlJc w:val="start"/>
      <w:pPr>
        <w:tabs>
          <w:tab w:val="num" w:pos="0"/>
        </w:tabs>
        <w:ind w:start="7272" w:hanging="360"/>
      </w:pPr>
      <w:rPr>
        <w:rFonts w:ascii="Wingdings" w:hAnsi="Wingdings" w:cs="Wingdings" w:hint="default"/>
      </w:rPr>
    </w:lvl>
  </w:abstractNum>
  <w:abstractNum w:abstractNumId="14">
    <w:lvl w:ilvl="0">
      <w:start w:val="1"/>
      <w:numFmt w:val="bullet"/>
      <w:lvlText w:val=""/>
      <w:lvlJc w:val="start"/>
      <w:pPr>
        <w:tabs>
          <w:tab w:val="num" w:pos="0"/>
        </w:tabs>
        <w:ind w:start="1665" w:hanging="360"/>
      </w:pPr>
      <w:rPr>
        <w:rFonts w:ascii="Symbol" w:hAnsi="Symbol" w:cs="Symbol" w:hint="default"/>
      </w:rPr>
    </w:lvl>
    <w:lvl w:ilvl="1">
      <w:start w:val="1"/>
      <w:numFmt w:val="bullet"/>
      <w:lvlText w:val="o"/>
      <w:lvlJc w:val="start"/>
      <w:pPr>
        <w:tabs>
          <w:tab w:val="num" w:pos="0"/>
        </w:tabs>
        <w:ind w:start="2385" w:hanging="360"/>
      </w:pPr>
      <w:rPr>
        <w:rFonts w:ascii="Courier New" w:hAnsi="Courier New" w:cs="Courier New" w:hint="default"/>
      </w:rPr>
    </w:lvl>
    <w:lvl w:ilvl="2">
      <w:start w:val="1"/>
      <w:numFmt w:val="bullet"/>
      <w:lvlText w:val=""/>
      <w:lvlJc w:val="start"/>
      <w:pPr>
        <w:tabs>
          <w:tab w:val="num" w:pos="0"/>
        </w:tabs>
        <w:ind w:start="3105" w:hanging="360"/>
      </w:pPr>
      <w:rPr>
        <w:rFonts w:ascii="Wingdings" w:hAnsi="Wingdings" w:cs="Wingdings" w:hint="default"/>
      </w:rPr>
    </w:lvl>
    <w:lvl w:ilvl="3">
      <w:start w:val="1"/>
      <w:numFmt w:val="bullet"/>
      <w:lvlText w:val=""/>
      <w:lvlJc w:val="start"/>
      <w:pPr>
        <w:tabs>
          <w:tab w:val="num" w:pos="0"/>
        </w:tabs>
        <w:ind w:start="3825" w:hanging="360"/>
      </w:pPr>
      <w:rPr>
        <w:rFonts w:ascii="Symbol" w:hAnsi="Symbol" w:cs="Symbol" w:hint="default"/>
      </w:rPr>
    </w:lvl>
    <w:lvl w:ilvl="4">
      <w:start w:val="1"/>
      <w:numFmt w:val="bullet"/>
      <w:lvlText w:val="o"/>
      <w:lvlJc w:val="start"/>
      <w:pPr>
        <w:tabs>
          <w:tab w:val="num" w:pos="0"/>
        </w:tabs>
        <w:ind w:start="4545" w:hanging="360"/>
      </w:pPr>
      <w:rPr>
        <w:rFonts w:ascii="Courier New" w:hAnsi="Courier New" w:cs="Courier New" w:hint="default"/>
      </w:rPr>
    </w:lvl>
    <w:lvl w:ilvl="5">
      <w:start w:val="1"/>
      <w:numFmt w:val="bullet"/>
      <w:lvlText w:val=""/>
      <w:lvlJc w:val="start"/>
      <w:pPr>
        <w:tabs>
          <w:tab w:val="num" w:pos="0"/>
        </w:tabs>
        <w:ind w:start="5265" w:hanging="360"/>
      </w:pPr>
      <w:rPr>
        <w:rFonts w:ascii="Wingdings" w:hAnsi="Wingdings" w:cs="Wingdings" w:hint="default"/>
      </w:rPr>
    </w:lvl>
    <w:lvl w:ilvl="6">
      <w:start w:val="1"/>
      <w:numFmt w:val="bullet"/>
      <w:lvlText w:val=""/>
      <w:lvlJc w:val="start"/>
      <w:pPr>
        <w:tabs>
          <w:tab w:val="num" w:pos="0"/>
        </w:tabs>
        <w:ind w:start="5985" w:hanging="360"/>
      </w:pPr>
      <w:rPr>
        <w:rFonts w:ascii="Symbol" w:hAnsi="Symbol" w:cs="Symbol" w:hint="default"/>
      </w:rPr>
    </w:lvl>
    <w:lvl w:ilvl="7">
      <w:start w:val="1"/>
      <w:numFmt w:val="bullet"/>
      <w:lvlText w:val="o"/>
      <w:lvlJc w:val="start"/>
      <w:pPr>
        <w:tabs>
          <w:tab w:val="num" w:pos="0"/>
        </w:tabs>
        <w:ind w:start="6705" w:hanging="360"/>
      </w:pPr>
      <w:rPr>
        <w:rFonts w:ascii="Courier New" w:hAnsi="Courier New" w:cs="Courier New" w:hint="default"/>
      </w:rPr>
    </w:lvl>
    <w:lvl w:ilvl="8">
      <w:start w:val="1"/>
      <w:numFmt w:val="bullet"/>
      <w:lvlText w:val=""/>
      <w:lvlJc w:val="start"/>
      <w:pPr>
        <w:tabs>
          <w:tab w:val="num" w:pos="0"/>
        </w:tabs>
        <w:ind w:start="7425" w:hanging="360"/>
      </w:pPr>
      <w:rPr>
        <w:rFonts w:ascii="Wingdings" w:hAnsi="Wingdings" w:cs="Wingdings" w:hint="default"/>
      </w:rPr>
    </w:lvl>
  </w:abstractNum>
  <w:abstractNum w:abstractNumId="15">
    <w:lvl w:ilvl="0">
      <w:start w:val="1"/>
      <w:numFmt w:val="decimal"/>
      <w:lvlText w:val="%1."/>
      <w:lvlJc w:val="start"/>
      <w:pPr>
        <w:tabs>
          <w:tab w:val="num" w:pos="0"/>
        </w:tabs>
        <w:ind w:start="720" w:hanging="360"/>
      </w:pPr>
      <w:rPr/>
    </w:lvl>
    <w:lvl w:ilvl="1">
      <w:start w:val="1"/>
      <w:numFmt w:val="decimal"/>
      <w:isLgl/>
      <w:lvlText w:val="%1.%2."/>
      <w:lvlJc w:val="start"/>
      <w:pPr>
        <w:tabs>
          <w:tab w:val="num" w:pos="0"/>
        </w:tabs>
        <w:ind w:start="1011" w:hanging="585"/>
      </w:pPr>
      <w:rPr/>
    </w:lvl>
    <w:lvl w:ilvl="2">
      <w:start w:val="1"/>
      <w:numFmt w:val="decimal"/>
      <w:isLgl/>
      <w:lvlText w:val="%1.%2.%3."/>
      <w:lvlJc w:val="start"/>
      <w:pPr>
        <w:tabs>
          <w:tab w:val="num" w:pos="0"/>
        </w:tabs>
        <w:ind w:start="1080" w:hanging="720"/>
      </w:pPr>
      <w:rPr/>
    </w:lvl>
    <w:lvl w:ilvl="3">
      <w:start w:val="1"/>
      <w:numFmt w:val="decimal"/>
      <w:isLgl/>
      <w:lvlText w:val="%1.%2.%3.%4."/>
      <w:lvlJc w:val="start"/>
      <w:pPr>
        <w:tabs>
          <w:tab w:val="num" w:pos="0"/>
        </w:tabs>
        <w:ind w:start="1080" w:hanging="720"/>
      </w:pPr>
      <w:rPr/>
    </w:lvl>
    <w:lvl w:ilvl="4">
      <w:start w:val="1"/>
      <w:numFmt w:val="decimal"/>
      <w:isLgl/>
      <w:lvlText w:val="%1.%2.%3.%4.%5."/>
      <w:lvlJc w:val="start"/>
      <w:pPr>
        <w:tabs>
          <w:tab w:val="num" w:pos="0"/>
        </w:tabs>
        <w:ind w:start="1440" w:hanging="1080"/>
      </w:pPr>
      <w:rPr/>
    </w:lvl>
    <w:lvl w:ilvl="5">
      <w:start w:val="1"/>
      <w:numFmt w:val="decimal"/>
      <w:isLgl/>
      <w:lvlText w:val="%1.%2.%3.%4.%5.%6."/>
      <w:lvlJc w:val="start"/>
      <w:pPr>
        <w:tabs>
          <w:tab w:val="num" w:pos="0"/>
        </w:tabs>
        <w:ind w:start="1440" w:hanging="1080"/>
      </w:pPr>
      <w:rPr/>
    </w:lvl>
    <w:lvl w:ilvl="6">
      <w:start w:val="1"/>
      <w:numFmt w:val="decimal"/>
      <w:isLgl/>
      <w:lvlText w:val="%1.%2.%3.%4.%5.%6.%7."/>
      <w:lvlJc w:val="start"/>
      <w:pPr>
        <w:tabs>
          <w:tab w:val="num" w:pos="0"/>
        </w:tabs>
        <w:ind w:start="1800" w:hanging="1440"/>
      </w:pPr>
      <w:rPr/>
    </w:lvl>
    <w:lvl w:ilvl="7">
      <w:start w:val="1"/>
      <w:numFmt w:val="decimal"/>
      <w:isLgl/>
      <w:lvlText w:val="%1.%2.%3.%4.%5.%6.%7.%8."/>
      <w:lvlJc w:val="start"/>
      <w:pPr>
        <w:tabs>
          <w:tab w:val="num" w:pos="0"/>
        </w:tabs>
        <w:ind w:start="1800" w:hanging="1440"/>
      </w:pPr>
      <w:rPr/>
    </w:lvl>
    <w:lvl w:ilvl="8">
      <w:start w:val="1"/>
      <w:numFmt w:val="decimal"/>
      <w:isLgl/>
      <w:lvlText w:val="%1.%2.%3.%4.%5.%6.%7.%8.%9."/>
      <w:lvlJc w:val="start"/>
      <w:pPr>
        <w:tabs>
          <w:tab w:val="num" w:pos="0"/>
        </w:tabs>
        <w:ind w:start="2160" w:hanging="1800"/>
      </w:pPr>
      <w:rPr/>
    </w:lvl>
  </w:abstractNum>
  <w:abstractNum w:abstractNumId="16">
    <w:lvl w:ilvl="0">
      <w:start w:val="1"/>
      <w:numFmt w:val="decimal"/>
      <w:lvlText w:val="%1."/>
      <w:lvlJc w:val="start"/>
      <w:pPr>
        <w:tabs>
          <w:tab w:val="num" w:pos="0"/>
        </w:tabs>
        <w:ind w:start="720" w:hanging="360"/>
      </w:pPr>
      <w:rPr/>
    </w:lvl>
    <w:lvl w:ilvl="1">
      <w:start w:val="1"/>
      <w:numFmt w:val="decimal"/>
      <w:isLgl/>
      <w:lvlText w:val="%1.%2."/>
      <w:lvlJc w:val="start"/>
      <w:pPr>
        <w:tabs>
          <w:tab w:val="num" w:pos="0"/>
        </w:tabs>
        <w:ind w:start="1011" w:hanging="585"/>
      </w:pPr>
      <w:rPr/>
    </w:lvl>
    <w:lvl w:ilvl="2">
      <w:start w:val="1"/>
      <w:numFmt w:val="decimal"/>
      <w:isLgl/>
      <w:lvlText w:val="%1.%2.%3."/>
      <w:lvlJc w:val="start"/>
      <w:pPr>
        <w:tabs>
          <w:tab w:val="num" w:pos="0"/>
        </w:tabs>
        <w:ind w:start="1080" w:hanging="720"/>
      </w:pPr>
      <w:rPr/>
    </w:lvl>
    <w:lvl w:ilvl="3">
      <w:start w:val="1"/>
      <w:numFmt w:val="decimal"/>
      <w:isLgl/>
      <w:lvlText w:val="%1.%2.%3.%4."/>
      <w:lvlJc w:val="start"/>
      <w:pPr>
        <w:tabs>
          <w:tab w:val="num" w:pos="0"/>
        </w:tabs>
        <w:ind w:start="1080" w:hanging="720"/>
      </w:pPr>
      <w:rPr/>
    </w:lvl>
    <w:lvl w:ilvl="4">
      <w:start w:val="1"/>
      <w:numFmt w:val="decimal"/>
      <w:isLgl/>
      <w:lvlText w:val="%1.%2.%3.%4.%5."/>
      <w:lvlJc w:val="start"/>
      <w:pPr>
        <w:tabs>
          <w:tab w:val="num" w:pos="0"/>
        </w:tabs>
        <w:ind w:start="1440" w:hanging="1080"/>
      </w:pPr>
      <w:rPr/>
    </w:lvl>
    <w:lvl w:ilvl="5">
      <w:start w:val="1"/>
      <w:numFmt w:val="decimal"/>
      <w:isLgl/>
      <w:lvlText w:val="%1.%2.%3.%4.%5.%6."/>
      <w:lvlJc w:val="start"/>
      <w:pPr>
        <w:tabs>
          <w:tab w:val="num" w:pos="0"/>
        </w:tabs>
        <w:ind w:start="1440" w:hanging="1080"/>
      </w:pPr>
      <w:rPr/>
    </w:lvl>
    <w:lvl w:ilvl="6">
      <w:start w:val="1"/>
      <w:numFmt w:val="decimal"/>
      <w:isLgl/>
      <w:lvlText w:val="%1.%2.%3.%4.%5.%6.%7."/>
      <w:lvlJc w:val="start"/>
      <w:pPr>
        <w:tabs>
          <w:tab w:val="num" w:pos="0"/>
        </w:tabs>
        <w:ind w:start="1800" w:hanging="1440"/>
      </w:pPr>
      <w:rPr/>
    </w:lvl>
    <w:lvl w:ilvl="7">
      <w:start w:val="1"/>
      <w:numFmt w:val="decimal"/>
      <w:isLgl/>
      <w:lvlText w:val="%1.%2.%3.%4.%5.%6.%7.%8."/>
      <w:lvlJc w:val="start"/>
      <w:pPr>
        <w:tabs>
          <w:tab w:val="num" w:pos="0"/>
        </w:tabs>
        <w:ind w:start="1800" w:hanging="1440"/>
      </w:pPr>
      <w:rPr/>
    </w:lvl>
    <w:lvl w:ilvl="8">
      <w:start w:val="1"/>
      <w:numFmt w:val="decimal"/>
      <w:isLgl/>
      <w:lvlText w:val="%1.%2.%3.%4.%5.%6.%7.%8.%9."/>
      <w:lvlJc w:val="start"/>
      <w:pPr>
        <w:tabs>
          <w:tab w:val="num" w:pos="0"/>
        </w:tabs>
        <w:ind w:start="2160" w:hanging="1800"/>
      </w:pPr>
      <w:rPr/>
    </w:lvl>
  </w:abstractNum>
  <w:abstractNum w:abstractNumId="17">
    <w:lvl w:ilvl="0">
      <w:start w:val="1"/>
      <w:numFmt w:val="decimal"/>
      <w:lvlText w:val="%1."/>
      <w:lvlJc w:val="start"/>
      <w:pPr>
        <w:tabs>
          <w:tab w:val="num" w:pos="0"/>
        </w:tabs>
        <w:ind w:start="720" w:hanging="360"/>
      </w:pPr>
      <w:rPr>
        <w:i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8">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9">
    <w:lvl w:ilvl="0">
      <w:start w:val="3"/>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0">
    <w:lvl w:ilvl="0">
      <w:start w:val="1"/>
      <w:numFmt w:val="decimal"/>
      <w:lvlText w:val="5.%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21">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22">
    <w:lvl w:ilvl="0">
      <w:start w:val="1"/>
      <w:numFmt w:val="bullet"/>
      <w:lvlText w:val=""/>
      <w:lvlJc w:val="start"/>
      <w:pPr>
        <w:tabs>
          <w:tab w:val="num" w:pos="0"/>
        </w:tabs>
        <w:ind w:start="1080" w:hanging="360"/>
      </w:pPr>
      <w:rPr>
        <w:rFonts w:ascii="Symbol" w:hAnsi="Symbol" w:cs="Symbol"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23">
    <w:lvl w:ilvl="0">
      <w:start w:val="1"/>
      <w:numFmt w:val="bullet"/>
      <w:lvlText w:val=""/>
      <w:lvlJc w:val="start"/>
      <w:pPr>
        <w:tabs>
          <w:tab w:val="num" w:pos="0"/>
        </w:tabs>
        <w:ind w:start="1080" w:hanging="360"/>
      </w:pPr>
      <w:rPr>
        <w:rFonts w:ascii="Symbol" w:hAnsi="Symbol" w:cs="Symbol"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2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5">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26">
    <w:lvl w:ilvl="0">
      <w:start w:val="1"/>
      <w:numFmt w:val="decimal"/>
      <w:lvlText w:val="2.%1"/>
      <w:lvlJc w:val="start"/>
      <w:pPr>
        <w:tabs>
          <w:tab w:val="num" w:pos="0"/>
        </w:tabs>
        <w:ind w:start="1099" w:hanging="360"/>
      </w:pPr>
      <w:rPr/>
    </w:lvl>
    <w:lvl w:ilvl="1">
      <w:start w:val="1"/>
      <w:numFmt w:val="lowerLetter"/>
      <w:lvlText w:val="%2."/>
      <w:lvlJc w:val="start"/>
      <w:pPr>
        <w:tabs>
          <w:tab w:val="num" w:pos="0"/>
        </w:tabs>
        <w:ind w:start="1819" w:hanging="360"/>
      </w:pPr>
      <w:rPr/>
    </w:lvl>
    <w:lvl w:ilvl="2">
      <w:start w:val="1"/>
      <w:numFmt w:val="lowerRoman"/>
      <w:lvlText w:val="%3."/>
      <w:lvlJc w:val="end"/>
      <w:pPr>
        <w:tabs>
          <w:tab w:val="num" w:pos="0"/>
        </w:tabs>
        <w:ind w:start="2539" w:hanging="180"/>
      </w:pPr>
      <w:rPr/>
    </w:lvl>
    <w:lvl w:ilvl="3">
      <w:start w:val="1"/>
      <w:numFmt w:val="decimal"/>
      <w:lvlText w:val="%4."/>
      <w:lvlJc w:val="start"/>
      <w:pPr>
        <w:tabs>
          <w:tab w:val="num" w:pos="0"/>
        </w:tabs>
        <w:ind w:start="3259" w:hanging="360"/>
      </w:pPr>
      <w:rPr/>
    </w:lvl>
    <w:lvl w:ilvl="4">
      <w:start w:val="1"/>
      <w:numFmt w:val="lowerLetter"/>
      <w:lvlText w:val="%5."/>
      <w:lvlJc w:val="start"/>
      <w:pPr>
        <w:tabs>
          <w:tab w:val="num" w:pos="0"/>
        </w:tabs>
        <w:ind w:start="3979" w:hanging="360"/>
      </w:pPr>
      <w:rPr/>
    </w:lvl>
    <w:lvl w:ilvl="5">
      <w:start w:val="1"/>
      <w:numFmt w:val="lowerRoman"/>
      <w:lvlText w:val="%6."/>
      <w:lvlJc w:val="end"/>
      <w:pPr>
        <w:tabs>
          <w:tab w:val="num" w:pos="0"/>
        </w:tabs>
        <w:ind w:start="4699" w:hanging="180"/>
      </w:pPr>
      <w:rPr/>
    </w:lvl>
    <w:lvl w:ilvl="6">
      <w:start w:val="1"/>
      <w:numFmt w:val="decimal"/>
      <w:lvlText w:val="%7."/>
      <w:lvlJc w:val="start"/>
      <w:pPr>
        <w:tabs>
          <w:tab w:val="num" w:pos="0"/>
        </w:tabs>
        <w:ind w:start="5419" w:hanging="360"/>
      </w:pPr>
      <w:rPr/>
    </w:lvl>
    <w:lvl w:ilvl="7">
      <w:start w:val="1"/>
      <w:numFmt w:val="lowerLetter"/>
      <w:lvlText w:val="%8."/>
      <w:lvlJc w:val="start"/>
      <w:pPr>
        <w:tabs>
          <w:tab w:val="num" w:pos="0"/>
        </w:tabs>
        <w:ind w:start="6139" w:hanging="360"/>
      </w:pPr>
      <w:rPr/>
    </w:lvl>
    <w:lvl w:ilvl="8">
      <w:start w:val="1"/>
      <w:numFmt w:val="lowerRoman"/>
      <w:lvlText w:val="%9."/>
      <w:lvlJc w:val="end"/>
      <w:pPr>
        <w:tabs>
          <w:tab w:val="num" w:pos="0"/>
        </w:tabs>
        <w:ind w:start="6859" w:hanging="180"/>
      </w:pPr>
      <w:rPr/>
    </w:lvl>
  </w:abstractNum>
  <w:abstractNum w:abstractNumId="27">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28">
    <w:lvl w:ilvl="0">
      <w:start w:val="1"/>
      <w:numFmt w:val="bullet"/>
      <w:lvlText w:val=""/>
      <w:lvlJc w:val="start"/>
      <w:pPr>
        <w:tabs>
          <w:tab w:val="num" w:pos="0"/>
        </w:tabs>
        <w:ind w:start="1819" w:hanging="360"/>
      </w:pPr>
      <w:rPr>
        <w:rFonts w:ascii="Symbol" w:hAnsi="Symbol" w:cs="Symbol" w:hint="default"/>
      </w:rPr>
    </w:lvl>
    <w:lvl w:ilvl="1">
      <w:start w:val="1"/>
      <w:numFmt w:val="bullet"/>
      <w:lvlText w:val="o"/>
      <w:lvlJc w:val="start"/>
      <w:pPr>
        <w:tabs>
          <w:tab w:val="num" w:pos="0"/>
        </w:tabs>
        <w:ind w:start="2539" w:hanging="360"/>
      </w:pPr>
      <w:rPr>
        <w:rFonts w:ascii="Courier New" w:hAnsi="Courier New" w:cs="Courier New" w:hint="default"/>
      </w:rPr>
    </w:lvl>
    <w:lvl w:ilvl="2">
      <w:start w:val="1"/>
      <w:numFmt w:val="bullet"/>
      <w:lvlText w:val=""/>
      <w:lvlJc w:val="start"/>
      <w:pPr>
        <w:tabs>
          <w:tab w:val="num" w:pos="0"/>
        </w:tabs>
        <w:ind w:start="3259" w:hanging="360"/>
      </w:pPr>
      <w:rPr>
        <w:rFonts w:ascii="Wingdings" w:hAnsi="Wingdings" w:cs="Wingdings" w:hint="default"/>
      </w:rPr>
    </w:lvl>
    <w:lvl w:ilvl="3">
      <w:start w:val="1"/>
      <w:numFmt w:val="bullet"/>
      <w:lvlText w:val=""/>
      <w:lvlJc w:val="start"/>
      <w:pPr>
        <w:tabs>
          <w:tab w:val="num" w:pos="0"/>
        </w:tabs>
        <w:ind w:start="3979" w:hanging="360"/>
      </w:pPr>
      <w:rPr>
        <w:rFonts w:ascii="Symbol" w:hAnsi="Symbol" w:cs="Symbol" w:hint="default"/>
      </w:rPr>
    </w:lvl>
    <w:lvl w:ilvl="4">
      <w:start w:val="1"/>
      <w:numFmt w:val="bullet"/>
      <w:lvlText w:val="o"/>
      <w:lvlJc w:val="start"/>
      <w:pPr>
        <w:tabs>
          <w:tab w:val="num" w:pos="0"/>
        </w:tabs>
        <w:ind w:start="4699" w:hanging="360"/>
      </w:pPr>
      <w:rPr>
        <w:rFonts w:ascii="Courier New" w:hAnsi="Courier New" w:cs="Courier New" w:hint="default"/>
      </w:rPr>
    </w:lvl>
    <w:lvl w:ilvl="5">
      <w:start w:val="1"/>
      <w:numFmt w:val="bullet"/>
      <w:lvlText w:val=""/>
      <w:lvlJc w:val="start"/>
      <w:pPr>
        <w:tabs>
          <w:tab w:val="num" w:pos="0"/>
        </w:tabs>
        <w:ind w:start="5419" w:hanging="360"/>
      </w:pPr>
      <w:rPr>
        <w:rFonts w:ascii="Wingdings" w:hAnsi="Wingdings" w:cs="Wingdings" w:hint="default"/>
      </w:rPr>
    </w:lvl>
    <w:lvl w:ilvl="6">
      <w:start w:val="1"/>
      <w:numFmt w:val="bullet"/>
      <w:lvlText w:val=""/>
      <w:lvlJc w:val="start"/>
      <w:pPr>
        <w:tabs>
          <w:tab w:val="num" w:pos="0"/>
        </w:tabs>
        <w:ind w:start="6139" w:hanging="360"/>
      </w:pPr>
      <w:rPr>
        <w:rFonts w:ascii="Symbol" w:hAnsi="Symbol" w:cs="Symbol" w:hint="default"/>
      </w:rPr>
    </w:lvl>
    <w:lvl w:ilvl="7">
      <w:start w:val="1"/>
      <w:numFmt w:val="bullet"/>
      <w:lvlText w:val="o"/>
      <w:lvlJc w:val="start"/>
      <w:pPr>
        <w:tabs>
          <w:tab w:val="num" w:pos="0"/>
        </w:tabs>
        <w:ind w:start="6859" w:hanging="360"/>
      </w:pPr>
      <w:rPr>
        <w:rFonts w:ascii="Courier New" w:hAnsi="Courier New" w:cs="Courier New" w:hint="default"/>
      </w:rPr>
    </w:lvl>
    <w:lvl w:ilvl="8">
      <w:start w:val="1"/>
      <w:numFmt w:val="bullet"/>
      <w:lvlText w:val=""/>
      <w:lvlJc w:val="start"/>
      <w:pPr>
        <w:tabs>
          <w:tab w:val="num" w:pos="0"/>
        </w:tabs>
        <w:ind w:start="7579" w:hanging="360"/>
      </w:pPr>
      <w:rPr>
        <w:rFonts w:ascii="Wingdings" w:hAnsi="Wingdings" w:cs="Wingdings" w:hint="default"/>
      </w:rPr>
    </w:lvl>
  </w:abstractNum>
  <w:abstractNum w:abstractNumId="29">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0">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31">
    <w:lvl w:ilvl="0">
      <w:start w:val="1"/>
      <w:numFmt w:val="decimal"/>
      <w:lvlText w:val="2.%1"/>
      <w:lvlJc w:val="start"/>
      <w:pPr>
        <w:tabs>
          <w:tab w:val="num" w:pos="0"/>
        </w:tabs>
        <w:ind w:start="1099" w:hanging="360"/>
      </w:pPr>
      <w:rPr/>
    </w:lvl>
    <w:lvl w:ilvl="1">
      <w:start w:val="1"/>
      <w:numFmt w:val="lowerLetter"/>
      <w:lvlText w:val="%2."/>
      <w:lvlJc w:val="start"/>
      <w:pPr>
        <w:tabs>
          <w:tab w:val="num" w:pos="0"/>
        </w:tabs>
        <w:ind w:start="1819" w:hanging="360"/>
      </w:pPr>
      <w:rPr/>
    </w:lvl>
    <w:lvl w:ilvl="2">
      <w:start w:val="1"/>
      <w:numFmt w:val="lowerRoman"/>
      <w:lvlText w:val="%3."/>
      <w:lvlJc w:val="end"/>
      <w:pPr>
        <w:tabs>
          <w:tab w:val="num" w:pos="0"/>
        </w:tabs>
        <w:ind w:start="2539" w:hanging="180"/>
      </w:pPr>
      <w:rPr/>
    </w:lvl>
    <w:lvl w:ilvl="3">
      <w:start w:val="1"/>
      <w:numFmt w:val="decimal"/>
      <w:lvlText w:val="%4."/>
      <w:lvlJc w:val="start"/>
      <w:pPr>
        <w:tabs>
          <w:tab w:val="num" w:pos="0"/>
        </w:tabs>
        <w:ind w:start="3259" w:hanging="360"/>
      </w:pPr>
      <w:rPr/>
    </w:lvl>
    <w:lvl w:ilvl="4">
      <w:start w:val="1"/>
      <w:numFmt w:val="lowerLetter"/>
      <w:lvlText w:val="%5."/>
      <w:lvlJc w:val="start"/>
      <w:pPr>
        <w:tabs>
          <w:tab w:val="num" w:pos="0"/>
        </w:tabs>
        <w:ind w:start="3979" w:hanging="360"/>
      </w:pPr>
      <w:rPr/>
    </w:lvl>
    <w:lvl w:ilvl="5">
      <w:start w:val="1"/>
      <w:numFmt w:val="lowerRoman"/>
      <w:lvlText w:val="%6."/>
      <w:lvlJc w:val="end"/>
      <w:pPr>
        <w:tabs>
          <w:tab w:val="num" w:pos="0"/>
        </w:tabs>
        <w:ind w:start="4699" w:hanging="180"/>
      </w:pPr>
      <w:rPr/>
    </w:lvl>
    <w:lvl w:ilvl="6">
      <w:start w:val="1"/>
      <w:numFmt w:val="decimal"/>
      <w:lvlText w:val="%7."/>
      <w:lvlJc w:val="start"/>
      <w:pPr>
        <w:tabs>
          <w:tab w:val="num" w:pos="0"/>
        </w:tabs>
        <w:ind w:start="5419" w:hanging="360"/>
      </w:pPr>
      <w:rPr/>
    </w:lvl>
    <w:lvl w:ilvl="7">
      <w:start w:val="1"/>
      <w:numFmt w:val="lowerLetter"/>
      <w:lvlText w:val="%8."/>
      <w:lvlJc w:val="start"/>
      <w:pPr>
        <w:tabs>
          <w:tab w:val="num" w:pos="0"/>
        </w:tabs>
        <w:ind w:start="6139" w:hanging="360"/>
      </w:pPr>
      <w:rPr/>
    </w:lvl>
    <w:lvl w:ilvl="8">
      <w:start w:val="1"/>
      <w:numFmt w:val="lowerRoman"/>
      <w:lvlText w:val="%9."/>
      <w:lvlJc w:val="end"/>
      <w:pPr>
        <w:tabs>
          <w:tab w:val="num" w:pos="0"/>
        </w:tabs>
        <w:ind w:start="6859" w:hanging="180"/>
      </w:pPr>
      <w:rPr/>
    </w:lvl>
  </w:abstractNum>
  <w:abstractNum w:abstractNumId="3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3">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34">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3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6">
    <w:lvl w:ilvl="0">
      <w:start w:val="1"/>
      <w:numFmt w:val="bullet"/>
      <w:lvlText w:val=""/>
      <w:lvlJc w:val="start"/>
      <w:pPr>
        <w:tabs>
          <w:tab w:val="num" w:pos="0"/>
        </w:tabs>
        <w:ind w:start="1440" w:hanging="360"/>
      </w:pPr>
      <w:rPr>
        <w:rFonts w:ascii="Symbol" w:hAnsi="Symbol" w:cs="Symbol" w:hint="default"/>
      </w:rPr>
    </w:lvl>
    <w:lvl w:ilvl="1">
      <w:start w:val="1"/>
      <w:numFmt w:val="bullet"/>
      <w:lvlText w:val="o"/>
      <w:lvlJc w:val="start"/>
      <w:pPr>
        <w:tabs>
          <w:tab w:val="num" w:pos="0"/>
        </w:tabs>
        <w:ind w:start="2160" w:hanging="360"/>
      </w:pPr>
      <w:rPr>
        <w:rFonts w:ascii="Courier New" w:hAnsi="Courier New" w:cs="Courier New" w:hint="default"/>
      </w:rPr>
    </w:lvl>
    <w:lvl w:ilvl="2">
      <w:start w:val="1"/>
      <w:numFmt w:val="bullet"/>
      <w:lvlText w:val=""/>
      <w:lvlJc w:val="start"/>
      <w:pPr>
        <w:tabs>
          <w:tab w:val="num" w:pos="0"/>
        </w:tabs>
        <w:ind w:start="2880" w:hanging="360"/>
      </w:pPr>
      <w:rPr>
        <w:rFonts w:ascii="Wingdings" w:hAnsi="Wingdings" w:cs="Wingdings" w:hint="default"/>
      </w:rPr>
    </w:lvl>
    <w:lvl w:ilvl="3">
      <w:start w:val="1"/>
      <w:numFmt w:val="bullet"/>
      <w:lvlText w:val=""/>
      <w:lvlJc w:val="start"/>
      <w:pPr>
        <w:tabs>
          <w:tab w:val="num" w:pos="0"/>
        </w:tabs>
        <w:ind w:start="3600" w:hanging="360"/>
      </w:pPr>
      <w:rPr>
        <w:rFonts w:ascii="Symbol" w:hAnsi="Symbol" w:cs="Symbol" w:hint="default"/>
      </w:rPr>
    </w:lvl>
    <w:lvl w:ilvl="4">
      <w:start w:val="1"/>
      <w:numFmt w:val="bullet"/>
      <w:lvlText w:val="o"/>
      <w:lvlJc w:val="start"/>
      <w:pPr>
        <w:tabs>
          <w:tab w:val="num" w:pos="0"/>
        </w:tabs>
        <w:ind w:start="4320" w:hanging="360"/>
      </w:pPr>
      <w:rPr>
        <w:rFonts w:ascii="Courier New" w:hAnsi="Courier New" w:cs="Courier New" w:hint="default"/>
      </w:rPr>
    </w:lvl>
    <w:lvl w:ilvl="5">
      <w:start w:val="1"/>
      <w:numFmt w:val="bullet"/>
      <w:lvlText w:val=""/>
      <w:lvlJc w:val="start"/>
      <w:pPr>
        <w:tabs>
          <w:tab w:val="num" w:pos="0"/>
        </w:tabs>
        <w:ind w:start="5040" w:hanging="360"/>
      </w:pPr>
      <w:rPr>
        <w:rFonts w:ascii="Wingdings" w:hAnsi="Wingdings" w:cs="Wingdings" w:hint="default"/>
      </w:rPr>
    </w:lvl>
    <w:lvl w:ilvl="6">
      <w:start w:val="1"/>
      <w:numFmt w:val="bullet"/>
      <w:lvlText w:val=""/>
      <w:lvlJc w:val="start"/>
      <w:pPr>
        <w:tabs>
          <w:tab w:val="num" w:pos="0"/>
        </w:tabs>
        <w:ind w:start="5760" w:hanging="360"/>
      </w:pPr>
      <w:rPr>
        <w:rFonts w:ascii="Symbol" w:hAnsi="Symbol" w:cs="Symbol" w:hint="default"/>
      </w:rPr>
    </w:lvl>
    <w:lvl w:ilvl="7">
      <w:start w:val="1"/>
      <w:numFmt w:val="bullet"/>
      <w:lvlText w:val="o"/>
      <w:lvlJc w:val="start"/>
      <w:pPr>
        <w:tabs>
          <w:tab w:val="num" w:pos="0"/>
        </w:tabs>
        <w:ind w:start="6480" w:hanging="360"/>
      </w:pPr>
      <w:rPr>
        <w:rFonts w:ascii="Courier New" w:hAnsi="Courier New" w:cs="Courier New" w:hint="default"/>
      </w:rPr>
    </w:lvl>
    <w:lvl w:ilvl="8">
      <w:start w:val="1"/>
      <w:numFmt w:val="bullet"/>
      <w:lvlText w:val=""/>
      <w:lvlJc w:val="start"/>
      <w:pPr>
        <w:tabs>
          <w:tab w:val="num" w:pos="0"/>
        </w:tabs>
        <w:ind w:start="7200" w:hanging="360"/>
      </w:pPr>
      <w:rPr>
        <w:rFonts w:ascii="Wingdings" w:hAnsi="Wingdings" w:cs="Wingdings" w:hint="default"/>
      </w:rPr>
    </w:lvl>
  </w:abstractNum>
  <w:abstractNum w:abstractNumId="37">
    <w:lvl w:ilvl="0">
      <w:start w:val="1"/>
      <w:numFmt w:val="bullet"/>
      <w:lvlText w:val=""/>
      <w:lvlJc w:val="start"/>
      <w:pPr>
        <w:tabs>
          <w:tab w:val="num" w:pos="0"/>
        </w:tabs>
        <w:ind w:start="1440" w:hanging="360"/>
      </w:pPr>
      <w:rPr>
        <w:rFonts w:ascii="Symbol" w:hAnsi="Symbol" w:cs="Symbol" w:hint="default"/>
      </w:rPr>
    </w:lvl>
    <w:lvl w:ilvl="1">
      <w:start w:val="1"/>
      <w:numFmt w:val="bullet"/>
      <w:lvlText w:val="o"/>
      <w:lvlJc w:val="start"/>
      <w:pPr>
        <w:tabs>
          <w:tab w:val="num" w:pos="0"/>
        </w:tabs>
        <w:ind w:start="2160" w:hanging="360"/>
      </w:pPr>
      <w:rPr>
        <w:rFonts w:ascii="Courier New" w:hAnsi="Courier New" w:cs="Courier New" w:hint="default"/>
      </w:rPr>
    </w:lvl>
    <w:lvl w:ilvl="2">
      <w:start w:val="1"/>
      <w:numFmt w:val="bullet"/>
      <w:lvlText w:val=""/>
      <w:lvlJc w:val="start"/>
      <w:pPr>
        <w:tabs>
          <w:tab w:val="num" w:pos="0"/>
        </w:tabs>
        <w:ind w:start="2880" w:hanging="360"/>
      </w:pPr>
      <w:rPr>
        <w:rFonts w:ascii="Wingdings" w:hAnsi="Wingdings" w:cs="Wingdings" w:hint="default"/>
      </w:rPr>
    </w:lvl>
    <w:lvl w:ilvl="3">
      <w:start w:val="1"/>
      <w:numFmt w:val="bullet"/>
      <w:lvlText w:val=""/>
      <w:lvlJc w:val="start"/>
      <w:pPr>
        <w:tabs>
          <w:tab w:val="num" w:pos="0"/>
        </w:tabs>
        <w:ind w:start="3600" w:hanging="360"/>
      </w:pPr>
      <w:rPr>
        <w:rFonts w:ascii="Symbol" w:hAnsi="Symbol" w:cs="Symbol" w:hint="default"/>
      </w:rPr>
    </w:lvl>
    <w:lvl w:ilvl="4">
      <w:start w:val="1"/>
      <w:numFmt w:val="bullet"/>
      <w:lvlText w:val="o"/>
      <w:lvlJc w:val="start"/>
      <w:pPr>
        <w:tabs>
          <w:tab w:val="num" w:pos="0"/>
        </w:tabs>
        <w:ind w:start="4320" w:hanging="360"/>
      </w:pPr>
      <w:rPr>
        <w:rFonts w:ascii="Courier New" w:hAnsi="Courier New" w:cs="Courier New" w:hint="default"/>
      </w:rPr>
    </w:lvl>
    <w:lvl w:ilvl="5">
      <w:start w:val="1"/>
      <w:numFmt w:val="bullet"/>
      <w:lvlText w:val=""/>
      <w:lvlJc w:val="start"/>
      <w:pPr>
        <w:tabs>
          <w:tab w:val="num" w:pos="0"/>
        </w:tabs>
        <w:ind w:start="5040" w:hanging="360"/>
      </w:pPr>
      <w:rPr>
        <w:rFonts w:ascii="Wingdings" w:hAnsi="Wingdings" w:cs="Wingdings" w:hint="default"/>
      </w:rPr>
    </w:lvl>
    <w:lvl w:ilvl="6">
      <w:start w:val="1"/>
      <w:numFmt w:val="bullet"/>
      <w:lvlText w:val=""/>
      <w:lvlJc w:val="start"/>
      <w:pPr>
        <w:tabs>
          <w:tab w:val="num" w:pos="0"/>
        </w:tabs>
        <w:ind w:start="5760" w:hanging="360"/>
      </w:pPr>
      <w:rPr>
        <w:rFonts w:ascii="Symbol" w:hAnsi="Symbol" w:cs="Symbol" w:hint="default"/>
      </w:rPr>
    </w:lvl>
    <w:lvl w:ilvl="7">
      <w:start w:val="1"/>
      <w:numFmt w:val="bullet"/>
      <w:lvlText w:val="o"/>
      <w:lvlJc w:val="start"/>
      <w:pPr>
        <w:tabs>
          <w:tab w:val="num" w:pos="0"/>
        </w:tabs>
        <w:ind w:start="6480" w:hanging="360"/>
      </w:pPr>
      <w:rPr>
        <w:rFonts w:ascii="Courier New" w:hAnsi="Courier New" w:cs="Courier New" w:hint="default"/>
      </w:rPr>
    </w:lvl>
    <w:lvl w:ilvl="8">
      <w:start w:val="1"/>
      <w:numFmt w:val="bullet"/>
      <w:lvlText w:val=""/>
      <w:lvlJc w:val="start"/>
      <w:pPr>
        <w:tabs>
          <w:tab w:val="num" w:pos="0"/>
        </w:tabs>
        <w:ind w:start="7200" w:hanging="360"/>
      </w:pPr>
      <w:rPr>
        <w:rFonts w:ascii="Wingdings" w:hAnsi="Wingdings" w:cs="Wingdings" w:hint="default"/>
      </w:rPr>
    </w:lvl>
  </w:abstractNum>
  <w:abstractNum w:abstractNumId="3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9">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40">
    <w:lvl w:ilvl="0">
      <w:start w:val="1"/>
      <w:numFmt w:val="decimal"/>
      <w:lvlText w:val="3.%1"/>
      <w:lvlJc w:val="start"/>
      <w:pPr>
        <w:tabs>
          <w:tab w:val="num" w:pos="0"/>
        </w:tabs>
        <w:ind w:start="1478"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1">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4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3">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4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5">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46">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7">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48">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49">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50">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51">
    <w:lvl w:ilvl="0">
      <w:start w:val="1"/>
      <w:numFmt w:val="bullet"/>
      <w:lvlText w:val=""/>
      <w:lvlJc w:val="start"/>
      <w:pPr>
        <w:tabs>
          <w:tab w:val="num" w:pos="0"/>
        </w:tabs>
        <w:ind w:start="1099" w:hanging="360"/>
      </w:pPr>
      <w:rPr>
        <w:rFonts w:ascii="Symbol" w:hAnsi="Symbol" w:cs="Symbol" w:hint="default"/>
      </w:rPr>
    </w:lvl>
    <w:lvl w:ilvl="1">
      <w:start w:val="1"/>
      <w:numFmt w:val="bullet"/>
      <w:lvlText w:val="o"/>
      <w:lvlJc w:val="start"/>
      <w:pPr>
        <w:tabs>
          <w:tab w:val="num" w:pos="0"/>
        </w:tabs>
        <w:ind w:start="1819" w:hanging="360"/>
      </w:pPr>
      <w:rPr>
        <w:rFonts w:ascii="Courier New" w:hAnsi="Courier New" w:cs="Courier New" w:hint="default"/>
      </w:rPr>
    </w:lvl>
    <w:lvl w:ilvl="2">
      <w:start w:val="1"/>
      <w:numFmt w:val="bullet"/>
      <w:lvlText w:val=""/>
      <w:lvlJc w:val="start"/>
      <w:pPr>
        <w:tabs>
          <w:tab w:val="num" w:pos="0"/>
        </w:tabs>
        <w:ind w:start="2539" w:hanging="360"/>
      </w:pPr>
      <w:rPr>
        <w:rFonts w:ascii="Wingdings" w:hAnsi="Wingdings" w:cs="Wingdings" w:hint="default"/>
      </w:rPr>
    </w:lvl>
    <w:lvl w:ilvl="3">
      <w:start w:val="1"/>
      <w:numFmt w:val="bullet"/>
      <w:lvlText w:val=""/>
      <w:lvlJc w:val="start"/>
      <w:pPr>
        <w:tabs>
          <w:tab w:val="num" w:pos="0"/>
        </w:tabs>
        <w:ind w:start="3259" w:hanging="360"/>
      </w:pPr>
      <w:rPr>
        <w:rFonts w:ascii="Symbol" w:hAnsi="Symbol" w:cs="Symbol" w:hint="default"/>
      </w:rPr>
    </w:lvl>
    <w:lvl w:ilvl="4">
      <w:start w:val="1"/>
      <w:numFmt w:val="bullet"/>
      <w:lvlText w:val="o"/>
      <w:lvlJc w:val="start"/>
      <w:pPr>
        <w:tabs>
          <w:tab w:val="num" w:pos="0"/>
        </w:tabs>
        <w:ind w:start="3979" w:hanging="360"/>
      </w:pPr>
      <w:rPr>
        <w:rFonts w:ascii="Courier New" w:hAnsi="Courier New" w:cs="Courier New" w:hint="default"/>
      </w:rPr>
    </w:lvl>
    <w:lvl w:ilvl="5">
      <w:start w:val="1"/>
      <w:numFmt w:val="bullet"/>
      <w:lvlText w:val=""/>
      <w:lvlJc w:val="start"/>
      <w:pPr>
        <w:tabs>
          <w:tab w:val="num" w:pos="0"/>
        </w:tabs>
        <w:ind w:start="4699" w:hanging="360"/>
      </w:pPr>
      <w:rPr>
        <w:rFonts w:ascii="Wingdings" w:hAnsi="Wingdings" w:cs="Wingdings" w:hint="default"/>
      </w:rPr>
    </w:lvl>
    <w:lvl w:ilvl="6">
      <w:start w:val="1"/>
      <w:numFmt w:val="bullet"/>
      <w:lvlText w:val=""/>
      <w:lvlJc w:val="start"/>
      <w:pPr>
        <w:tabs>
          <w:tab w:val="num" w:pos="0"/>
        </w:tabs>
        <w:ind w:start="5419" w:hanging="360"/>
      </w:pPr>
      <w:rPr>
        <w:rFonts w:ascii="Symbol" w:hAnsi="Symbol" w:cs="Symbol" w:hint="default"/>
      </w:rPr>
    </w:lvl>
    <w:lvl w:ilvl="7">
      <w:start w:val="1"/>
      <w:numFmt w:val="bullet"/>
      <w:lvlText w:val="o"/>
      <w:lvlJc w:val="start"/>
      <w:pPr>
        <w:tabs>
          <w:tab w:val="num" w:pos="0"/>
        </w:tabs>
        <w:ind w:start="6139" w:hanging="360"/>
      </w:pPr>
      <w:rPr>
        <w:rFonts w:ascii="Courier New" w:hAnsi="Courier New" w:cs="Courier New" w:hint="default"/>
      </w:rPr>
    </w:lvl>
    <w:lvl w:ilvl="8">
      <w:start w:val="1"/>
      <w:numFmt w:val="bullet"/>
      <w:lvlText w:val=""/>
      <w:lvlJc w:val="start"/>
      <w:pPr>
        <w:tabs>
          <w:tab w:val="num" w:pos="0"/>
        </w:tabs>
        <w:ind w:start="6859" w:hanging="360"/>
      </w:pPr>
      <w:rPr>
        <w:rFonts w:ascii="Wingdings" w:hAnsi="Wingdings" w:cs="Wingdings" w:hint="default"/>
      </w:rPr>
    </w:lvl>
  </w:abstractNum>
  <w:abstractNum w:abstractNumId="52">
    <w:lvl w:ilvl="0">
      <w:start w:val="1"/>
      <w:numFmt w:val="bullet"/>
      <w:lvlText w:val=""/>
      <w:lvlJc w:val="start"/>
      <w:pPr>
        <w:tabs>
          <w:tab w:val="num" w:pos="0"/>
        </w:tabs>
        <w:ind w:start="1819" w:hanging="360"/>
      </w:pPr>
      <w:rPr>
        <w:rFonts w:ascii="Symbol" w:hAnsi="Symbol" w:cs="Symbol" w:hint="default"/>
      </w:rPr>
    </w:lvl>
    <w:lvl w:ilvl="1">
      <w:start w:val="1"/>
      <w:numFmt w:val="bullet"/>
      <w:lvlText w:val="o"/>
      <w:lvlJc w:val="start"/>
      <w:pPr>
        <w:tabs>
          <w:tab w:val="num" w:pos="0"/>
        </w:tabs>
        <w:ind w:start="2539" w:hanging="360"/>
      </w:pPr>
      <w:rPr>
        <w:rFonts w:ascii="Courier New" w:hAnsi="Courier New" w:cs="Courier New" w:hint="default"/>
      </w:rPr>
    </w:lvl>
    <w:lvl w:ilvl="2">
      <w:start w:val="1"/>
      <w:numFmt w:val="bullet"/>
      <w:lvlText w:val=""/>
      <w:lvlJc w:val="start"/>
      <w:pPr>
        <w:tabs>
          <w:tab w:val="num" w:pos="0"/>
        </w:tabs>
        <w:ind w:start="3259" w:hanging="360"/>
      </w:pPr>
      <w:rPr>
        <w:rFonts w:ascii="Wingdings" w:hAnsi="Wingdings" w:cs="Wingdings" w:hint="default"/>
      </w:rPr>
    </w:lvl>
    <w:lvl w:ilvl="3">
      <w:start w:val="1"/>
      <w:numFmt w:val="bullet"/>
      <w:lvlText w:val=""/>
      <w:lvlJc w:val="start"/>
      <w:pPr>
        <w:tabs>
          <w:tab w:val="num" w:pos="0"/>
        </w:tabs>
        <w:ind w:start="3979" w:hanging="360"/>
      </w:pPr>
      <w:rPr>
        <w:rFonts w:ascii="Symbol" w:hAnsi="Symbol" w:cs="Symbol" w:hint="default"/>
      </w:rPr>
    </w:lvl>
    <w:lvl w:ilvl="4">
      <w:start w:val="1"/>
      <w:numFmt w:val="bullet"/>
      <w:lvlText w:val="o"/>
      <w:lvlJc w:val="start"/>
      <w:pPr>
        <w:tabs>
          <w:tab w:val="num" w:pos="0"/>
        </w:tabs>
        <w:ind w:start="4699" w:hanging="360"/>
      </w:pPr>
      <w:rPr>
        <w:rFonts w:ascii="Courier New" w:hAnsi="Courier New" w:cs="Courier New" w:hint="default"/>
      </w:rPr>
    </w:lvl>
    <w:lvl w:ilvl="5">
      <w:start w:val="1"/>
      <w:numFmt w:val="bullet"/>
      <w:lvlText w:val=""/>
      <w:lvlJc w:val="start"/>
      <w:pPr>
        <w:tabs>
          <w:tab w:val="num" w:pos="0"/>
        </w:tabs>
        <w:ind w:start="5419" w:hanging="360"/>
      </w:pPr>
      <w:rPr>
        <w:rFonts w:ascii="Wingdings" w:hAnsi="Wingdings" w:cs="Wingdings" w:hint="default"/>
      </w:rPr>
    </w:lvl>
    <w:lvl w:ilvl="6">
      <w:start w:val="1"/>
      <w:numFmt w:val="bullet"/>
      <w:lvlText w:val=""/>
      <w:lvlJc w:val="start"/>
      <w:pPr>
        <w:tabs>
          <w:tab w:val="num" w:pos="0"/>
        </w:tabs>
        <w:ind w:start="6139" w:hanging="360"/>
      </w:pPr>
      <w:rPr>
        <w:rFonts w:ascii="Symbol" w:hAnsi="Symbol" w:cs="Symbol" w:hint="default"/>
      </w:rPr>
    </w:lvl>
    <w:lvl w:ilvl="7">
      <w:start w:val="1"/>
      <w:numFmt w:val="bullet"/>
      <w:lvlText w:val="o"/>
      <w:lvlJc w:val="start"/>
      <w:pPr>
        <w:tabs>
          <w:tab w:val="num" w:pos="0"/>
        </w:tabs>
        <w:ind w:start="6859" w:hanging="360"/>
      </w:pPr>
      <w:rPr>
        <w:rFonts w:ascii="Courier New" w:hAnsi="Courier New" w:cs="Courier New" w:hint="default"/>
      </w:rPr>
    </w:lvl>
    <w:lvl w:ilvl="8">
      <w:start w:val="1"/>
      <w:numFmt w:val="bullet"/>
      <w:lvlText w:val=""/>
      <w:lvlJc w:val="start"/>
      <w:pPr>
        <w:tabs>
          <w:tab w:val="num" w:pos="0"/>
        </w:tabs>
        <w:ind w:start="7579" w:hanging="360"/>
      </w:pPr>
      <w:rPr>
        <w:rFonts w:ascii="Wingdings" w:hAnsi="Wingdings" w:cs="Wingdings" w:hint="default"/>
      </w:rPr>
    </w:lvl>
  </w:abstractNum>
  <w:abstractNum w:abstractNumId="53">
    <w:lvl w:ilvl="0">
      <w:start w:val="1"/>
      <w:numFmt w:val="bullet"/>
      <w:lvlText w:val=""/>
      <w:lvlJc w:val="start"/>
      <w:pPr>
        <w:tabs>
          <w:tab w:val="num" w:pos="0"/>
        </w:tabs>
        <w:ind w:start="2539" w:hanging="360"/>
      </w:pPr>
      <w:rPr>
        <w:rFonts w:ascii="Symbol" w:hAnsi="Symbol" w:cs="Symbol" w:hint="default"/>
      </w:rPr>
    </w:lvl>
    <w:lvl w:ilvl="1">
      <w:start w:val="1"/>
      <w:numFmt w:val="bullet"/>
      <w:lvlText w:val="o"/>
      <w:lvlJc w:val="start"/>
      <w:pPr>
        <w:tabs>
          <w:tab w:val="num" w:pos="0"/>
        </w:tabs>
        <w:ind w:start="3259" w:hanging="360"/>
      </w:pPr>
      <w:rPr>
        <w:rFonts w:ascii="Courier New" w:hAnsi="Courier New" w:cs="Courier New" w:hint="default"/>
      </w:rPr>
    </w:lvl>
    <w:lvl w:ilvl="2">
      <w:start w:val="1"/>
      <w:numFmt w:val="bullet"/>
      <w:lvlText w:val=""/>
      <w:lvlJc w:val="start"/>
      <w:pPr>
        <w:tabs>
          <w:tab w:val="num" w:pos="0"/>
        </w:tabs>
        <w:ind w:start="3979" w:hanging="360"/>
      </w:pPr>
      <w:rPr>
        <w:rFonts w:ascii="Wingdings" w:hAnsi="Wingdings" w:cs="Wingdings" w:hint="default"/>
      </w:rPr>
    </w:lvl>
    <w:lvl w:ilvl="3">
      <w:start w:val="1"/>
      <w:numFmt w:val="bullet"/>
      <w:lvlText w:val=""/>
      <w:lvlJc w:val="start"/>
      <w:pPr>
        <w:tabs>
          <w:tab w:val="num" w:pos="0"/>
        </w:tabs>
        <w:ind w:start="4699" w:hanging="360"/>
      </w:pPr>
      <w:rPr>
        <w:rFonts w:ascii="Symbol" w:hAnsi="Symbol" w:cs="Symbol" w:hint="default"/>
      </w:rPr>
    </w:lvl>
    <w:lvl w:ilvl="4">
      <w:start w:val="1"/>
      <w:numFmt w:val="bullet"/>
      <w:lvlText w:val="o"/>
      <w:lvlJc w:val="start"/>
      <w:pPr>
        <w:tabs>
          <w:tab w:val="num" w:pos="0"/>
        </w:tabs>
        <w:ind w:start="5419" w:hanging="360"/>
      </w:pPr>
      <w:rPr>
        <w:rFonts w:ascii="Courier New" w:hAnsi="Courier New" w:cs="Courier New" w:hint="default"/>
      </w:rPr>
    </w:lvl>
    <w:lvl w:ilvl="5">
      <w:start w:val="1"/>
      <w:numFmt w:val="bullet"/>
      <w:lvlText w:val=""/>
      <w:lvlJc w:val="start"/>
      <w:pPr>
        <w:tabs>
          <w:tab w:val="num" w:pos="0"/>
        </w:tabs>
        <w:ind w:start="6139" w:hanging="360"/>
      </w:pPr>
      <w:rPr>
        <w:rFonts w:ascii="Wingdings" w:hAnsi="Wingdings" w:cs="Wingdings" w:hint="default"/>
      </w:rPr>
    </w:lvl>
    <w:lvl w:ilvl="6">
      <w:start w:val="1"/>
      <w:numFmt w:val="bullet"/>
      <w:lvlText w:val=""/>
      <w:lvlJc w:val="start"/>
      <w:pPr>
        <w:tabs>
          <w:tab w:val="num" w:pos="0"/>
        </w:tabs>
        <w:ind w:start="6859" w:hanging="360"/>
      </w:pPr>
      <w:rPr>
        <w:rFonts w:ascii="Symbol" w:hAnsi="Symbol" w:cs="Symbol" w:hint="default"/>
      </w:rPr>
    </w:lvl>
    <w:lvl w:ilvl="7">
      <w:start w:val="1"/>
      <w:numFmt w:val="bullet"/>
      <w:lvlText w:val="o"/>
      <w:lvlJc w:val="start"/>
      <w:pPr>
        <w:tabs>
          <w:tab w:val="num" w:pos="0"/>
        </w:tabs>
        <w:ind w:start="7579" w:hanging="360"/>
      </w:pPr>
      <w:rPr>
        <w:rFonts w:ascii="Courier New" w:hAnsi="Courier New" w:cs="Courier New" w:hint="default"/>
      </w:rPr>
    </w:lvl>
    <w:lvl w:ilvl="8">
      <w:start w:val="1"/>
      <w:numFmt w:val="bullet"/>
      <w:lvlText w:val=""/>
      <w:lvlJc w:val="start"/>
      <w:pPr>
        <w:tabs>
          <w:tab w:val="num" w:pos="0"/>
        </w:tabs>
        <w:ind w:start="8299" w:hanging="360"/>
      </w:pPr>
      <w:rPr>
        <w:rFonts w:ascii="Wingdings" w:hAnsi="Wingdings" w:cs="Wingdings" w:hint="default"/>
      </w:rPr>
    </w:lvl>
  </w:abstractNum>
  <w:abstractNum w:abstractNumId="5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56">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5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58">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59">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1">
    <w:lvl w:ilvl="0">
      <w:start w:val="1"/>
      <w:numFmt w:val="bullet"/>
      <w:lvlText w:val=""/>
      <w:lvlJc w:val="start"/>
      <w:pPr>
        <w:tabs>
          <w:tab w:val="num" w:pos="0"/>
        </w:tabs>
        <w:ind w:start="1425" w:hanging="360"/>
      </w:pPr>
      <w:rPr>
        <w:rFonts w:ascii="Symbol" w:hAnsi="Symbol" w:cs="Symbol" w:hint="default"/>
      </w:rPr>
    </w:lvl>
    <w:lvl w:ilvl="1">
      <w:start w:val="1"/>
      <w:numFmt w:val="bullet"/>
      <w:lvlText w:val="o"/>
      <w:lvlJc w:val="start"/>
      <w:pPr>
        <w:tabs>
          <w:tab w:val="num" w:pos="0"/>
        </w:tabs>
        <w:ind w:start="2145" w:hanging="360"/>
      </w:pPr>
      <w:rPr>
        <w:rFonts w:ascii="Courier New" w:hAnsi="Courier New" w:cs="Courier New" w:hint="default"/>
      </w:rPr>
    </w:lvl>
    <w:lvl w:ilvl="2">
      <w:start w:val="1"/>
      <w:numFmt w:val="bullet"/>
      <w:lvlText w:val=""/>
      <w:lvlJc w:val="start"/>
      <w:pPr>
        <w:tabs>
          <w:tab w:val="num" w:pos="0"/>
        </w:tabs>
        <w:ind w:start="2865" w:hanging="360"/>
      </w:pPr>
      <w:rPr>
        <w:rFonts w:ascii="Wingdings" w:hAnsi="Wingdings" w:cs="Wingdings" w:hint="default"/>
      </w:rPr>
    </w:lvl>
    <w:lvl w:ilvl="3">
      <w:start w:val="1"/>
      <w:numFmt w:val="bullet"/>
      <w:lvlText w:val=""/>
      <w:lvlJc w:val="start"/>
      <w:pPr>
        <w:tabs>
          <w:tab w:val="num" w:pos="0"/>
        </w:tabs>
        <w:ind w:start="3585" w:hanging="360"/>
      </w:pPr>
      <w:rPr>
        <w:rFonts w:ascii="Symbol" w:hAnsi="Symbol" w:cs="Symbol" w:hint="default"/>
      </w:rPr>
    </w:lvl>
    <w:lvl w:ilvl="4">
      <w:start w:val="1"/>
      <w:numFmt w:val="bullet"/>
      <w:lvlText w:val="o"/>
      <w:lvlJc w:val="start"/>
      <w:pPr>
        <w:tabs>
          <w:tab w:val="num" w:pos="0"/>
        </w:tabs>
        <w:ind w:start="4305" w:hanging="360"/>
      </w:pPr>
      <w:rPr>
        <w:rFonts w:ascii="Courier New" w:hAnsi="Courier New" w:cs="Courier New" w:hint="default"/>
      </w:rPr>
    </w:lvl>
    <w:lvl w:ilvl="5">
      <w:start w:val="1"/>
      <w:numFmt w:val="bullet"/>
      <w:lvlText w:val=""/>
      <w:lvlJc w:val="start"/>
      <w:pPr>
        <w:tabs>
          <w:tab w:val="num" w:pos="0"/>
        </w:tabs>
        <w:ind w:start="5025" w:hanging="360"/>
      </w:pPr>
      <w:rPr>
        <w:rFonts w:ascii="Wingdings" w:hAnsi="Wingdings" w:cs="Wingdings" w:hint="default"/>
      </w:rPr>
    </w:lvl>
    <w:lvl w:ilvl="6">
      <w:start w:val="1"/>
      <w:numFmt w:val="bullet"/>
      <w:lvlText w:val=""/>
      <w:lvlJc w:val="start"/>
      <w:pPr>
        <w:tabs>
          <w:tab w:val="num" w:pos="0"/>
        </w:tabs>
        <w:ind w:start="5745" w:hanging="360"/>
      </w:pPr>
      <w:rPr>
        <w:rFonts w:ascii="Symbol" w:hAnsi="Symbol" w:cs="Symbol" w:hint="default"/>
      </w:rPr>
    </w:lvl>
    <w:lvl w:ilvl="7">
      <w:start w:val="1"/>
      <w:numFmt w:val="bullet"/>
      <w:lvlText w:val="o"/>
      <w:lvlJc w:val="start"/>
      <w:pPr>
        <w:tabs>
          <w:tab w:val="num" w:pos="0"/>
        </w:tabs>
        <w:ind w:start="6465" w:hanging="360"/>
      </w:pPr>
      <w:rPr>
        <w:rFonts w:ascii="Courier New" w:hAnsi="Courier New" w:cs="Courier New" w:hint="default"/>
      </w:rPr>
    </w:lvl>
    <w:lvl w:ilvl="8">
      <w:start w:val="1"/>
      <w:numFmt w:val="bullet"/>
      <w:lvlText w:val=""/>
      <w:lvlJc w:val="start"/>
      <w:pPr>
        <w:tabs>
          <w:tab w:val="num" w:pos="0"/>
        </w:tabs>
        <w:ind w:start="7185" w:hanging="360"/>
      </w:pPr>
      <w:rPr>
        <w:rFonts w:ascii="Wingdings" w:hAnsi="Wingdings" w:cs="Wingdings" w:hint="default"/>
      </w:rPr>
    </w:lvl>
  </w:abstractNum>
  <w:abstractNum w:abstractNumId="62">
    <w:lvl w:ilvl="0">
      <w:start w:val="1"/>
      <w:numFmt w:val="bullet"/>
      <w:lvlText w:val=""/>
      <w:lvlJc w:val="start"/>
      <w:pPr>
        <w:tabs>
          <w:tab w:val="num" w:pos="0"/>
        </w:tabs>
        <w:ind w:start="720" w:hanging="360"/>
      </w:pPr>
      <w:rPr>
        <w:rFonts w:ascii="Symbol" w:hAnsi="Symbol" w:cs="Symbol" w:hint="default"/>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4">
    <w:lvl w:ilvl="0">
      <w:start w:val="1"/>
      <w:numFmt w:val="bullet"/>
      <w:lvlText w:val=""/>
      <w:lvlJc w:val="start"/>
      <w:pPr>
        <w:tabs>
          <w:tab w:val="num" w:pos="0"/>
        </w:tabs>
        <w:ind w:start="1080" w:hanging="360"/>
      </w:pPr>
      <w:rPr>
        <w:rFonts w:ascii="Symbol" w:hAnsi="Symbol" w:cs="Symbol"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6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6">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7">
    <w:lvl w:ilvl="0">
      <w:start w:val="1"/>
      <w:numFmt w:val="decimal"/>
      <w:lvlText w:val="%1."/>
      <w:lvlJc w:val="start"/>
      <w:pPr>
        <w:tabs>
          <w:tab w:val="num" w:pos="0"/>
        </w:tabs>
        <w:ind w:start="720" w:hanging="360"/>
      </w:pPr>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8">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9">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0">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b7d10"/>
    <w:pPr>
      <w:widowControl/>
      <w:bidi w:val="0"/>
      <w:spacing w:lineRule="auto" w:line="240" w:before="120" w:after="120"/>
      <w:jc w:val="both"/>
    </w:pPr>
    <w:rPr>
      <w:rFonts w:ascii="Times New Roman" w:hAnsi="Times New Roman" w:eastAsia="Arial" w:cs="" w:cstheme="minorBidi" w:eastAsiaTheme="minorHAnsi"/>
      <w:color w:val="auto"/>
      <w:kern w:val="0"/>
      <w:sz w:val="24"/>
      <w:szCs w:val="24"/>
      <w:lang w:eastAsia="ru-RU" w:val="ru-RU" w:bidi="ar-SA"/>
    </w:rPr>
  </w:style>
  <w:style w:type="paragraph" w:styleId="Heading1">
    <w:name w:val="heading 1"/>
    <w:basedOn w:val="Normal"/>
    <w:next w:val="Normal"/>
    <w:link w:val="1"/>
    <w:qFormat/>
    <w:rsid w:val="002b7d10"/>
    <w:pPr>
      <w:keepNext w:val="true"/>
      <w:numPr>
        <w:ilvl w:val="0"/>
        <w:numId w:val="2"/>
      </w:numPr>
      <w:spacing w:before="240" w:after="60"/>
      <w:jc w:val="start"/>
      <w:outlineLvl w:val="0"/>
    </w:pPr>
    <w:rPr>
      <w:rFonts w:ascii="Arial" w:hAnsi="Arial" w:eastAsia="Times New Roman" w:cs="Arial"/>
      <w:b/>
      <w:bCs/>
      <w:kern w:val="2"/>
      <w:sz w:val="32"/>
      <w:szCs w:val="32"/>
    </w:rPr>
  </w:style>
  <w:style w:type="paragraph" w:styleId="Heading2">
    <w:name w:val="heading 2"/>
    <w:basedOn w:val="Normal"/>
    <w:next w:val="Normal"/>
    <w:link w:val="2"/>
    <w:qFormat/>
    <w:rsid w:val="002b7d10"/>
    <w:pPr>
      <w:keepNext w:val="true"/>
      <w:numPr>
        <w:ilvl w:val="1"/>
        <w:numId w:val="2"/>
      </w:numPr>
      <w:spacing w:before="240" w:after="60"/>
      <w:jc w:val="start"/>
      <w:outlineLvl w:val="1"/>
    </w:pPr>
    <w:rPr>
      <w:rFonts w:ascii="Arial" w:hAnsi="Arial" w:eastAsia="Times New Roman" w:cs="Arial"/>
      <w:b/>
      <w:bCs/>
      <w:i/>
      <w:iCs/>
      <w:sz w:val="28"/>
      <w:szCs w:val="28"/>
    </w:rPr>
  </w:style>
  <w:style w:type="paragraph" w:styleId="Heading3">
    <w:name w:val="heading 3"/>
    <w:basedOn w:val="Normal"/>
    <w:next w:val="Normal"/>
    <w:link w:val="3"/>
    <w:qFormat/>
    <w:rsid w:val="002b7d10"/>
    <w:pPr>
      <w:keepNext w:val="true"/>
      <w:numPr>
        <w:ilvl w:val="2"/>
        <w:numId w:val="2"/>
      </w:numPr>
      <w:spacing w:before="240" w:after="60"/>
      <w:jc w:val="start"/>
      <w:outlineLvl w:val="2"/>
    </w:pPr>
    <w:rPr>
      <w:rFonts w:ascii="Arial" w:hAnsi="Arial" w:eastAsia="Times New Roman" w:cs="Arial"/>
      <w:b/>
      <w:bCs/>
      <w:sz w:val="26"/>
      <w:szCs w:val="26"/>
    </w:rPr>
  </w:style>
  <w:style w:type="paragraph" w:styleId="Heading4">
    <w:name w:val="heading 4"/>
    <w:basedOn w:val="Normal"/>
    <w:next w:val="Normal"/>
    <w:link w:val="4"/>
    <w:qFormat/>
    <w:rsid w:val="002b7d10"/>
    <w:pPr>
      <w:keepNext w:val="true"/>
      <w:widowControl w:val="false"/>
      <w:numPr>
        <w:ilvl w:val="3"/>
        <w:numId w:val="2"/>
      </w:numPr>
      <w:tabs>
        <w:tab w:val="clear" w:pos="708"/>
        <w:tab w:val="left" w:pos="720" w:leader="none"/>
        <w:tab w:val="left" w:pos="1260" w:leader="none"/>
        <w:tab w:val="left" w:pos="1800" w:leader="none"/>
      </w:tabs>
      <w:spacing w:before="0" w:after="0"/>
      <w:outlineLvl w:val="3"/>
    </w:pPr>
    <w:rPr>
      <w:rFonts w:ascii="Arial" w:hAnsi="Arial" w:eastAsia="Times New Roman" w:cs="Times New Roman"/>
      <w:b/>
      <w:sz w:val="20"/>
      <w:szCs w:val="20"/>
      <w:lang w:val="en-US" w:eastAsia="en-US"/>
    </w:rPr>
  </w:style>
  <w:style w:type="paragraph" w:styleId="Heading5">
    <w:name w:val="heading 5"/>
    <w:basedOn w:val="Normal"/>
    <w:next w:val="Normal"/>
    <w:link w:val="5"/>
    <w:qFormat/>
    <w:rsid w:val="002b7d10"/>
    <w:pPr>
      <w:numPr>
        <w:ilvl w:val="4"/>
        <w:numId w:val="2"/>
      </w:numPr>
      <w:spacing w:before="240" w:after="60"/>
      <w:jc w:val="start"/>
      <w:outlineLvl w:val="4"/>
    </w:pPr>
    <w:rPr>
      <w:rFonts w:eastAsia="Times New Roman" w:cs="Times New Roman"/>
      <w:b/>
      <w:bCs/>
      <w:i/>
      <w:iCs/>
      <w:sz w:val="26"/>
      <w:szCs w:val="26"/>
    </w:rPr>
  </w:style>
  <w:style w:type="paragraph" w:styleId="Heading6">
    <w:name w:val="heading 6"/>
    <w:basedOn w:val="Normal"/>
    <w:next w:val="Normal"/>
    <w:link w:val="6"/>
    <w:qFormat/>
    <w:rsid w:val="002b7d10"/>
    <w:pPr>
      <w:numPr>
        <w:ilvl w:val="5"/>
        <w:numId w:val="2"/>
      </w:numPr>
      <w:spacing w:before="240" w:after="60"/>
      <w:jc w:val="start"/>
      <w:outlineLvl w:val="5"/>
    </w:pPr>
    <w:rPr>
      <w:rFonts w:eastAsia="Times New Roman" w:cs="Times New Roman"/>
      <w:b/>
      <w:bCs/>
      <w:sz w:val="22"/>
      <w:szCs w:val="22"/>
    </w:rPr>
  </w:style>
  <w:style w:type="paragraph" w:styleId="Heading7">
    <w:name w:val="heading 7"/>
    <w:basedOn w:val="Normal"/>
    <w:next w:val="Normal"/>
    <w:link w:val="7"/>
    <w:qFormat/>
    <w:rsid w:val="002b7d10"/>
    <w:pPr>
      <w:keepNext w:val="true"/>
      <w:numPr>
        <w:ilvl w:val="6"/>
        <w:numId w:val="2"/>
      </w:numPr>
      <w:spacing w:before="0" w:after="0"/>
      <w:jc w:val="end"/>
      <w:outlineLvl w:val="6"/>
    </w:pPr>
    <w:rPr>
      <w:rFonts w:eastAsia="Times New Roman" w:cs="Times New Roman"/>
      <w:sz w:val="28"/>
      <w:szCs w:val="20"/>
      <w:lang w:eastAsia="en-US"/>
    </w:rPr>
  </w:style>
  <w:style w:type="paragraph" w:styleId="Heading8">
    <w:name w:val="heading 8"/>
    <w:basedOn w:val="Normal"/>
    <w:next w:val="Normal"/>
    <w:link w:val="8"/>
    <w:qFormat/>
    <w:rsid w:val="002b7d10"/>
    <w:pPr>
      <w:numPr>
        <w:ilvl w:val="7"/>
        <w:numId w:val="2"/>
      </w:numPr>
      <w:spacing w:before="240" w:after="60"/>
      <w:jc w:val="start"/>
      <w:outlineLvl w:val="7"/>
    </w:pPr>
    <w:rPr>
      <w:rFonts w:eastAsia="Times New Roman" w:cs="Times New Roman"/>
      <w:i/>
      <w:iCs/>
      <w:lang w:eastAsia="en-US"/>
    </w:rPr>
  </w:style>
  <w:style w:type="paragraph" w:styleId="Heading9">
    <w:name w:val="heading 9"/>
    <w:basedOn w:val="Normal"/>
    <w:next w:val="Normal"/>
    <w:link w:val="9"/>
    <w:qFormat/>
    <w:rsid w:val="002b7d10"/>
    <w:pPr>
      <w:numPr>
        <w:ilvl w:val="8"/>
        <w:numId w:val="1"/>
      </w:numPr>
      <w:spacing w:before="240" w:after="60"/>
      <w:jc w:val="start"/>
      <w:outlineLvl w:val="8"/>
    </w:pPr>
    <w:rPr>
      <w:rFonts w:ascii="Arial" w:hAnsi="Arial" w:eastAsia="Times New Roman" w:cs="Arial"/>
      <w:sz w:val="22"/>
      <w:szCs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2b7d10"/>
    <w:rPr>
      <w:rFonts w:ascii="Arial" w:hAnsi="Arial" w:eastAsia="Times New Roman" w:cs="Arial"/>
      <w:b/>
      <w:bCs/>
      <w:kern w:val="2"/>
      <w:sz w:val="32"/>
      <w:szCs w:val="32"/>
      <w:lang w:eastAsia="ru-RU"/>
    </w:rPr>
  </w:style>
  <w:style w:type="character" w:styleId="2" w:customStyle="1">
    <w:name w:val="Заголовок 2 Знак"/>
    <w:basedOn w:val="DefaultParagraphFont"/>
    <w:qFormat/>
    <w:rsid w:val="002b7d10"/>
    <w:rPr>
      <w:rFonts w:ascii="Arial" w:hAnsi="Arial" w:eastAsia="Times New Roman" w:cs="Arial"/>
      <w:b/>
      <w:bCs/>
      <w:i/>
      <w:iCs/>
      <w:sz w:val="28"/>
      <w:szCs w:val="28"/>
      <w:lang w:eastAsia="ru-RU"/>
    </w:rPr>
  </w:style>
  <w:style w:type="character" w:styleId="3" w:customStyle="1">
    <w:name w:val="Заголовок 3 Знак"/>
    <w:basedOn w:val="DefaultParagraphFont"/>
    <w:qFormat/>
    <w:rsid w:val="002b7d10"/>
    <w:rPr>
      <w:rFonts w:ascii="Arial" w:hAnsi="Arial" w:eastAsia="Times New Roman" w:cs="Arial"/>
      <w:b/>
      <w:bCs/>
      <w:sz w:val="26"/>
      <w:szCs w:val="26"/>
      <w:lang w:eastAsia="ru-RU"/>
    </w:rPr>
  </w:style>
  <w:style w:type="character" w:styleId="4" w:customStyle="1">
    <w:name w:val="Заголовок 4 Знак"/>
    <w:basedOn w:val="DefaultParagraphFont"/>
    <w:qFormat/>
    <w:rsid w:val="002b7d10"/>
    <w:rPr>
      <w:rFonts w:ascii="Arial" w:hAnsi="Arial" w:eastAsia="Times New Roman" w:cs="Times New Roman"/>
      <w:b/>
      <w:sz w:val="20"/>
      <w:szCs w:val="20"/>
      <w:lang w:val="en-US"/>
    </w:rPr>
  </w:style>
  <w:style w:type="character" w:styleId="5" w:customStyle="1">
    <w:name w:val="Заголовок 5 Знак"/>
    <w:basedOn w:val="DefaultParagraphFont"/>
    <w:qFormat/>
    <w:rsid w:val="002b7d10"/>
    <w:rPr>
      <w:rFonts w:ascii="Times New Roman" w:hAnsi="Times New Roman" w:eastAsia="Times New Roman" w:cs="Times New Roman"/>
      <w:b/>
      <w:bCs/>
      <w:i/>
      <w:iCs/>
      <w:sz w:val="26"/>
      <w:szCs w:val="26"/>
      <w:lang w:eastAsia="ru-RU"/>
    </w:rPr>
  </w:style>
  <w:style w:type="character" w:styleId="6" w:customStyle="1">
    <w:name w:val="Заголовок 6 Знак"/>
    <w:basedOn w:val="DefaultParagraphFont"/>
    <w:qFormat/>
    <w:rsid w:val="002b7d10"/>
    <w:rPr>
      <w:rFonts w:ascii="Times New Roman" w:hAnsi="Times New Roman" w:eastAsia="Times New Roman" w:cs="Times New Roman"/>
      <w:b/>
      <w:bCs/>
      <w:lang w:eastAsia="ru-RU"/>
    </w:rPr>
  </w:style>
  <w:style w:type="character" w:styleId="7" w:customStyle="1">
    <w:name w:val="Заголовок 7 Знак"/>
    <w:basedOn w:val="DefaultParagraphFont"/>
    <w:qFormat/>
    <w:rsid w:val="002b7d10"/>
    <w:rPr>
      <w:rFonts w:ascii="Times New Roman" w:hAnsi="Times New Roman" w:eastAsia="Times New Roman" w:cs="Times New Roman"/>
      <w:sz w:val="28"/>
      <w:szCs w:val="20"/>
    </w:rPr>
  </w:style>
  <w:style w:type="character" w:styleId="8" w:customStyle="1">
    <w:name w:val="Заголовок 8 Знак"/>
    <w:basedOn w:val="DefaultParagraphFont"/>
    <w:qFormat/>
    <w:rsid w:val="002b7d10"/>
    <w:rPr>
      <w:rFonts w:ascii="Times New Roman" w:hAnsi="Times New Roman" w:eastAsia="Times New Roman" w:cs="Times New Roman"/>
      <w:i/>
      <w:iCs/>
      <w:sz w:val="24"/>
      <w:szCs w:val="24"/>
    </w:rPr>
  </w:style>
  <w:style w:type="character" w:styleId="9" w:customStyle="1">
    <w:name w:val="Заголовок 9 Знак"/>
    <w:basedOn w:val="DefaultParagraphFont"/>
    <w:qFormat/>
    <w:rsid w:val="002b7d10"/>
    <w:rPr>
      <w:rFonts w:ascii="Arial" w:hAnsi="Arial" w:eastAsia="Times New Roman" w:cs="Arial"/>
      <w:lang w:eastAsia="ru-RU"/>
    </w:rPr>
  </w:style>
  <w:style w:type="character" w:styleId="Style5" w:customStyle="1">
    <w:name w:val="Нижний колонтитул Знак"/>
    <w:basedOn w:val="DefaultParagraphFont"/>
    <w:qFormat/>
    <w:rsid w:val="004b389b"/>
    <w:rPr>
      <w:rFonts w:ascii="Times New Roman" w:hAnsi="Times New Roman" w:eastAsia="Times New Roman" w:cs="Times New Roman"/>
      <w:sz w:val="20"/>
      <w:szCs w:val="20"/>
      <w:lang w:eastAsia="ru-RU"/>
    </w:rPr>
  </w:style>
  <w:style w:type="character" w:styleId="PageNumber">
    <w:name w:val="page number"/>
    <w:basedOn w:val="DefaultParagraphFont"/>
    <w:rsid w:val="004b389b"/>
    <w:rPr/>
  </w:style>
  <w:style w:type="character" w:styleId="CommentReference">
    <w:name w:val="annotation reference"/>
    <w:basedOn w:val="DefaultParagraphFont"/>
    <w:uiPriority w:val="99"/>
    <w:semiHidden/>
    <w:unhideWhenUsed/>
    <w:qFormat/>
    <w:rsid w:val="006d59d1"/>
    <w:rPr>
      <w:sz w:val="16"/>
      <w:szCs w:val="16"/>
    </w:rPr>
  </w:style>
  <w:style w:type="character" w:styleId="Style6" w:customStyle="1">
    <w:name w:val="Текст примечания Знак"/>
    <w:basedOn w:val="DefaultParagraphFont"/>
    <w:uiPriority w:val="99"/>
    <w:semiHidden/>
    <w:qFormat/>
    <w:rsid w:val="006d59d1"/>
    <w:rPr>
      <w:rFonts w:ascii="Times New Roman" w:hAnsi="Times New Roman"/>
      <w:sz w:val="20"/>
      <w:szCs w:val="20"/>
      <w:lang w:eastAsia="ru-RU"/>
    </w:rPr>
  </w:style>
  <w:style w:type="character" w:styleId="Style7" w:customStyle="1">
    <w:name w:val="Тема примечания Знак"/>
    <w:basedOn w:val="Style6"/>
    <w:link w:val="annotationsubject"/>
    <w:uiPriority w:val="99"/>
    <w:semiHidden/>
    <w:qFormat/>
    <w:rsid w:val="006d59d1"/>
    <w:rPr>
      <w:rFonts w:ascii="Times New Roman" w:hAnsi="Times New Roman"/>
      <w:b/>
      <w:bCs/>
      <w:sz w:val="20"/>
      <w:szCs w:val="20"/>
      <w:lang w:eastAsia="ru-RU"/>
    </w:rPr>
  </w:style>
  <w:style w:type="character" w:styleId="Style8" w:customStyle="1">
    <w:name w:val="Текст выноски Знак"/>
    <w:basedOn w:val="DefaultParagraphFont"/>
    <w:link w:val="BalloonText"/>
    <w:uiPriority w:val="99"/>
    <w:semiHidden/>
    <w:qFormat/>
    <w:rsid w:val="006d59d1"/>
    <w:rPr>
      <w:rFonts w:ascii="Tahoma" w:hAnsi="Tahoma" w:cs="Tahoma"/>
      <w:sz w:val="16"/>
      <w:szCs w:val="16"/>
      <w:lang w:eastAsia="ru-RU"/>
    </w:rPr>
  </w:style>
  <w:style w:type="character" w:styleId="Hyperlink">
    <w:name w:val="Hyperlink"/>
    <w:basedOn w:val="DefaultParagraphFont"/>
    <w:uiPriority w:val="99"/>
    <w:unhideWhenUsed/>
    <w:rsid w:val="006001db"/>
    <w:rPr>
      <w:color w:themeColor="hyperlink" w:val="0070BA"/>
      <w:u w:val="single"/>
    </w:rPr>
  </w:style>
  <w:style w:type="character" w:styleId="Style9" w:customStyle="1">
    <w:name w:val="Верхний колонтитул Знак"/>
    <w:basedOn w:val="DefaultParagraphFont"/>
    <w:uiPriority w:val="99"/>
    <w:qFormat/>
    <w:rsid w:val="00082331"/>
    <w:rPr>
      <w:rFonts w:ascii="Times New Roman" w:hAnsi="Times New Roman"/>
      <w:sz w:val="24"/>
      <w:szCs w:val="24"/>
      <w:lang w:eastAsia="ru-RU"/>
    </w:rPr>
  </w:style>
  <w:style w:type="character" w:styleId="Emphasis">
    <w:name w:val="Emphasis"/>
    <w:basedOn w:val="DefaultParagraphFont"/>
    <w:uiPriority w:val="20"/>
    <w:qFormat/>
    <w:rsid w:val="00bd03ab"/>
    <w:rPr>
      <w:i/>
      <w:iCs/>
    </w:rPr>
  </w:style>
  <w:style w:type="character" w:styleId="Style10" w:customStyle="1">
    <w:name w:val="Без интервала Знак"/>
    <w:link w:val="NoSpacing"/>
    <w:qFormat/>
    <w:locked/>
    <w:rsid w:val="00fa04f6"/>
    <w:rPr>
      <w:rFonts w:ascii="Calibri" w:hAnsi="Calibri" w:cs="Calibri"/>
    </w:rPr>
  </w:style>
  <w:style w:type="character" w:styleId="Style11" w:customStyle="1">
    <w:name w:val="Гипертекстовая ссылка"/>
    <w:basedOn w:val="DefaultParagraphFont"/>
    <w:uiPriority w:val="99"/>
    <w:qFormat/>
    <w:rsid w:val="000261fc"/>
    <w:rPr>
      <w:color w:val="106BBE"/>
    </w:rPr>
  </w:style>
  <w:style w:type="character" w:styleId="UnresolvedMention" w:customStyle="1">
    <w:name w:val="Unresolved Mention"/>
    <w:basedOn w:val="DefaultParagraphFont"/>
    <w:uiPriority w:val="99"/>
    <w:semiHidden/>
    <w:unhideWhenUsed/>
    <w:qFormat/>
    <w:rsid w:val="002c720d"/>
    <w:rPr>
      <w:color w:val="605E5C"/>
      <w:shd w:fill="E1DFDD" w:val="clear"/>
    </w:rPr>
  </w:style>
  <w:style w:type="character" w:styleId="Style12" w:customStyle="1">
    <w:name w:val="Абзац списка Знак"/>
    <w:basedOn w:val="DefaultParagraphFont"/>
    <w:link w:val="ListParagraph"/>
    <w:uiPriority w:val="34"/>
    <w:qFormat/>
    <w:locked/>
    <w:rsid w:val="001a34f1"/>
    <w:rPr>
      <w:rFonts w:ascii="Times New Roman" w:hAnsi="Times New Roman" w:eastAsia="Times New Roman" w:cs="Times New Roman"/>
      <w:sz w:val="24"/>
      <w:szCs w:val="24"/>
      <w:lang w:eastAsia="ru-RU"/>
    </w:rPr>
  </w:style>
  <w:style w:type="paragraph" w:styleId="Style13">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4">
    <w:name w:val="Указатель"/>
    <w:basedOn w:val="Normal"/>
    <w:qFormat/>
    <w:pPr>
      <w:suppressLineNumbers/>
    </w:pPr>
    <w:rPr>
      <w:rFonts w:cs="Noto Sans"/>
    </w:rPr>
  </w:style>
  <w:style w:type="paragraph" w:styleId="Style15" w:customStyle="1">
    <w:name w:val="Стиль номер обычный"/>
    <w:basedOn w:val="ListContinue2"/>
    <w:qFormat/>
    <w:rsid w:val="002b7d10"/>
    <w:pPr>
      <w:numPr>
        <w:ilvl w:val="2"/>
        <w:numId w:val="3"/>
      </w:numPr>
      <w:spacing w:before="0" w:after="140"/>
      <w:contextualSpacing w:val="false"/>
    </w:pPr>
    <w:rPr>
      <w:rFonts w:eastAsia="Times New Roman" w:cs="Times New Roman"/>
      <w:sz w:val="28"/>
      <w:szCs w:val="20"/>
    </w:rPr>
  </w:style>
  <w:style w:type="paragraph" w:styleId="ListContinue2">
    <w:name w:val="List Continue 2"/>
    <w:basedOn w:val="Normal"/>
    <w:uiPriority w:val="99"/>
    <w:semiHidden/>
    <w:unhideWhenUsed/>
    <w:rsid w:val="002b7d10"/>
    <w:pPr>
      <w:spacing w:before="120" w:after="120"/>
      <w:ind w:start="566"/>
      <w:contextualSpacing/>
    </w:pPr>
    <w:rPr/>
  </w:style>
  <w:style w:type="paragraph" w:styleId="Style16" w:customStyle="1">
    <w:name w:val="Стиль номер продолжение"/>
    <w:basedOn w:val="Style15"/>
    <w:qFormat/>
    <w:rsid w:val="002b7d10"/>
    <w:pPr>
      <w:spacing w:before="0" w:after="0"/>
      <w:contextualSpacing/>
    </w:pPr>
    <w:rPr>
      <w:color w:val="000000"/>
    </w:rPr>
  </w:style>
  <w:style w:type="paragraph" w:styleId="ListParagraph">
    <w:name w:val="List Paragraph"/>
    <w:basedOn w:val="Normal"/>
    <w:link w:val="Style12"/>
    <w:uiPriority w:val="34"/>
    <w:qFormat/>
    <w:rsid w:val="002b7d10"/>
    <w:pPr>
      <w:spacing w:before="120" w:after="120"/>
      <w:ind w:start="720"/>
      <w:contextualSpacing/>
    </w:pPr>
    <w:rPr>
      <w:rFonts w:eastAsia="Times New Roman" w:cs="Times New Roman"/>
    </w:rPr>
  </w:style>
  <w:style w:type="paragraph" w:styleId="Style17">
    <w:name w:val="Колонтитулы"/>
    <w:basedOn w:val="Normal"/>
    <w:qFormat/>
    <w:pPr/>
    <w:rPr/>
  </w:style>
  <w:style w:type="paragraph" w:styleId="Footer">
    <w:name w:val="footer"/>
    <w:basedOn w:val="Normal"/>
    <w:link w:val="Style5"/>
    <w:unhideWhenUsed/>
    <w:rsid w:val="004b389b"/>
    <w:pPr>
      <w:tabs>
        <w:tab w:val="clear" w:pos="708"/>
        <w:tab w:val="center" w:pos="4677" w:leader="none"/>
        <w:tab w:val="right" w:pos="9355" w:leader="none"/>
      </w:tabs>
      <w:spacing w:before="0" w:after="0"/>
      <w:jc w:val="start"/>
    </w:pPr>
    <w:rPr>
      <w:rFonts w:eastAsia="Times New Roman" w:cs="Times New Roman"/>
      <w:sz w:val="20"/>
      <w:szCs w:val="20"/>
    </w:rPr>
  </w:style>
  <w:style w:type="paragraph" w:styleId="CommentText">
    <w:name w:val="annotation text"/>
    <w:basedOn w:val="Normal"/>
    <w:link w:val="Style6"/>
    <w:uiPriority w:val="99"/>
    <w:semiHidden/>
    <w:unhideWhenUsed/>
    <w:rsid w:val="006d59d1"/>
    <w:pPr/>
    <w:rPr>
      <w:sz w:val="20"/>
      <w:szCs w:val="20"/>
    </w:rPr>
  </w:style>
  <w:style w:type="paragraph" w:styleId="annotationsubject">
    <w:name w:val="annotation subject"/>
    <w:basedOn w:val="CommentText"/>
    <w:next w:val="CommentText"/>
    <w:link w:val="Style7"/>
    <w:uiPriority w:val="99"/>
    <w:semiHidden/>
    <w:unhideWhenUsed/>
    <w:qFormat/>
    <w:rsid w:val="006d59d1"/>
    <w:pPr/>
    <w:rPr>
      <w:b/>
      <w:bCs/>
    </w:rPr>
  </w:style>
  <w:style w:type="paragraph" w:styleId="BalloonText">
    <w:name w:val="Balloon Text"/>
    <w:basedOn w:val="Normal"/>
    <w:link w:val="Style8"/>
    <w:uiPriority w:val="99"/>
    <w:semiHidden/>
    <w:unhideWhenUsed/>
    <w:qFormat/>
    <w:rsid w:val="006d59d1"/>
    <w:pPr>
      <w:spacing w:before="0" w:after="0"/>
    </w:pPr>
    <w:rPr>
      <w:rFonts w:ascii="Tahoma" w:hAnsi="Tahoma" w:cs="Tahoma"/>
      <w:sz w:val="16"/>
      <w:szCs w:val="16"/>
    </w:rPr>
  </w:style>
  <w:style w:type="paragraph" w:styleId="Header">
    <w:name w:val="header"/>
    <w:basedOn w:val="Normal"/>
    <w:link w:val="Style9"/>
    <w:uiPriority w:val="99"/>
    <w:unhideWhenUsed/>
    <w:rsid w:val="00082331"/>
    <w:pPr>
      <w:tabs>
        <w:tab w:val="clear" w:pos="708"/>
        <w:tab w:val="center" w:pos="4677" w:leader="none"/>
        <w:tab w:val="right" w:pos="9355" w:leader="none"/>
      </w:tabs>
      <w:spacing w:before="0" w:after="0"/>
    </w:pPr>
    <w:rPr/>
  </w:style>
  <w:style w:type="paragraph" w:styleId="NormalWeb">
    <w:name w:val="Normal (Web)"/>
    <w:basedOn w:val="Normal"/>
    <w:uiPriority w:val="99"/>
    <w:semiHidden/>
    <w:unhideWhenUsed/>
    <w:qFormat/>
    <w:rsid w:val="00cc3006"/>
    <w:pPr>
      <w:spacing w:beforeAutospacing="1" w:afterAutospacing="1"/>
      <w:jc w:val="start"/>
    </w:pPr>
    <w:rPr>
      <w:rFonts w:eastAsia="Times New Roman" w:cs="Times New Roman"/>
    </w:rPr>
  </w:style>
  <w:style w:type="paragraph" w:styleId="NoSpacing">
    <w:name w:val="No Spacing"/>
    <w:link w:val="Style10"/>
    <w:qFormat/>
    <w:rsid w:val="00fa04f6"/>
    <w:pPr>
      <w:widowControl/>
      <w:bidi w:val="0"/>
      <w:spacing w:lineRule="auto" w:line="288" w:before="0" w:after="0"/>
      <w:jc w:val="start"/>
    </w:pPr>
    <w:rPr>
      <w:rFonts w:ascii="Calibri" w:hAnsi="Calibri" w:cs="Calibri" w:eastAsia="Arial" w:eastAsiaTheme="minorHAnsi"/>
      <w:color w:val="auto"/>
      <w:kern w:val="0"/>
      <w:sz w:val="22"/>
      <w:szCs w:val="22"/>
      <w:lang w:val="ru-RU" w:eastAsia="en-US" w:bidi="ar-SA"/>
    </w:rPr>
  </w:style>
  <w:style w:type="paragraph" w:styleId="ConsPlusNormal" w:customStyle="1">
    <w:name w:val="ConsPlusNormal"/>
    <w:qFormat/>
    <w:rsid w:val="00c77b3a"/>
    <w:pPr>
      <w:widowControl w:val="false"/>
      <w:bidi w:val="0"/>
      <w:spacing w:lineRule="auto" w:line="240" w:before="0" w:after="0"/>
      <w:jc w:val="start"/>
    </w:pPr>
    <w:rPr>
      <w:rFonts w:ascii="Calibri" w:hAnsi="Calibri" w:eastAsia="Times New Roman" w:cs="Calibri"/>
      <w:color w:val="auto"/>
      <w:kern w:val="0"/>
      <w:sz w:val="22"/>
      <w:szCs w:val="20"/>
      <w:lang w:eastAsia="ru-RU" w:val="ru-RU" w:bidi="ar-SA"/>
    </w:rPr>
  </w:style>
  <w:style w:type="paragraph" w:styleId="ConsPlusTitle" w:customStyle="1">
    <w:name w:val="ConsPlusTitle"/>
    <w:qFormat/>
    <w:rsid w:val="00c77b3a"/>
    <w:pPr>
      <w:widowControl w:val="false"/>
      <w:bidi w:val="0"/>
      <w:spacing w:lineRule="auto" w:line="240" w:before="0" w:after="0"/>
      <w:jc w:val="start"/>
    </w:pPr>
    <w:rPr>
      <w:rFonts w:ascii="Calibri" w:hAnsi="Calibri" w:eastAsia="Times New Roman" w:cs="Calibri"/>
      <w:b/>
      <w:color w:val="auto"/>
      <w:kern w:val="0"/>
      <w:sz w:val="22"/>
      <w:szCs w:val="20"/>
      <w:lang w:eastAsia="ru-RU" w:val="ru-RU" w:bidi="ar-SA"/>
    </w:rPr>
  </w:style>
  <w:style w:type="paragraph" w:styleId="Style18">
    <w:name w:val="Содержимое врезки"/>
    <w:basedOn w:val="Normal"/>
    <w:qFormat/>
    <w:pPr/>
    <w:rPr/>
  </w:style>
  <w:style w:type="numbering" w:styleId="Style19" w:default="1">
    <w:name w:val="Без списка"/>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udtk@49gov.ru" TargetMode="External"/><Relationship Id="rId3" Type="http://schemas.openxmlformats.org/officeDocument/2006/relationships/hyperlink" Target="consultantplus://offline/ref=707E7DC3134AFD6A4837E7AABB5084DF085B0D4D9E1BA28FF3D2982327946D3BEE906E13EDDAh6OCF"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Word">
  <a:themeElements>
    <a:clrScheme name="ГПН">
      <a:dk1>
        <a:srgbClr val="3c3c3c"/>
      </a:dk1>
      <a:lt1>
        <a:srgbClr val="ffffff"/>
      </a:lt1>
      <a:dk2>
        <a:srgbClr val="000000"/>
      </a:dk2>
      <a:lt2>
        <a:srgbClr val="706f6f"/>
      </a:lt2>
      <a:accent1>
        <a:srgbClr val="004077"/>
      </a:accent1>
      <a:accent2>
        <a:srgbClr val="2fb4e9"/>
      </a:accent2>
      <a:accent3>
        <a:srgbClr val="0070ba"/>
      </a:accent3>
      <a:accent4>
        <a:srgbClr val="dadada"/>
      </a:accent4>
      <a:accent5>
        <a:srgbClr val="aebd15"/>
      </a:accent5>
      <a:accent6>
        <a:srgbClr val="f7a600"/>
      </a:accent6>
      <a:hlink>
        <a:srgbClr val="0070ba"/>
      </a:hlink>
      <a:folHlink>
        <a:srgbClr val="706f6f"/>
      </a:folHlink>
    </a:clrScheme>
    <a:fontScheme name="Газпром нефть">
      <a:majorFont>
        <a:latin typeface="Arial"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CAAE0-32BF-49F7-8BFE-BF4313900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Application>LibreOffice/25.8.7.3$Linux_X86_64 LibreOffice_project/30742500f2d3eb4366ac312fa33d3dcabdb3eba5</Application>
  <AppVersion>15.0000</AppVersion>
  <Pages>48</Pages>
  <Words>14914</Words>
  <Characters>108149</Characters>
  <CharactersWithSpaces>122051</CharactersWithSpaces>
  <Paragraphs>745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2026-07-27T23:32:00Z</dcterms:created>
  <dc:creator>Мышка</dc:creator>
  <dc:description/>
  <dc:language>ru-RU</dc:language>
  <cp:lastModifiedBy/>
  <cp:lastPrinted>2026-05-26T06:05:00Z</cp:lastPrinted>
  <dcterms:modified xsi:type="dcterms:W3CDTF">2026-08-27T16:03:32Z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