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media/image2.png" ContentType="image/png"/>
  <Override PartName="/word/media/image3.png" ContentType="image/png"/>
  <Override PartName="/word/media/image1.png" ContentType="image/png"/>
  <Override PartName="/word/header5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Cs/>
          <w:sz w:val="24"/>
          <w:szCs w:val="26"/>
        </w:rPr>
      </w:pPr>
      <w:r>
        <w:rPr>
          <w:sz w:val="26"/>
          <w:szCs w:val="26"/>
        </w:rPr>
      </w:r>
      <w:bookmarkStart w:id="0" w:name="_Toc50125131"/>
      <w:bookmarkStart w:id="1" w:name="_Toc50125131"/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на поставку железобетонных изделий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«</w:t>
      </w:r>
      <w:r>
        <w:rPr>
          <w:rFonts w:eastAsia="Calibri"/>
          <w:b/>
          <w:sz w:val="24"/>
          <w:szCs w:val="24"/>
        </w:rPr>
        <w:t>ОКПД2 23.61.12.190. Поставка железобетонных изделий для Центральных электрических сетей в части исполнения обязательств по технологическому присоединению к электрическим сетям в рамках реализации инвестиционных проектов Г3</w:t>
      </w:r>
      <w:r>
        <w:rPr>
          <w:rFonts w:eastAsia="Calibri"/>
          <w:b/>
          <w:sz w:val="26"/>
          <w:szCs w:val="26"/>
        </w:rPr>
        <w:t>»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  <w:r>
        <w:br w:type="page"/>
      </w:r>
    </w:p>
    <w:p>
      <w:pPr>
        <w:pStyle w:val="Normal"/>
        <w:keepNext w:val="true"/>
        <w:keepLines/>
        <w:shd w:val="clear" w:color="auto" w:fill="FFFFFF"/>
        <w:suppressAutoHyphens w:val="true"/>
        <w:rPr>
          <w:rFonts w:eastAsia="Calibri"/>
          <w:b/>
          <w:caps/>
          <w:lang w:eastAsia="x-none"/>
        </w:rPr>
      </w:pPr>
      <w:bookmarkStart w:id="2" w:name="_Toc75446566"/>
      <w:r>
        <w:rPr>
          <w:rFonts w:eastAsia="Calibri"/>
          <w:b/>
          <w:lang w:eastAsia="x-none"/>
        </w:rPr>
        <w:t>Общие сведения</w:t>
      </w:r>
      <w:bookmarkEnd w:id="2"/>
    </w:p>
    <w:p>
      <w:pPr>
        <w:pStyle w:val="Normal"/>
        <w:keepNext w:val="true"/>
        <w:numPr>
          <w:ilvl w:val="1"/>
          <w:numId w:val="10"/>
        </w:numPr>
        <w:suppressAutoHyphens w:val="true"/>
        <w:spacing w:before="120" w:after="60"/>
        <w:outlineLvl w:val="3"/>
        <w:rPr>
          <w:rFonts w:eastAsia="Calibri"/>
          <w:b/>
          <w:bCs/>
          <w:sz w:val="24"/>
          <w:szCs w:val="24"/>
          <w:lang w:val="x-none" w:eastAsia="x-none"/>
        </w:rPr>
      </w:pPr>
      <w:bookmarkStart w:id="3" w:name="_Toc75446567"/>
      <w:bookmarkStart w:id="4" w:name="_Toc46743505"/>
      <w:r>
        <w:rPr>
          <w:rFonts w:eastAsia="Calibri"/>
          <w:b/>
          <w:bCs/>
          <w:sz w:val="24"/>
          <w:szCs w:val="24"/>
          <w:lang w:val="x-none" w:eastAsia="x-none"/>
        </w:rPr>
        <w:t>Обозначения и сокращения</w:t>
      </w:r>
      <w:bookmarkEnd w:id="3"/>
      <w:bookmarkEnd w:id="4"/>
    </w:p>
    <w:p>
      <w:pPr>
        <w:pStyle w:val="Normal"/>
        <w:suppressAutoHyphens w:val="true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jc w:val="both"/>
              <w:rPr/>
            </w:pPr>
            <w:r>
              <w:rPr>
                <w:bCs/>
                <w:sz w:val="24"/>
                <w:szCs w:val="24"/>
                <w:shd w:fill="FFFFFF" w:val="clear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fill="FFFFFF" w:val="clear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jc w:val="both"/>
              <w:rPr/>
            </w:pPr>
            <w:r>
              <w:rPr>
                <w:bCs/>
                <w:sz w:val="24"/>
                <w:szCs w:val="24"/>
                <w:shd w:fill="FFFFFF" w:val="clear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fill="FFFFFF" w:val="clear"/>
              </w:rPr>
              <w:t>Технические условия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jc w:val="both"/>
              <w:rPr>
                <w:bCs/>
                <w:sz w:val="24"/>
                <w:szCs w:val="24"/>
                <w:shd w:fill="FFFFFF" w:val="clear"/>
              </w:rPr>
            </w:pPr>
            <w:r>
              <w:rPr>
                <w:bCs/>
                <w:sz w:val="24"/>
                <w:szCs w:val="24"/>
                <w:shd w:fill="FFFFFF" w:val="clear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jc w:val="both"/>
              <w:rPr>
                <w:bCs/>
                <w:iCs/>
                <w:sz w:val="24"/>
                <w:szCs w:val="24"/>
                <w:shd w:fill="FFFFFF" w:val="clear"/>
                <w:lang w:val="en-US"/>
              </w:rPr>
            </w:pPr>
            <w:r>
              <w:rPr>
                <w:bCs/>
                <w:iCs/>
                <w:sz w:val="24"/>
                <w:szCs w:val="24"/>
                <w:shd w:fill="FFFFFF" w:val="clear"/>
              </w:rPr>
              <w:t>Настоящие Технические т</w:t>
            </w:r>
            <w:r>
              <w:rPr>
                <w:bCs/>
                <w:iCs/>
                <w:sz w:val="24"/>
                <w:szCs w:val="24"/>
                <w:shd w:fill="FFFFFF" w:val="clear"/>
                <w:lang w:val="en-US"/>
              </w:rPr>
              <w:t>ребования</w:t>
            </w:r>
          </w:p>
        </w:tc>
      </w:tr>
    </w:tbl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ListParagraph"/>
        <w:keepNext w:val="true"/>
        <w:numPr>
          <w:ilvl w:val="1"/>
          <w:numId w:val="11"/>
        </w:numPr>
        <w:tabs>
          <w:tab w:val="clear" w:pos="708"/>
          <w:tab w:val="left" w:pos="709" w:leader="none"/>
          <w:tab w:val="left" w:pos="851" w:leader="none"/>
          <w:tab w:val="left" w:pos="993" w:leader="none"/>
          <w:tab w:val="left" w:pos="1276" w:leader="none"/>
        </w:tabs>
        <w:spacing w:before="120" w:after="60"/>
        <w:ind w:left="0" w:firstLine="567"/>
        <w:contextualSpacing/>
        <w:outlineLvl w:val="3"/>
        <w:rPr>
          <w:b/>
          <w:bCs/>
          <w:lang w:val="x-none" w:eastAsia="x-none"/>
        </w:rPr>
      </w:pPr>
      <w:bookmarkStart w:id="5" w:name="_Toc126072360"/>
      <w:bookmarkStart w:id="6" w:name="_Toc46743506"/>
      <w:r>
        <w:rPr>
          <w:b/>
          <w:bCs/>
          <w:lang w:val="x-none" w:eastAsia="x-none"/>
        </w:rPr>
        <w:t>Наименование закупаемой продукции</w:t>
      </w:r>
      <w:bookmarkEnd w:id="5"/>
      <w:bookmarkEnd w:id="6"/>
    </w:p>
    <w:p>
      <w:pPr>
        <w:pStyle w:val="Normal"/>
        <w:widowControl w:val="false"/>
        <w:tabs>
          <w:tab w:val="clear" w:pos="708"/>
          <w:tab w:val="left" w:pos="142" w:leader="none"/>
          <w:tab w:val="left" w:pos="426" w:leader="none"/>
          <w:tab w:val="left" w:pos="709" w:leader="none"/>
          <w:tab w:val="left" w:pos="851" w:leader="none"/>
          <w:tab w:val="left" w:pos="993" w:leader="none"/>
          <w:tab w:val="left" w:pos="1276" w:leader="none"/>
        </w:tabs>
        <w:ind w:firstLine="567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6"/>
          <w:szCs w:val="26"/>
        </w:rPr>
        <w:t>«</w:t>
      </w:r>
      <w:r>
        <w:rPr>
          <w:rFonts w:eastAsia="Calibri"/>
          <w:sz w:val="24"/>
          <w:szCs w:val="24"/>
        </w:rPr>
        <w:t>ОКПД2 23.61.12.190. Поставка железобетонных изделий для Центральных электрических сетей в части исполнения обязательств по технологическому присоединению к электрическим сетям в рамках реализации инвестиционных проектов Г3</w:t>
      </w:r>
      <w:r>
        <w:rPr>
          <w:rFonts w:eastAsia="Calibri"/>
          <w:sz w:val="26"/>
          <w:szCs w:val="26"/>
        </w:rPr>
        <w:t>»</w:t>
      </w:r>
    </w:p>
    <w:p>
      <w:pPr>
        <w:pStyle w:val="Normal"/>
        <w:widowControl w:val="false"/>
        <w:tabs>
          <w:tab w:val="clear" w:pos="708"/>
          <w:tab w:val="left" w:pos="142" w:leader="none"/>
          <w:tab w:val="left" w:pos="426" w:leader="none"/>
          <w:tab w:val="left" w:pos="709" w:leader="none"/>
          <w:tab w:val="left" w:pos="851" w:leader="none"/>
          <w:tab w:val="left" w:pos="993" w:leader="none"/>
          <w:tab w:val="left" w:pos="1276" w:leader="none"/>
        </w:tabs>
        <w:ind w:firstLine="567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Normal"/>
        <w:widowControl w:val="false"/>
        <w:numPr>
          <w:ilvl w:val="0"/>
          <w:numId w:val="10"/>
        </w:numPr>
        <w:tabs>
          <w:tab w:val="clear" w:pos="708"/>
          <w:tab w:val="left" w:pos="142" w:leader="none"/>
          <w:tab w:val="left" w:pos="426" w:leader="none"/>
          <w:tab w:val="left" w:pos="709" w:leader="none"/>
          <w:tab w:val="left" w:pos="851" w:leader="none"/>
          <w:tab w:val="left" w:pos="993" w:leader="none"/>
          <w:tab w:val="left" w:pos="1276" w:leader="none"/>
        </w:tabs>
        <w:spacing w:before="0" w:after="0"/>
        <w:ind w:left="0" w:firstLine="567"/>
        <w:contextualSpacing/>
        <w:jc w:val="center"/>
        <w:rPr>
          <w:rFonts w:eastAsia="Calibri"/>
          <w:bCs/>
          <w:i/>
          <w:i/>
          <w:sz w:val="24"/>
          <w:szCs w:val="24"/>
          <w:shd w:fill="FFFF99" w:val="clear"/>
        </w:rPr>
      </w:pPr>
      <w:bookmarkStart w:id="7" w:name="_Toc75446573"/>
      <w:r>
        <w:rPr>
          <w:rFonts w:eastAsia="Calibri"/>
          <w:b/>
          <w:iCs/>
          <w:sz w:val="24"/>
          <w:szCs w:val="24"/>
        </w:rPr>
        <w:t>Требования к продукции</w:t>
      </w:r>
      <w:bookmarkEnd w:id="7"/>
    </w:p>
    <w:p>
      <w:pPr>
        <w:pStyle w:val="ListParagraph"/>
        <w:keepNext w:val="true"/>
        <w:numPr>
          <w:ilvl w:val="1"/>
          <w:numId w:val="10"/>
        </w:numPr>
        <w:tabs>
          <w:tab w:val="clear" w:pos="708"/>
          <w:tab w:val="left" w:pos="142" w:leader="none"/>
          <w:tab w:val="left" w:pos="709" w:leader="none"/>
          <w:tab w:val="left" w:pos="851" w:leader="none"/>
          <w:tab w:val="left" w:pos="993" w:leader="none"/>
          <w:tab w:val="left" w:pos="1276" w:leader="none"/>
        </w:tabs>
        <w:spacing w:before="120" w:after="60"/>
        <w:ind w:left="0" w:firstLine="567"/>
        <w:contextualSpacing/>
        <w:outlineLvl w:val="3"/>
        <w:rPr>
          <w:b/>
          <w:bCs/>
          <w:lang w:val="x-none" w:eastAsia="x-none"/>
        </w:rPr>
      </w:pPr>
      <w:bookmarkStart w:id="8" w:name="_Toc46743510"/>
      <w:bookmarkStart w:id="9" w:name="_Toc50125126"/>
      <w:bookmarkStart w:id="10" w:name="_Toc126072363"/>
      <w:bookmarkEnd w:id="8"/>
      <w:bookmarkEnd w:id="9"/>
      <w:r>
        <w:rPr>
          <w:b/>
          <w:bCs/>
          <w:lang w:val="x-none" w:eastAsia="x-none"/>
        </w:rPr>
        <w:t xml:space="preserve">Требования к объемам и срокам </w:t>
      </w:r>
      <w:r>
        <w:rPr>
          <w:b/>
          <w:bCs/>
          <w:lang w:eastAsia="x-none"/>
        </w:rPr>
        <w:t>поставки</w:t>
      </w:r>
      <w:bookmarkEnd w:id="10"/>
    </w:p>
    <w:p>
      <w:pPr>
        <w:pStyle w:val="Normal"/>
        <w:keepNext w:val="true"/>
        <w:numPr>
          <w:ilvl w:val="2"/>
          <w:numId w:val="10"/>
        </w:numPr>
        <w:tabs>
          <w:tab w:val="clear" w:pos="708"/>
          <w:tab w:val="left" w:pos="142" w:leader="none"/>
          <w:tab w:val="left" w:pos="709" w:leader="none"/>
          <w:tab w:val="left" w:pos="851" w:leader="none"/>
          <w:tab w:val="left" w:pos="993" w:leader="none"/>
          <w:tab w:val="left" w:pos="1276" w:leader="none"/>
        </w:tabs>
        <w:spacing w:before="120" w:after="60"/>
        <w:ind w:left="0" w:firstLine="567"/>
        <w:outlineLvl w:val="2"/>
        <w:rPr>
          <w:rFonts w:eastAsia="Calibri"/>
          <w:sz w:val="24"/>
          <w:szCs w:val="24"/>
          <w:lang w:val="x-none" w:eastAsia="x-none"/>
        </w:rPr>
      </w:pPr>
      <w:bookmarkStart w:id="11" w:name="_Toc126072364"/>
      <w:r>
        <w:rPr>
          <w:rFonts w:eastAsia="Calibri"/>
          <w:b/>
          <w:sz w:val="24"/>
          <w:szCs w:val="24"/>
          <w:lang w:val="x-none" w:eastAsia="x-none"/>
        </w:rPr>
        <w:t>Перечень и объем закупаемой продукции</w:t>
      </w:r>
      <w:bookmarkEnd w:id="11"/>
      <w:r>
        <w:rPr>
          <w:rFonts w:eastAsia="Calibri"/>
          <w:b/>
          <w:sz w:val="24"/>
          <w:szCs w:val="24"/>
          <w:lang w:val="x-none" w:eastAsia="x-none"/>
        </w:rPr>
        <w:t xml:space="preserve"> </w:t>
      </w:r>
      <w:r>
        <w:rPr>
          <w:rFonts w:eastAsia="Calibri"/>
          <w:sz w:val="24"/>
          <w:szCs w:val="24"/>
          <w:lang w:eastAsia="x-none"/>
        </w:rPr>
        <w:t>(</w:t>
      </w:r>
      <w:r>
        <w:rPr>
          <w:rFonts w:eastAsia="Calibri"/>
          <w:sz w:val="24"/>
          <w:szCs w:val="24"/>
          <w:lang w:val="x-none" w:eastAsia="x-none"/>
        </w:rPr>
        <w:t>представлены в таблице 1</w:t>
      </w:r>
      <w:r>
        <w:rPr>
          <w:rFonts w:eastAsia="Calibri"/>
          <w:sz w:val="24"/>
          <w:szCs w:val="24"/>
          <w:lang w:eastAsia="x-none"/>
        </w:rPr>
        <w:t>)</w:t>
      </w:r>
      <w:r>
        <w:rPr>
          <w:rFonts w:eastAsia="Calibri"/>
          <w:sz w:val="24"/>
          <w:szCs w:val="24"/>
          <w:lang w:val="x-none" w:eastAsia="x-none"/>
        </w:rPr>
        <w:t>.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142" w:leader="none"/>
          <w:tab w:val="left" w:pos="709" w:leader="none"/>
          <w:tab w:val="left" w:pos="851" w:leader="none"/>
          <w:tab w:val="left" w:pos="993" w:leader="none"/>
          <w:tab w:val="left" w:pos="1276" w:leader="none"/>
        </w:tabs>
        <w:spacing w:before="120" w:after="60"/>
        <w:ind w:left="142" w:hanging="0"/>
        <w:jc w:val="right"/>
        <w:outlineLvl w:val="0"/>
        <w:rPr>
          <w:rFonts w:eastAsia="Calibri"/>
          <w:sz w:val="24"/>
          <w:szCs w:val="24"/>
          <w:lang w:val="x-none" w:eastAsia="x-none"/>
        </w:rPr>
      </w:pPr>
      <w:bookmarkStart w:id="12" w:name="_Toc126072365"/>
      <w:bookmarkStart w:id="13" w:name="_Toc51339695"/>
      <w:r>
        <w:rPr>
          <w:rFonts w:eastAsia="Calibri"/>
          <w:sz w:val="24"/>
          <w:szCs w:val="24"/>
          <w:lang w:val="x-none" w:eastAsia="x-none"/>
        </w:rPr>
        <w:t xml:space="preserve">Таблица 1. Перечень </w:t>
      </w:r>
      <w:bookmarkEnd w:id="13"/>
      <w:r>
        <w:rPr>
          <w:rFonts w:eastAsia="Calibri"/>
          <w:sz w:val="24"/>
          <w:szCs w:val="24"/>
          <w:lang w:val="x-none" w:eastAsia="x-none"/>
        </w:rPr>
        <w:t>и объем закупаемой продукции</w:t>
      </w:r>
      <w:bookmarkEnd w:id="12"/>
    </w:p>
    <w:tbl>
      <w:tblPr>
        <w:tblW w:w="995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96"/>
        <w:gridCol w:w="6804"/>
        <w:gridCol w:w="1133"/>
        <w:gridCol w:w="1418"/>
      </w:tblGrid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Центральные электрические сети (г.Якутск)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Крышка ППЛ-3 железобетонная для усиленного ж/б лотка Л1т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Лоток Л1т железобетонный усиленный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before="120" w:after="60"/>
        <w:ind w:left="567" w:hanging="0"/>
        <w:outlineLvl w:val="2"/>
        <w:rPr>
          <w:rFonts w:eastAsia="Calibri"/>
          <w:b/>
          <w:sz w:val="24"/>
          <w:szCs w:val="24"/>
          <w:lang w:val="x-none" w:eastAsia="x-none"/>
        </w:rPr>
      </w:pPr>
      <w:r>
        <w:rPr>
          <w:rFonts w:eastAsia="Calibri"/>
          <w:b/>
          <w:sz w:val="24"/>
          <w:szCs w:val="24"/>
          <w:lang w:val="x-none" w:eastAsia="x-none"/>
        </w:rPr>
      </w:r>
    </w:p>
    <w:p>
      <w:pPr>
        <w:pStyle w:val="Normal"/>
        <w:keepNext w:val="true"/>
        <w:numPr>
          <w:ilvl w:val="2"/>
          <w:numId w:val="10"/>
        </w:numPr>
        <w:spacing w:before="120" w:after="60"/>
        <w:ind w:left="0" w:firstLine="567"/>
        <w:outlineLvl w:val="2"/>
        <w:rPr>
          <w:rFonts w:eastAsia="Calibri"/>
          <w:b/>
          <w:sz w:val="24"/>
          <w:szCs w:val="24"/>
          <w:lang w:val="x-none" w:eastAsia="x-none"/>
        </w:rPr>
      </w:pPr>
      <w:r>
        <w:rPr>
          <w:rFonts w:eastAsia="Calibri"/>
          <w:b/>
          <w:sz w:val="24"/>
          <w:szCs w:val="24"/>
          <w:lang w:val="x-none" w:eastAsia="x-none"/>
        </w:rPr>
        <w:t xml:space="preserve">Требования к срокам поставки продукции </w:t>
      </w:r>
      <w:r>
        <w:rPr>
          <w:rFonts w:eastAsia="Calibri"/>
          <w:sz w:val="24"/>
          <w:szCs w:val="24"/>
          <w:lang w:eastAsia="x-none"/>
        </w:rPr>
        <w:t>(</w:t>
      </w:r>
      <w:r>
        <w:rPr>
          <w:rFonts w:eastAsia="Calibri"/>
          <w:sz w:val="24"/>
          <w:szCs w:val="24"/>
          <w:lang w:val="x-none" w:eastAsia="x-none"/>
        </w:rPr>
        <w:t>представлены в таблице 2</w:t>
      </w:r>
      <w:r>
        <w:rPr>
          <w:rFonts w:eastAsia="Calibri"/>
          <w:sz w:val="24"/>
          <w:szCs w:val="24"/>
          <w:lang w:eastAsia="x-none"/>
        </w:rPr>
        <w:t>.)</w:t>
      </w:r>
      <w:r>
        <w:rPr>
          <w:rFonts w:eastAsia="Calibri"/>
          <w:b/>
          <w:sz w:val="24"/>
          <w:szCs w:val="24"/>
          <w:lang w:eastAsia="x-none"/>
        </w:rPr>
        <w:t xml:space="preserve"> </w:t>
      </w:r>
    </w:p>
    <w:p>
      <w:pPr>
        <w:pStyle w:val="Normal"/>
        <w:keepNext w:val="true"/>
        <w:numPr>
          <w:ilvl w:val="0"/>
          <w:numId w:val="0"/>
        </w:numPr>
        <w:spacing w:before="120" w:after="60"/>
        <w:ind w:firstLine="142"/>
        <w:jc w:val="right"/>
        <w:outlineLvl w:val="0"/>
        <w:rPr>
          <w:rFonts w:eastAsia="Calibri"/>
          <w:sz w:val="24"/>
          <w:szCs w:val="24"/>
          <w:lang w:eastAsia="x-none"/>
        </w:rPr>
      </w:pPr>
      <w:bookmarkStart w:id="14" w:name="_Toc50125126"/>
      <w:bookmarkStart w:id="15" w:name="_Toc126072367"/>
      <w:bookmarkStart w:id="16" w:name="_Toc51339697"/>
      <w:bookmarkStart w:id="17" w:name="_Toc50125127"/>
      <w:bookmarkEnd w:id="14"/>
      <w:r>
        <w:rPr>
          <w:rFonts w:eastAsia="Calibri"/>
          <w:sz w:val="24"/>
          <w:szCs w:val="24"/>
          <w:lang w:val="x-none" w:eastAsia="x-none"/>
        </w:rPr>
        <w:t xml:space="preserve">Таблица </w:t>
      </w:r>
      <w:r>
        <w:rPr>
          <w:rFonts w:eastAsia="Calibri"/>
          <w:sz w:val="24"/>
          <w:szCs w:val="24"/>
          <w:lang w:eastAsia="x-none"/>
        </w:rPr>
        <w:t>2</w:t>
      </w:r>
      <w:r>
        <w:rPr>
          <w:rFonts w:eastAsia="Calibri"/>
          <w:sz w:val="24"/>
          <w:szCs w:val="24"/>
          <w:lang w:val="x-none" w:eastAsia="x-none"/>
        </w:rPr>
        <w:t>.</w:t>
      </w:r>
      <w:bookmarkStart w:id="18" w:name="_Hlk50465284"/>
      <w:r>
        <w:rPr>
          <w:rFonts w:eastAsia="Calibri"/>
          <w:sz w:val="24"/>
          <w:szCs w:val="24"/>
          <w:lang w:eastAsia="x-none"/>
        </w:rPr>
        <w:t xml:space="preserve"> </w:t>
      </w:r>
      <w:r>
        <w:rPr>
          <w:rFonts w:eastAsia="Calibri"/>
          <w:sz w:val="24"/>
          <w:szCs w:val="24"/>
          <w:lang w:val="x-none" w:eastAsia="x-none"/>
        </w:rPr>
        <w:t xml:space="preserve">Требования по срокам </w:t>
      </w:r>
      <w:bookmarkEnd w:id="16"/>
      <w:bookmarkEnd w:id="17"/>
      <w:bookmarkEnd w:id="18"/>
      <w:r>
        <w:rPr>
          <w:rFonts w:eastAsia="Calibri"/>
          <w:sz w:val="24"/>
          <w:szCs w:val="24"/>
          <w:lang w:eastAsia="x-none"/>
        </w:rPr>
        <w:t>поставки продукции</w:t>
      </w:r>
      <w:bookmarkEnd w:id="15"/>
      <w:r>
        <w:rPr>
          <w:rFonts w:eastAsia="Calibri"/>
          <w:sz w:val="24"/>
          <w:szCs w:val="24"/>
          <w:lang w:eastAsia="x-none"/>
        </w:rPr>
        <w:t xml:space="preserve"> </w:t>
      </w:r>
    </w:p>
    <w:tbl>
      <w:tblPr>
        <w:tblW w:w="9922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04"/>
        <w:gridCol w:w="3264"/>
        <w:gridCol w:w="2835"/>
        <w:gridCol w:w="3118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>
          <w:trHeight w:val="417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Железобетонные изделия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 момента подписания договора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течение 70 календарных дней с момента подписания договора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before="120" w:after="60"/>
        <w:ind w:firstLine="567"/>
        <w:outlineLvl w:val="0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keepNext w:val="true"/>
        <w:numPr>
          <w:ilvl w:val="0"/>
          <w:numId w:val="0"/>
        </w:numPr>
        <w:spacing w:before="120" w:after="60"/>
        <w:outlineLvl w:val="0"/>
        <w:rPr>
          <w:rFonts w:eastAsia="Calibri"/>
          <w:b/>
          <w:lang w:val="x-none" w:eastAsia="x-none"/>
        </w:rPr>
      </w:pPr>
      <w:r>
        <w:rPr>
          <w:rFonts w:eastAsia="Calibri"/>
          <w:b/>
          <w:lang w:val="x-none" w:eastAsia="x-none"/>
        </w:rPr>
      </w:r>
      <w:bookmarkStart w:id="19" w:name="_Toc46743510"/>
      <w:bookmarkStart w:id="20" w:name="_Toc54785622"/>
      <w:bookmarkStart w:id="21" w:name="_Toc46743510"/>
      <w:bookmarkStart w:id="22" w:name="_Toc54785622"/>
      <w:bookmarkEnd w:id="21"/>
      <w:bookmarkEnd w:id="22"/>
    </w:p>
    <w:p>
      <w:pPr>
        <w:pStyle w:val="Heading4"/>
        <w:numPr>
          <w:ilvl w:val="1"/>
          <w:numId w:val="10"/>
        </w:numPr>
        <w:rPr/>
      </w:pPr>
      <w:bookmarkStart w:id="23" w:name="_Toc51339698"/>
      <w:bookmarkStart w:id="24" w:name="_Toc126072368"/>
      <w:bookmarkStart w:id="25" w:name="_Toc46743511"/>
      <w:r>
        <w:rPr/>
        <w:t xml:space="preserve">Требования к </w:t>
      </w:r>
      <w:bookmarkEnd w:id="25"/>
      <w:r>
        <w:rPr>
          <w:lang w:val="ru-RU"/>
        </w:rPr>
        <w:t>качеству продукции</w:t>
      </w:r>
      <w:bookmarkEnd w:id="24"/>
      <w:r>
        <w:rPr>
          <w:lang w:val="ru-RU"/>
        </w:rPr>
        <w:t xml:space="preserve"> </w:t>
      </w:r>
      <w:r>
        <w:rPr>
          <w:b w:val="false"/>
        </w:rPr>
        <w:t>(представлены в таблиц</w:t>
      </w:r>
      <w:r>
        <w:rPr>
          <w:b w:val="false"/>
          <w:lang w:val="ru-RU"/>
        </w:rPr>
        <w:t>ах</w:t>
      </w:r>
      <w:r>
        <w:rPr>
          <w:b w:val="false"/>
        </w:rPr>
        <w:t xml:space="preserve"> </w:t>
      </w:r>
      <w:r>
        <w:rPr>
          <w:b w:val="false"/>
          <w:lang w:val="ru-RU"/>
        </w:rPr>
        <w:t>3 и 4</w:t>
      </w:r>
      <w:r>
        <w:rPr>
          <w:b w:val="false"/>
        </w:rPr>
        <w:t>).</w:t>
      </w:r>
    </w:p>
    <w:p>
      <w:pPr>
        <w:pStyle w:val="Heading1"/>
        <w:keepLines/>
        <w:numPr>
          <w:ilvl w:val="0"/>
          <w:numId w:val="0"/>
        </w:numPr>
        <w:spacing w:before="0" w:after="0"/>
        <w:ind w:left="4248" w:firstLine="708"/>
        <w:jc w:val="right"/>
        <w:rPr>
          <w:b w:val="false"/>
          <w:sz w:val="24"/>
          <w:szCs w:val="24"/>
          <w:lang w:val="ru-RU"/>
        </w:rPr>
      </w:pPr>
      <w:bookmarkStart w:id="26" w:name="_Toc126072369"/>
      <w:r>
        <w:rPr>
          <w:b w:val="false"/>
          <w:sz w:val="24"/>
          <w:szCs w:val="24"/>
        </w:rPr>
        <w:t>Таблица</w:t>
      </w:r>
      <w:r>
        <w:rPr>
          <w:b w:val="false"/>
          <w:sz w:val="24"/>
          <w:szCs w:val="24"/>
          <w:lang w:val="ru-RU"/>
        </w:rPr>
        <w:t xml:space="preserve"> 3.</w:t>
      </w:r>
      <w:r>
        <w:rPr>
          <w:b w:val="false"/>
          <w:sz w:val="24"/>
          <w:szCs w:val="24"/>
        </w:rPr>
        <w:t xml:space="preserve"> Требования к </w:t>
      </w:r>
      <w:r>
        <w:rPr>
          <w:b w:val="false"/>
          <w:sz w:val="24"/>
          <w:szCs w:val="24"/>
          <w:lang w:val="ru-RU"/>
        </w:rPr>
        <w:t>продукции</w:t>
      </w:r>
      <w:bookmarkEnd w:id="26"/>
    </w:p>
    <w:p>
      <w:pPr>
        <w:pStyle w:val="Heading1"/>
        <w:keepLines/>
        <w:numPr>
          <w:ilvl w:val="0"/>
          <w:numId w:val="0"/>
        </w:numPr>
        <w:spacing w:before="0" w:after="0"/>
        <w:ind w:left="4248" w:firstLine="708"/>
        <w:jc w:val="right"/>
        <w:rPr>
          <w:b w:val="false"/>
          <w:sz w:val="24"/>
          <w:szCs w:val="24"/>
        </w:rPr>
      </w:pPr>
      <w:bookmarkStart w:id="27" w:name="_Toc50125131"/>
      <w:bookmarkStart w:id="28" w:name="_Toc51339698"/>
      <w:r>
        <w:rPr>
          <w:b w:val="false"/>
          <w:sz w:val="24"/>
          <w:szCs w:val="24"/>
        </w:rPr>
        <w:t xml:space="preserve"> </w:t>
      </w:r>
      <w:bookmarkEnd w:id="27"/>
      <w:bookmarkEnd w:id="28"/>
    </w:p>
    <w:p>
      <w:pPr>
        <w:pStyle w:val="Normal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Наименование продукции (позиция № 1 Таблицы 1):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Крышка ППЛ-3 железобетонная для усиленного ж/б лотка Л1т</w:t>
      </w:r>
    </w:p>
    <w:tbl>
      <w:tblPr>
        <w:tblStyle w:val="af"/>
        <w:tblW w:w="1531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48"/>
        <w:gridCol w:w="3402"/>
        <w:gridCol w:w="712"/>
        <w:gridCol w:w="3260"/>
        <w:gridCol w:w="2126"/>
        <w:gridCol w:w="2138"/>
        <w:gridCol w:w="6"/>
        <w:gridCol w:w="9"/>
        <w:gridCol w:w="8"/>
        <w:gridCol w:w="6"/>
        <w:gridCol w:w="2771"/>
        <w:gridCol w:w="6"/>
        <w:gridCol w:w="9"/>
        <w:gridCol w:w="9"/>
        <w:gridCol w:w="5"/>
      </w:tblGrid>
      <w:tr>
        <w:trPr/>
        <w:tc>
          <w:tcPr>
            <w:tcW w:w="848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4114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260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293" w:type="dxa"/>
            <w:gridSpan w:val="6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800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48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114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13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800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11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26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13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800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374" w:type="dxa"/>
            <w:gridSpan w:val="3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53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00" w:type="dxa"/>
            <w:gridSpan w:val="5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7374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в отношении первой позиции продукции представлены в Приложении № 1 (Индивидуальный чертеж, согласно ТЗ на разработку типовых проектных решений от 24.08.2017) к настоящим Техническим требованиям.</w:t>
            </w:r>
          </w:p>
        </w:tc>
        <w:tc>
          <w:tcPr>
            <w:tcW w:w="212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5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00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4114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Габариты</w:t>
            </w:r>
          </w:p>
        </w:tc>
        <w:tc>
          <w:tcPr>
            <w:tcW w:w="326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Длина, не более: 2980 мм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Ширина, не более: 90 мм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Высота, не более: 120 мм</w:t>
            </w:r>
          </w:p>
        </w:tc>
        <w:tc>
          <w:tcPr>
            <w:tcW w:w="212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161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01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374" w:type="dxa"/>
            <w:gridSpan w:val="3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53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00" w:type="dxa"/>
            <w:gridSpan w:val="5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374" w:type="dxa"/>
            <w:gridSpan w:val="3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в отношении первой позиции продукции представлены в Приложении № 1 (Индивидуальный чертеж, согласно ТЗ на разработку типовых проектных решений от 24.08.2017) к настоящим Техническим требованиям.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53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00" w:type="dxa"/>
            <w:gridSpan w:val="5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Класс бетона по прочности</w:t>
            </w:r>
          </w:p>
        </w:tc>
        <w:tc>
          <w:tcPr>
            <w:tcW w:w="3972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В25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144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00" w:type="dxa"/>
            <w:gridSpan w:val="5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Марка бетона по морозостойкости</w:t>
            </w:r>
          </w:p>
        </w:tc>
        <w:tc>
          <w:tcPr>
            <w:tcW w:w="3972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 xml:space="preserve">Не ниже </w:t>
            </w: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en-US" w:eastAsia="ru-RU" w:bidi="ar-SA"/>
              </w:rPr>
              <w:t>F200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144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00" w:type="dxa"/>
            <w:gridSpan w:val="5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Марка бетона по водонепроницаемости</w:t>
            </w:r>
          </w:p>
        </w:tc>
        <w:tc>
          <w:tcPr>
            <w:tcW w:w="3972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en-US" w:eastAsia="ru-RU" w:bidi="ar-SA"/>
              </w:rPr>
              <w:t>W4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144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00" w:type="dxa"/>
            <w:gridSpan w:val="5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Отпускная прочность</w:t>
            </w:r>
          </w:p>
        </w:tc>
        <w:tc>
          <w:tcPr>
            <w:tcW w:w="3972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Не менее 70%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144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00" w:type="dxa"/>
            <w:gridSpan w:val="5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Способ соединения арматуры в каркасы</w:t>
            </w:r>
          </w:p>
        </w:tc>
        <w:tc>
          <w:tcPr>
            <w:tcW w:w="3972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сварной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44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00" w:type="dxa"/>
            <w:gridSpan w:val="5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8" w:type="dxa"/>
            <w:tcBorders/>
          </w:tcPr>
          <w:p>
            <w:pPr>
              <w:pStyle w:val="Normal"/>
              <w:widowControl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</w:t>
            </w:r>
          </w:p>
        </w:tc>
        <w:tc>
          <w:tcPr>
            <w:tcW w:w="3972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53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00" w:type="dxa"/>
            <w:gridSpan w:val="5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8" w:type="dxa"/>
            <w:tcBorders/>
          </w:tcPr>
          <w:p>
            <w:pPr>
              <w:pStyle w:val="Normal"/>
              <w:widowControl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3.1.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Место поставки </w:t>
            </w:r>
          </w:p>
        </w:tc>
        <w:tc>
          <w:tcPr>
            <w:tcW w:w="3972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Филиал Центральные электрические сети (ЦЭС) ПАО «Якутскэнерго», 677021, Республика Саха (Якутия), г. Якутск , пр-кт Михаила Николаева, д.26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53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00" w:type="dxa"/>
            <w:gridSpan w:val="5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</w:tbl>
    <w:p>
      <w:pPr>
        <w:pStyle w:val="Normal"/>
        <w:spacing w:before="240" w:after="240"/>
        <w:jc w:val="both"/>
        <w:rPr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</w:r>
    </w:p>
    <w:p>
      <w:pPr>
        <w:pStyle w:val="Normal"/>
        <w:spacing w:before="240" w:after="240"/>
        <w:jc w:val="both"/>
        <w:rPr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</w:r>
    </w:p>
    <w:p>
      <w:pPr>
        <w:pStyle w:val="Normal"/>
        <w:spacing w:before="240" w:after="240"/>
        <w:jc w:val="both"/>
        <w:rPr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</w:r>
    </w:p>
    <w:p>
      <w:pPr>
        <w:pStyle w:val="Normal"/>
        <w:spacing w:before="240" w:after="240"/>
        <w:jc w:val="both"/>
        <w:rPr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</w:r>
    </w:p>
    <w:p>
      <w:pPr>
        <w:pStyle w:val="Normal"/>
        <w:spacing w:before="240" w:after="240"/>
        <w:jc w:val="both"/>
        <w:rPr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</w:r>
    </w:p>
    <w:p>
      <w:pPr>
        <w:pStyle w:val="Normal"/>
        <w:spacing w:before="240" w:after="240"/>
        <w:jc w:val="both"/>
        <w:rPr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</w:r>
    </w:p>
    <w:p>
      <w:pPr>
        <w:pStyle w:val="Normal"/>
        <w:spacing w:before="240" w:after="240"/>
        <w:jc w:val="both"/>
        <w:rPr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</w:r>
    </w:p>
    <w:p>
      <w:pPr>
        <w:pStyle w:val="Normal"/>
        <w:spacing w:before="240" w:after="240"/>
        <w:jc w:val="both"/>
        <w:rPr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</w:r>
    </w:p>
    <w:p>
      <w:pPr>
        <w:pStyle w:val="Normal"/>
        <w:spacing w:before="240" w:after="240"/>
        <w:jc w:val="both"/>
        <w:rPr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</w:r>
    </w:p>
    <w:p>
      <w:pPr>
        <w:pStyle w:val="Normal"/>
        <w:spacing w:before="240" w:after="240"/>
        <w:jc w:val="both"/>
        <w:rPr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</w:r>
    </w:p>
    <w:p>
      <w:pPr>
        <w:pStyle w:val="Normal"/>
        <w:spacing w:before="240" w:after="240"/>
        <w:jc w:val="both"/>
        <w:rPr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4248" w:firstLine="708"/>
        <w:jc w:val="righ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Таблица</w:t>
      </w:r>
      <w:r>
        <w:rPr>
          <w:b w:val="false"/>
          <w:sz w:val="24"/>
          <w:szCs w:val="24"/>
          <w:lang w:val="ru-RU"/>
        </w:rPr>
        <w:t xml:space="preserve"> 4.</w:t>
      </w:r>
      <w:r>
        <w:rPr>
          <w:b w:val="false"/>
          <w:sz w:val="24"/>
          <w:szCs w:val="24"/>
        </w:rPr>
        <w:t xml:space="preserve"> Требования к </w:t>
      </w:r>
      <w:r>
        <w:rPr>
          <w:b w:val="false"/>
          <w:sz w:val="24"/>
          <w:szCs w:val="24"/>
          <w:lang w:val="ru-RU"/>
        </w:rPr>
        <w:t>продукции</w:t>
      </w:r>
      <w:r>
        <w:rPr>
          <w:b w:val="false"/>
          <w:sz w:val="24"/>
          <w:szCs w:val="24"/>
        </w:rPr>
        <w:t xml:space="preserve"> </w:t>
      </w:r>
    </w:p>
    <w:p>
      <w:pPr>
        <w:pStyle w:val="Normal"/>
        <w:spacing w:before="240" w:after="240"/>
        <w:rPr>
          <w:rStyle w:val="Style8"/>
          <w:b w:val="false"/>
          <w:sz w:val="24"/>
          <w:szCs w:val="24"/>
          <w:shd w:fill="auto" w:val="clear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(позиция № 2 Таблицы 1): </w:t>
      </w:r>
      <w:r>
        <w:rPr>
          <w:sz w:val="24"/>
          <w:szCs w:val="24"/>
        </w:rPr>
        <w:t>Лоток Л1т железобетонный усиленный</w:t>
      </w:r>
    </w:p>
    <w:tbl>
      <w:tblPr>
        <w:tblStyle w:val="af"/>
        <w:tblW w:w="1550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2"/>
        <w:gridCol w:w="3258"/>
        <w:gridCol w:w="3113"/>
        <w:gridCol w:w="8"/>
        <w:gridCol w:w="2402"/>
        <w:gridCol w:w="8"/>
        <w:gridCol w:w="2826"/>
        <w:gridCol w:w="8"/>
        <w:gridCol w:w="2969"/>
        <w:gridCol w:w="6"/>
        <w:gridCol w:w="53"/>
      </w:tblGrid>
      <w:tr>
        <w:trPr/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258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113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244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977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58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83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977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25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113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83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977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379" w:type="dxa"/>
            <w:gridSpan w:val="3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379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в отношении второй позиции продукции представлены в Приложении № 1 (Индивидуальный чертеж, согласно ТЗ на разработку типовых проектных решений от 24.08.2017) к настоящим Техническим требованиям</w:t>
            </w:r>
          </w:p>
        </w:tc>
        <w:tc>
          <w:tcPr>
            <w:tcW w:w="241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4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7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25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Габариты</w:t>
            </w:r>
          </w:p>
        </w:tc>
        <w:tc>
          <w:tcPr>
            <w:tcW w:w="311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Длина, не более: 2980 мм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Ширина, не более: 1290 мм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Высота, не более: 550 мм</w:t>
            </w:r>
          </w:p>
        </w:tc>
        <w:tc>
          <w:tcPr>
            <w:tcW w:w="241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834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77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379" w:type="dxa"/>
            <w:gridSpan w:val="3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379" w:type="dxa"/>
            <w:gridSpan w:val="3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в отношении первой позиции продукции представлены в Приложении № 1 (Индивидуальный чертеж, согласно ТЗ на разработку типовых проектных решений от 24.08.2017) к настоящим Техническим требованиям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7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25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Класс бетона по прочности</w:t>
            </w:r>
          </w:p>
        </w:tc>
        <w:tc>
          <w:tcPr>
            <w:tcW w:w="3121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В25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7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25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Марка бетона по морозостойкости</w:t>
            </w:r>
          </w:p>
        </w:tc>
        <w:tc>
          <w:tcPr>
            <w:tcW w:w="3121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 xml:space="preserve">Не ниже </w:t>
            </w: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en-US" w:eastAsia="ru-RU" w:bidi="ar-SA"/>
              </w:rPr>
              <w:t>F200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7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25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Марка бетона по водонепроницаемости</w:t>
            </w:r>
          </w:p>
        </w:tc>
        <w:tc>
          <w:tcPr>
            <w:tcW w:w="3121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en-US" w:eastAsia="ru-RU" w:bidi="ar-SA"/>
              </w:rPr>
              <w:t>W4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7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25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Отпускная прочность</w:t>
            </w:r>
          </w:p>
        </w:tc>
        <w:tc>
          <w:tcPr>
            <w:tcW w:w="3121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Не менее 70%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7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25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Способ соединения арматуры в каркасы</w:t>
            </w:r>
          </w:p>
        </w:tc>
        <w:tc>
          <w:tcPr>
            <w:tcW w:w="3121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сварной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7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</w:tcPr>
          <w:p>
            <w:pPr>
              <w:pStyle w:val="Normal"/>
              <w:widowControl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325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</w:t>
            </w:r>
          </w:p>
        </w:tc>
        <w:tc>
          <w:tcPr>
            <w:tcW w:w="3121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2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</w:tcPr>
          <w:p>
            <w:pPr>
              <w:pStyle w:val="Normal"/>
              <w:widowControl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3.1.</w:t>
            </w:r>
          </w:p>
        </w:tc>
        <w:tc>
          <w:tcPr>
            <w:tcW w:w="325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Место поставки </w:t>
            </w:r>
          </w:p>
        </w:tc>
        <w:tc>
          <w:tcPr>
            <w:tcW w:w="3121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Филиал Центральные электрические сети (ЦЭС) ПАО «Якутскэнерго», 677021, Республика Саха (Якутия), г. Якутск , пр-кт Михаила Николаева, д.26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2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Heading1"/>
        <w:keepLines/>
        <w:numPr>
          <w:ilvl w:val="0"/>
          <w:numId w:val="0"/>
        </w:numPr>
        <w:spacing w:before="0" w:after="0"/>
        <w:ind w:left="4248" w:firstLine="708"/>
        <w:jc w:val="righ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</w:p>
    <w:p>
      <w:pPr>
        <w:pStyle w:val="Normal"/>
        <w:jc w:val="right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</w:p>
    <w:p>
      <w:pPr>
        <w:pStyle w:val="Normal"/>
        <w:jc w:val="right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</w:p>
    <w:p>
      <w:pPr>
        <w:pStyle w:val="Normal"/>
        <w:jc w:val="right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</w:p>
    <w:p>
      <w:pPr>
        <w:pStyle w:val="Normal"/>
        <w:jc w:val="right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</w:p>
    <w:p>
      <w:pPr>
        <w:pStyle w:val="Normal"/>
        <w:jc w:val="right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</w:p>
    <w:p>
      <w:pPr>
        <w:pStyle w:val="Normal"/>
        <w:jc w:val="right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Таблица 5. Требования к продукции (Общие требования)</w:t>
      </w:r>
    </w:p>
    <w:p>
      <w:pPr>
        <w:pStyle w:val="Heading4"/>
        <w:numPr>
          <w:ilvl w:val="0"/>
          <w:numId w:val="0"/>
        </w:numPr>
        <w:spacing w:before="0" w:after="0"/>
        <w:ind w:left="1000" w:hanging="0"/>
        <w:rPr>
          <w:lang w:val="ru-RU"/>
        </w:rPr>
      </w:pPr>
      <w:r>
        <w:rPr>
          <w:lang w:val="ru-RU"/>
        </w:rPr>
      </w:r>
    </w:p>
    <w:p>
      <w:pPr>
        <w:pStyle w:val="Heading4"/>
        <w:numPr>
          <w:ilvl w:val="1"/>
          <w:numId w:val="10"/>
        </w:numPr>
        <w:spacing w:before="0" w:after="0"/>
        <w:rPr>
          <w:lang w:val="ru-RU"/>
        </w:rPr>
      </w:pPr>
      <w:r>
        <w:rPr>
          <w:lang w:val="ru-RU"/>
        </w:rPr>
        <w:t>Общие требования к позициям Таблицы 1</w:t>
      </w:r>
    </w:p>
    <w:p>
      <w:pPr>
        <w:pStyle w:val="ListParagraph"/>
        <w:ind w:left="432" w:hanging="0"/>
        <w:rPr>
          <w:lang w:eastAsia="x-none"/>
        </w:rPr>
      </w:pPr>
      <w:r>
        <w:rPr>
          <w:lang w:eastAsia="x-none"/>
        </w:rPr>
      </w:r>
    </w:p>
    <w:tbl>
      <w:tblPr>
        <w:tblStyle w:val="af"/>
        <w:tblW w:w="15359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41"/>
        <w:gridCol w:w="8"/>
        <w:gridCol w:w="3896"/>
        <w:gridCol w:w="74"/>
        <w:gridCol w:w="3970"/>
        <w:gridCol w:w="1956"/>
        <w:gridCol w:w="29"/>
        <w:gridCol w:w="1926"/>
        <w:gridCol w:w="58"/>
        <w:gridCol w:w="2551"/>
        <w:gridCol w:w="49"/>
      </w:tblGrid>
      <w:tr>
        <w:trPr/>
        <w:tc>
          <w:tcPr>
            <w:tcW w:w="849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970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970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3969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55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9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970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97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85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98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55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9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97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9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985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98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1.</w:t>
            </w:r>
          </w:p>
        </w:tc>
        <w:tc>
          <w:tcPr>
            <w:tcW w:w="7948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5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1.1.</w:t>
            </w:r>
          </w:p>
        </w:tc>
        <w:tc>
          <w:tcPr>
            <w:tcW w:w="7948" w:type="dxa"/>
            <w:gridSpan w:val="4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Поставщик гарантирует, что товар отвечает стандартам безопасности в соответствии с действующим законодательством Российской Федерации и соответствует техническим характеристикам товара, заявленным в заявке.</w:t>
            </w:r>
          </w:p>
        </w:tc>
        <w:tc>
          <w:tcPr>
            <w:tcW w:w="195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5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2.</w:t>
            </w:r>
          </w:p>
        </w:tc>
        <w:tc>
          <w:tcPr>
            <w:tcW w:w="7948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5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2.1.</w:t>
            </w:r>
          </w:p>
        </w:tc>
        <w:tc>
          <w:tcPr>
            <w:tcW w:w="390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 xml:space="preserve">Климатическое исполнение поставляемого изделия </w:t>
            </w:r>
          </w:p>
        </w:tc>
        <w:tc>
          <w:tcPr>
            <w:tcW w:w="404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ГОСТ 13015-2012 «Изделия бетонные и железобетонные для строительства. Общие технические требования. Правила приемки, маркировки, транспортирования и хранения»*.</w:t>
            </w:r>
          </w:p>
        </w:tc>
        <w:tc>
          <w:tcPr>
            <w:tcW w:w="195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5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3.</w:t>
            </w:r>
          </w:p>
        </w:tc>
        <w:tc>
          <w:tcPr>
            <w:tcW w:w="7948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5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ListParagraph"/>
              <w:widowControl/>
              <w:spacing w:before="60" w:after="60"/>
              <w:ind w:left="2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3.1.</w:t>
            </w:r>
          </w:p>
        </w:tc>
        <w:tc>
          <w:tcPr>
            <w:tcW w:w="390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Условия транспортирования</w:t>
            </w:r>
          </w:p>
        </w:tc>
        <w:tc>
          <w:tcPr>
            <w:tcW w:w="4044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ГОСТ 13015-2012 «Изделия бетонные и железобетонные для строительства. Общие технические требования. Правила приемки, маркировки, транспортирования и хранения»*.</w:t>
            </w:r>
          </w:p>
        </w:tc>
        <w:tc>
          <w:tcPr>
            <w:tcW w:w="195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55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58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ListParagraph"/>
              <w:widowControl/>
              <w:spacing w:before="60" w:after="60"/>
              <w:ind w:left="2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3.2.</w:t>
            </w:r>
          </w:p>
        </w:tc>
        <w:tc>
          <w:tcPr>
            <w:tcW w:w="390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Требования к маркировке</w:t>
            </w:r>
          </w:p>
        </w:tc>
        <w:tc>
          <w:tcPr>
            <w:tcW w:w="4044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 xml:space="preserve">Маркировку </w:t>
            </w: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ru-RU"/>
              </w:rPr>
              <w:t>железобетонных</w:t>
            </w: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 изделий</w:t>
            </w: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 xml:space="preserve"> следует производить по ГОСТ 13015-12. </w:t>
            </w: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Маркировочные надписи должны быть видимыми при хранении, нанесены несмываемой краской (водостойкой, светостойкой, устойчивой к воздействию низких температур, прочной на истирание и размазывание)*</w:t>
            </w:r>
          </w:p>
        </w:tc>
        <w:tc>
          <w:tcPr>
            <w:tcW w:w="195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55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58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4.</w:t>
            </w:r>
          </w:p>
        </w:tc>
        <w:tc>
          <w:tcPr>
            <w:tcW w:w="7948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4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эксплуатации, обеспечению и утилизации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before="4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55" w:type="dxa"/>
            <w:gridSpan w:val="2"/>
            <w:tcBorders/>
          </w:tcPr>
          <w:p>
            <w:pPr>
              <w:pStyle w:val="Normal"/>
              <w:widowControl/>
              <w:spacing w:before="4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58" w:type="dxa"/>
            <w:gridSpan w:val="3"/>
            <w:tcBorders/>
          </w:tcPr>
          <w:p>
            <w:pPr>
              <w:pStyle w:val="Normal"/>
              <w:widowControl/>
              <w:spacing w:before="4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ListParagraph"/>
              <w:widowControl/>
              <w:spacing w:before="60" w:after="60"/>
              <w:ind w:left="2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4.1.</w:t>
            </w:r>
          </w:p>
        </w:tc>
        <w:tc>
          <w:tcPr>
            <w:tcW w:w="7948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 xml:space="preserve">Погрузка, крепление и транспортирование </w:t>
            </w: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ru-RU"/>
              </w:rPr>
              <w:t>железобетонных</w:t>
            </w: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 изделий</w:t>
            </w: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 xml:space="preserve"> должны проводиться в соответствии с требованиями ГОСТ 13015-12*, разработанными на </w:t>
            </w: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предприятии-изготовителе</w:t>
            </w: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 xml:space="preserve"> схемами крепления и загрузки.</w:t>
            </w:r>
          </w:p>
        </w:tc>
        <w:tc>
          <w:tcPr>
            <w:tcW w:w="195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5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ListParagraph"/>
              <w:widowControl/>
              <w:spacing w:before="60" w:after="60"/>
              <w:ind w:left="2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4.2.</w:t>
            </w:r>
          </w:p>
        </w:tc>
        <w:tc>
          <w:tcPr>
            <w:tcW w:w="7948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Поставщик обеспечивает упаковку (укладку) товара, способную предотвратить его повреждение или порчу во время перевозки к конечному пункту назначения.</w:t>
            </w:r>
          </w:p>
        </w:tc>
        <w:tc>
          <w:tcPr>
            <w:tcW w:w="195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5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ListParagraph"/>
              <w:widowControl/>
              <w:spacing w:before="60" w:after="60"/>
              <w:ind w:left="2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4.3.</w:t>
            </w:r>
          </w:p>
        </w:tc>
        <w:tc>
          <w:tcPr>
            <w:tcW w:w="7948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Транспортированию подлежат только те </w:t>
            </w: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ru-RU"/>
              </w:rPr>
              <w:t>железобетонные</w:t>
            </w: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 изделия, прочность бетона которых достигла требуемой отпускной прочности.</w:t>
            </w:r>
          </w:p>
        </w:tc>
        <w:tc>
          <w:tcPr>
            <w:tcW w:w="195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5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5.</w:t>
            </w:r>
          </w:p>
        </w:tc>
        <w:tc>
          <w:tcPr>
            <w:tcW w:w="7948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55" w:type="dxa"/>
            <w:gridSpan w:val="2"/>
            <w:tcBorders/>
          </w:tcPr>
          <w:p>
            <w:pPr>
              <w:pStyle w:val="Normal"/>
              <w:widowControl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58" w:type="dxa"/>
            <w:gridSpan w:val="3"/>
            <w:tcBorders/>
          </w:tcPr>
          <w:p>
            <w:pPr>
              <w:pStyle w:val="Normal"/>
              <w:widowControl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5.1.</w:t>
            </w:r>
          </w:p>
        </w:tc>
        <w:tc>
          <w:tcPr>
            <w:tcW w:w="390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Срок гарантии</w:t>
            </w:r>
          </w:p>
        </w:tc>
        <w:tc>
          <w:tcPr>
            <w:tcW w:w="404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Гарантийный срок определяется согласно сроков </w:t>
            </w: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предприятия-изготовителя</w:t>
            </w:r>
            <w:r>
              <w:rPr>
                <w:rFonts w:eastAsia="Times New Roman" w:cs="Times New Roman"/>
                <w:i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, но не менее 24 месяцев с момента поставки товара на склад Покупателя</w:t>
            </w:r>
          </w:p>
        </w:tc>
        <w:tc>
          <w:tcPr>
            <w:tcW w:w="195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55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58" w:type="dxa"/>
            <w:gridSpan w:val="3"/>
            <w:tcBorders/>
          </w:tcPr>
          <w:p>
            <w:pPr>
              <w:pStyle w:val="Style26"/>
              <w:keepNext w:val="false"/>
              <w:widowControl/>
              <w:numPr>
                <w:ilvl w:val="0"/>
                <w:numId w:val="0"/>
              </w:numPr>
              <w:spacing w:before="0" w:after="6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157" w:hRule="atLeast"/>
        </w:trPr>
        <w:tc>
          <w:tcPr>
            <w:tcW w:w="841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6.</w:t>
            </w:r>
          </w:p>
        </w:tc>
        <w:tc>
          <w:tcPr>
            <w:tcW w:w="7948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55" w:type="dxa"/>
            <w:gridSpan w:val="2"/>
            <w:tcBorders/>
          </w:tcPr>
          <w:p>
            <w:pPr>
              <w:pStyle w:val="Normal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58" w:type="dxa"/>
            <w:gridSpan w:val="3"/>
            <w:tcBorders/>
          </w:tcPr>
          <w:p>
            <w:pPr>
              <w:pStyle w:val="Normal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ListParagraph"/>
              <w:widowControl/>
              <w:spacing w:before="60" w:after="60"/>
              <w:ind w:left="2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6.1.</w:t>
            </w:r>
          </w:p>
        </w:tc>
        <w:tc>
          <w:tcPr>
            <w:tcW w:w="390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 с изделием</w:t>
            </w:r>
          </w:p>
        </w:tc>
        <w:tc>
          <w:tcPr>
            <w:tcW w:w="404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Каждая поставляемая партия </w:t>
            </w: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ru-RU"/>
              </w:rPr>
              <w:t>железобетонных</w:t>
            </w: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 изделий должна сопровождаться документом о качестве (паспортом качества) в соответствии с ГОСТ 13015-2012*</w:t>
            </w:r>
          </w:p>
        </w:tc>
        <w:tc>
          <w:tcPr>
            <w:tcW w:w="195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55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Calibri"/>
                <w:i/>
                <w:kern w:val="0"/>
                <w:sz w:val="24"/>
                <w:szCs w:val="24"/>
                <w:lang w:val="ru-RU" w:eastAsia="ru-RU" w:bidi="ar-SA"/>
              </w:rPr>
              <w:t>В случае, когда Товар не подлежит обязательной сертификации, Участник предоставляет информационное письмо в произвольной форме подтверждающее, что Товар, указанный в договоре, не подлежит обязательной сертификации.</w:t>
            </w:r>
          </w:p>
        </w:tc>
        <w:tc>
          <w:tcPr>
            <w:tcW w:w="26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7.</w:t>
            </w:r>
          </w:p>
        </w:tc>
        <w:tc>
          <w:tcPr>
            <w:tcW w:w="7948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5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ListParagraph"/>
              <w:widowControl/>
              <w:spacing w:before="60" w:after="60"/>
              <w:ind w:left="2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7.1.</w:t>
            </w:r>
          </w:p>
        </w:tc>
        <w:tc>
          <w:tcPr>
            <w:tcW w:w="390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Соответствие стандартам </w:t>
            </w:r>
          </w:p>
        </w:tc>
        <w:tc>
          <w:tcPr>
            <w:tcW w:w="404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Поставщик гарантирует соответствие железобетонных изделий требованиям ГОСТ 13015-12, заявленной серии*</w:t>
            </w:r>
          </w:p>
        </w:tc>
        <w:tc>
          <w:tcPr>
            <w:tcW w:w="195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5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8.</w:t>
            </w:r>
          </w:p>
        </w:tc>
        <w:tc>
          <w:tcPr>
            <w:tcW w:w="7948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195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5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ListParagraph"/>
              <w:widowControl/>
              <w:spacing w:before="60" w:after="60"/>
              <w:ind w:left="2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8.1.</w:t>
            </w:r>
          </w:p>
        </w:tc>
        <w:tc>
          <w:tcPr>
            <w:tcW w:w="7948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Товар должен быть новым (период изготовления: не ранее 2024), ранее не использованным.</w:t>
            </w:r>
          </w:p>
        </w:tc>
        <w:tc>
          <w:tcPr>
            <w:tcW w:w="195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5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58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* В случае, если какой-либо из указанных в настоящих ТТ ГОСТ или нормативный документ в процессе проведения закупки был отменен в связи с выпуском новой редакции стандарта, то Участнику необходимо применять ГОСТ или нормативный документ, принятый в его развитие.</w:t>
      </w:r>
    </w:p>
    <w:p>
      <w:pPr>
        <w:pStyle w:val="Normal"/>
        <w:ind w:firstLine="9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В составе заявки необходимо предоставить:</w:t>
      </w:r>
    </w:p>
    <w:p>
      <w:pPr>
        <w:pStyle w:val="Normal"/>
        <w:spacing w:lineRule="auto" w:line="276"/>
        <w:ind w:firstLine="993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3.1 </w:t>
      </w:r>
      <w:r>
        <w:rPr>
          <w:sz w:val="24"/>
          <w:szCs w:val="24"/>
        </w:rPr>
        <w:t>. Документы и информацию, подтверждающие страну происхождения товара в соответствии с требованиями Постановления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 (далее - Постановление № 1875) или гарантийное письмо (в соответствии с разъяснением Министерства Финансов РФ от 31.01.2025 №24-01-06/8697) о представлении поставщиком информации и документов, подтверждающих страну происхождения товара в соответствии с требованиями Постановления № 1875 до момента поставки товара заказчику (указанные требования должны быть отражены в гарантийном письме). ".</w:t>
      </w:r>
    </w:p>
    <w:p>
      <w:pPr>
        <w:pStyle w:val="Normal"/>
        <w:ind w:firstLine="9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ind w:firstLine="9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Требования к документации по ценообразованию на этапе закупки.</w:t>
      </w:r>
    </w:p>
    <w:p>
      <w:pPr>
        <w:pStyle w:val="Normal"/>
        <w:ind w:firstLine="993"/>
        <w:rPr>
          <w:bCs/>
          <w:sz w:val="24"/>
          <w:szCs w:val="24"/>
        </w:rPr>
      </w:pPr>
      <w:r>
        <w:rPr>
          <w:bCs/>
          <w:sz w:val="24"/>
          <w:szCs w:val="24"/>
        </w:rPr>
        <w:t>Транспортные расходы, тара, упаковка, пломбирование и пр. сопутствующие затраты, в т.ч. связанные с транспортировкой должны быть учтены в цене продукции (</w:t>
      </w:r>
      <w:r>
        <w:rPr>
          <w:sz w:val="24"/>
          <w:szCs w:val="24"/>
        </w:rPr>
        <w:t>к позициям Таблицы 1</w:t>
      </w:r>
      <w:r>
        <w:rPr/>
        <w:t xml:space="preserve"> </w:t>
      </w:r>
      <w:r>
        <w:rPr>
          <w:sz w:val="24"/>
          <w:szCs w:val="24"/>
        </w:rPr>
        <w:t>Перечня и объемов закупаемой продукции</w:t>
      </w:r>
      <w:r>
        <w:rPr>
          <w:bCs/>
          <w:sz w:val="24"/>
          <w:szCs w:val="24"/>
        </w:rPr>
        <w:t xml:space="preserve">). </w:t>
      </w:r>
    </w:p>
    <w:p>
      <w:pPr>
        <w:pStyle w:val="ListParagraph"/>
        <w:ind w:left="0" w:firstLine="993"/>
        <w:rPr>
          <w:b/>
          <w:bCs/>
        </w:rPr>
      </w:pPr>
      <w:r>
        <w:rPr>
          <w:b/>
          <w:bCs/>
        </w:rPr>
        <w:t>5. Требования к документации по ценообразованию на этапе заключения (исполнения) договора».</w:t>
      </w:r>
    </w:p>
    <w:p>
      <w:pPr>
        <w:pStyle w:val="Normal"/>
        <w:ind w:firstLine="993"/>
        <w:rPr>
          <w:bCs/>
          <w:sz w:val="24"/>
          <w:szCs w:val="24"/>
        </w:rPr>
      </w:pPr>
      <w:r>
        <w:rPr>
          <w:bCs/>
          <w:sz w:val="24"/>
          <w:szCs w:val="24"/>
        </w:rPr>
        <w:t>Требования отсутствуют.</w:t>
      </w:r>
    </w:p>
    <w:p>
      <w:pPr>
        <w:pStyle w:val="ListParagraph"/>
        <w:numPr>
          <w:ilvl w:val="0"/>
          <w:numId w:val="7"/>
        </w:numPr>
        <w:ind w:left="0" w:firstLine="993"/>
        <w:rPr>
          <w:b/>
          <w:bCs/>
        </w:rPr>
      </w:pPr>
      <w:r>
        <w:rPr>
          <w:b/>
          <w:bCs/>
        </w:rPr>
        <w:t>Приложения:</w:t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ind w:firstLine="993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Приложение № 1 – Чертеж 1.</w:t>
      </w:r>
    </w:p>
    <w:p>
      <w:pPr>
        <w:pStyle w:val="Normal"/>
        <w:jc w:val="right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Приложение №1</w:t>
      </w:r>
    </w:p>
    <w:p>
      <w:pPr>
        <w:pStyle w:val="Normal"/>
        <w:jc w:val="right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Чертеж № 1 к техническим требованиям</w:t>
      </w:r>
      <w:r>
        <w:rPr/>
        <mc:AlternateContent>
          <mc:Choice Requires="wps">
            <w:drawing>
              <wp:inline distT="0" distB="0" distL="0" distR="0" wp14:anchorId="26310F7D">
                <wp:extent cx="8793480" cy="6213475"/>
                <wp:effectExtent l="1905" t="13970" r="635" b="0"/>
                <wp:docPr id="2" name="Рисунок 2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 rot="16200000">
                          <a:off x="0" y="0"/>
                          <a:ext cx="8793360" cy="62136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2" stroked="f" o:allowincell="f" style="position:absolute;margin-left:-101.55pt;margin-top:-592pt;width:692.35pt;height:489.2pt;mso-wrap-style:none;v-text-anchor:middle;rotation:270;mso-position-vertical:top" wp14:anchorId="26310F7D" type="_x0000_t75">
                <v:imagedata r:id="rId8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/>
        <mc:AlternateContent>
          <mc:Choice Requires="wps">
            <w:drawing>
              <wp:inline distT="0" distB="0" distL="0" distR="0" wp14:anchorId="64A8B95A">
                <wp:extent cx="8837930" cy="6250940"/>
                <wp:effectExtent l="10795" t="0" r="0" b="1270"/>
                <wp:docPr id="3" name="Рисунок 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 descr="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 rot="5400000">
                          <a:off x="0" y="0"/>
                          <a:ext cx="8838000" cy="62510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Рисунок 1" stroked="f" o:allowincell="f" style="position:absolute;margin-left:-101.85pt;margin-top:-594.2pt;width:695.85pt;height:492.15pt;mso-wrap-style:none;v-text-anchor:middle;rotation:90;mso-position-vertical:top" wp14:anchorId="64A8B95A" type="_x0000_t75">
                <v:imagedata r:id="rId10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/>
        <w:drawing>
          <wp:inline distT="0" distB="0" distL="0" distR="0">
            <wp:extent cx="6286500" cy="8672195"/>
            <wp:effectExtent l="0" t="0" r="0" b="0"/>
            <wp:docPr id="4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35226" t="11668" r="35285" b="11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67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9" w:name="_GoBack"/>
      <w:bookmarkEnd w:id="29"/>
    </w:p>
    <w:sectPr>
      <w:headerReference w:type="default" r:id="rId12"/>
      <w:headerReference w:type="first" r:id="rId13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6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700d5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0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8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basedOn w:val="DefaultParagraphFont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/>
  </w:style>
  <w:style w:type="paragraph" w:styleId="Style16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7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8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0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1" w:customStyle="1">
    <w:name w:val="Раздел регламента"/>
    <w:basedOn w:val="Normal"/>
    <w:qFormat/>
    <w:rsid w:val="00e228fa"/>
    <w:pPr/>
    <w:rPr/>
  </w:style>
  <w:style w:type="paragraph" w:styleId="Style22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3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4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4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3" w:customStyle="1">
    <w:name w:val="List 3"/>
    <w:basedOn w:val="Normal"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5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6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7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8" w:customStyle="1">
    <w:name w:val="Подподпункт"/>
    <w:basedOn w:val="Style20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29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0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1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2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image" Target="media/image1.png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header" Target="header6.xml"/><Relationship Id="rId13" Type="http://schemas.openxmlformats.org/officeDocument/2006/relationships/header" Target="header7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B845F-D7D9-456E-ADEB-38A87E60B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Application>AlterOffice/3.4.0.9$Linux_X86_64 LibreOffice_project/b8daf9e823b1a5463a2f48435ddc2e8696e7d4fc</Application>
  <AppVersion>15.0000</AppVersion>
  <Pages>14</Pages>
  <Words>1323</Words>
  <Characters>9022</Characters>
  <CharactersWithSpaces>10019</CharactersWithSpaces>
  <Paragraphs>295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2025-04-21T23:46:00Z</dcterms:created>
  <dc:creator>Быстров Олег Геннадьевич</dc:creator>
  <dc:description/>
  <dc:language>ru-RU</dc:language>
  <cp:lastModifiedBy>popovaaa</cp:lastModifiedBy>
  <cp:lastPrinted>2025-05-06T06:51:00Z</cp:lastPrinted>
  <dcterms:modified xsi:type="dcterms:W3CDTF">2026-08-31T10:08:01Z</dcterms:modified>
  <cp:revision>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