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5.xml" ContentType="application/vnd.openxmlformats-officedocument.wordprocessingml.header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6"/>
        <w:keepNext w:val="true"/>
        <w:keepLines w:val="true"/>
        <w:pBdr/>
        <w:spacing/>
        <w:ind/>
        <w:jc w:val="right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«УТВЕРЖДАЮ»</w:t>
      </w:r>
      <w:r>
        <w:rPr>
          <w:rFonts w:eastAsia="Calibri"/>
          <w:b/>
          <w:sz w:val="24"/>
          <w:szCs w:val="24"/>
        </w:rPr>
      </w:r>
      <w:r>
        <w:rPr>
          <w:rFonts w:eastAsia="Calibri"/>
          <w:b/>
          <w:sz w:val="24"/>
          <w:szCs w:val="24"/>
        </w:rPr>
      </w:r>
    </w:p>
    <w:p>
      <w:pPr>
        <w:pStyle w:val="886"/>
        <w:keepNext w:val="true"/>
        <w:keepLines w:val="true"/>
        <w:pBdr/>
        <w:spacing/>
        <w:ind/>
        <w:jc w:val="right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Главный инженер</w:t>
      </w:r>
      <w:r>
        <w:rPr>
          <w:rFonts w:eastAsia="Calibri"/>
          <w:b/>
          <w:sz w:val="24"/>
          <w:szCs w:val="24"/>
        </w:rPr>
      </w:r>
      <w:r>
        <w:rPr>
          <w:rFonts w:eastAsia="Calibri"/>
          <w:b/>
          <w:sz w:val="24"/>
          <w:szCs w:val="24"/>
        </w:rPr>
      </w:r>
    </w:p>
    <w:p>
      <w:pPr>
        <w:pStyle w:val="886"/>
        <w:keepNext w:val="true"/>
        <w:keepLines w:val="true"/>
        <w:pBdr/>
        <w:spacing/>
        <w:ind/>
        <w:jc w:val="right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АО «Сахаэнерго»</w:t>
      </w:r>
      <w:r>
        <w:rPr>
          <w:rFonts w:eastAsia="Calibri"/>
          <w:b/>
          <w:sz w:val="24"/>
          <w:szCs w:val="24"/>
        </w:rPr>
      </w:r>
      <w:r>
        <w:rPr>
          <w:rFonts w:eastAsia="Calibri"/>
          <w:b/>
          <w:sz w:val="24"/>
          <w:szCs w:val="24"/>
        </w:rPr>
      </w:r>
    </w:p>
    <w:p>
      <w:pPr>
        <w:pStyle w:val="886"/>
        <w:keepNext w:val="true"/>
        <w:keepLines w:val="true"/>
        <w:pBdr/>
        <w:spacing/>
        <w:ind/>
        <w:jc w:val="right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______________Н.М. Копырин</w:t>
      </w:r>
      <w:r>
        <w:rPr>
          <w:rFonts w:eastAsia="Calibri"/>
          <w:b/>
          <w:bCs/>
          <w:sz w:val="24"/>
          <w:szCs w:val="24"/>
        </w:rPr>
      </w:r>
      <w:r>
        <w:rPr>
          <w:rFonts w:eastAsia="Calibri"/>
          <w:b/>
          <w:bCs/>
          <w:sz w:val="24"/>
          <w:szCs w:val="24"/>
        </w:rPr>
      </w:r>
    </w:p>
    <w:p>
      <w:pPr>
        <w:pStyle w:val="886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86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86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86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86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86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86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86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86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86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86"/>
        <w:keepNext w:val="true"/>
        <w:keepLines w:val="true"/>
        <w:pBdr/>
        <w:spacing/>
        <w:ind/>
        <w:jc w:val="center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Технические требования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6"/>
        <w:keepNext w:val="true"/>
        <w:keepLines w:val="true"/>
        <w:pBdr/>
        <w:bidi w:val="false"/>
        <w:spacing/>
        <w:ind/>
        <w:jc w:val="center"/>
        <w:rPr>
          <w:sz w:val="24"/>
          <w:szCs w:val="24"/>
        </w:rPr>
      </w:pPr>
      <w:r>
        <w:rPr>
          <w:rFonts w:eastAsia="Calibri"/>
          <w:b/>
          <w:bCs/>
          <w:i w:val="0"/>
          <w:strike w:val="0"/>
          <w:color w:val="auto"/>
          <w:sz w:val="24"/>
          <w:szCs w:val="24"/>
          <w:u w:val="none"/>
        </w:rPr>
        <w:t xml:space="preserve">ОКПД2 - 26.20.40.120. Комплектующие, запасные части и расходные материалы для вычислительной техники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6"/>
        <w:pBdr/>
        <w:bidi w:val="false"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6"/>
        <w:keepNext w:val="true"/>
        <w:keepLines w:val="true"/>
        <w:pBdr/>
        <w:spacing/>
        <w:ind/>
        <w:jc w:val="center"/>
        <w:rPr>
          <w:b/>
          <w:bCs/>
          <w:i w:val="0"/>
          <w:strike w:val="0"/>
          <w:sz w:val="24"/>
          <w:szCs w:val="24"/>
          <w:u w:val="none"/>
        </w:rPr>
      </w:pPr>
      <w:r>
        <w:rPr>
          <w:b/>
          <w:bCs/>
          <w:i w:val="0"/>
          <w:strike w:val="0"/>
          <w:sz w:val="24"/>
          <w:szCs w:val="24"/>
          <w:u w:val="none"/>
        </w:rPr>
      </w:r>
      <w:r>
        <w:rPr>
          <w:b/>
          <w:bCs/>
          <w:i w:val="0"/>
          <w:strike w:val="0"/>
          <w:sz w:val="24"/>
          <w:szCs w:val="24"/>
          <w:u w:val="none"/>
        </w:rPr>
      </w:r>
      <w:r>
        <w:rPr>
          <w:b/>
          <w:bCs/>
          <w:i w:val="0"/>
          <w:strike w:val="0"/>
          <w:sz w:val="24"/>
          <w:szCs w:val="24"/>
          <w:u w:val="none"/>
        </w:rPr>
      </w:r>
    </w:p>
    <w:p>
      <w:pPr>
        <w:pStyle w:val="886"/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6"/>
        <w:pBdr/>
        <w:spacing/>
        <w:ind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86"/>
        <w:keepNext w:val="true"/>
        <w:keepLines w:val="true"/>
        <w:pBdr/>
        <w:spacing/>
        <w:ind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  <w:r>
        <w:rPr>
          <w:rFonts w:eastAsia="Calibri"/>
          <w:b/>
          <w:i/>
          <w:sz w:val="26"/>
          <w:szCs w:val="26"/>
        </w:rPr>
      </w:r>
      <w:r>
        <w:rPr>
          <w:rFonts w:eastAsia="Calibri"/>
          <w:b/>
          <w:i/>
          <w:sz w:val="26"/>
          <w:szCs w:val="26"/>
        </w:rPr>
      </w:r>
    </w:p>
    <w:p>
      <w:pPr>
        <w:pStyle w:val="886"/>
        <w:keepNext w:val="true"/>
        <w:keepLines w:val="true"/>
        <w:pBdr/>
        <w:spacing/>
        <w:ind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86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br w:type="page" w:clear="all"/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86"/>
        <w:pBdr/>
        <w:spacing/>
        <w:ind/>
        <w:jc w:val="center"/>
        <w:rPr>
          <w:b/>
        </w:rPr>
      </w:pPr>
      <w:r>
        <w:rPr>
          <w:b/>
        </w:rPr>
        <w:t xml:space="preserve">СОДЕРЖАНИЕ</w:t>
      </w:r>
      <w:r>
        <w:rPr>
          <w:b/>
        </w:rPr>
      </w:r>
      <w:r>
        <w:rPr>
          <w:b/>
        </w:rPr>
      </w:r>
    </w:p>
    <w:sdt>
      <w:sdtPr>
        <w15:appearance w15:val="boundingBox"/>
        <w:docPartObj>
          <w:docPartGallery w:val="Table of Contents"/>
          <w:docPartUnique w:val="true"/>
        </w:docPartObj>
        <w:rPr/>
      </w:sdtPr>
      <w:sdtContent>
        <w:p>
          <w:pPr>
            <w:pStyle w:val="1064"/>
            <w:pBdr/>
            <w:tabs>
              <w:tab w:val="left" w:leader="none" w:pos="567"/>
              <w:tab w:val="right" w:leader="dot" w:pos="9921"/>
            </w:tabs>
            <w:spacing/>
            <w:ind/>
            <w:rPr/>
          </w:pPr>
          <w:r>
            <w:fldChar w:fldCharType="begin"/>
          </w:r>
          <w:r>
            <w:rPr>
              <w:rStyle w:val="942"/>
            </w:rPr>
            <w:instrText xml:space="preserve"> TOC \o "1-4" \h</w:instrText>
          </w:r>
          <w:r>
            <w:rPr>
              <w:rStyle w:val="942"/>
            </w:rPr>
            <w:fldChar w:fldCharType="separate"/>
          </w:r>
          <w:hyperlink w:tooltip="#_Toc1" w:anchor="_Toc1" w:history="1">
            <w:r>
              <w:rPr>
                <w:rFonts w:ascii="Times New Roman" w:hAnsi="Times New Roman" w:eastAsia="Calibri" w:cs="Times New Roman"/>
              </w:rPr>
              <w:t xml:space="preserve">1.</w:t>
            </w:r>
            <w:r>
              <w:tab/>
            </w:r>
            <w:r>
              <w:rPr>
                <w:rStyle w:val="901"/>
              </w:rPr>
            </w:r>
            <w:r>
              <w:rPr>
                <w:rStyle w:val="901"/>
                <w:lang w:val="ru-RU"/>
              </w:rPr>
              <w:t xml:space="preserve">Общие сведения</w:t>
            </w:r>
            <w:r>
              <w:rPr>
                <w:rStyle w:val="901"/>
                <w:lang w:val="ru-RU"/>
              </w:rPr>
            </w:r>
            <w:r>
              <w:tab/>
            </w:r>
            <w:r>
              <w:fldChar w:fldCharType="begin"/>
              <w:instrText xml:space="preserve">PAGEREF _Toc1 \h</w:instrText>
              <w:fldChar w:fldCharType="separate"/>
              <w:t xml:space="preserve">3</w:t>
              <w:fldChar w:fldCharType="end"/>
            </w:r>
          </w:hyperlink>
          <w:r>
            <w:rPr>
              <w:lang w:val="ru-RU"/>
            </w:rPr>
          </w:r>
          <w:r/>
        </w:p>
        <w:p>
          <w:pPr>
            <w:pStyle w:val="1075"/>
            <w:pBdr/>
            <w:tabs>
              <w:tab w:val="left" w:leader="none" w:pos="1134"/>
              <w:tab w:val="right" w:leader="dot" w:pos="9921"/>
            </w:tabs>
            <w:spacing/>
            <w:ind/>
            <w:rPr/>
          </w:pPr>
          <w:r/>
          <w:hyperlink w:tooltip="#_Toc2" w:anchor="_Toc2" w:history="1">
            <w:r>
              <w:rPr>
                <w:rFonts w:ascii="Times New Roman" w:hAnsi="Times New Roman" w:eastAsia="Calibri" w:cs="Times New Roman"/>
              </w:rPr>
              <w:t xml:space="preserve">1.1</w:t>
            </w:r>
            <w:r>
              <w:tab/>
            </w:r>
            <w:r>
              <w:rPr>
                <w:rStyle w:val="901"/>
              </w:rPr>
            </w:r>
            <w:r>
              <w:rPr>
                <w:rStyle w:val="901"/>
              </w:rPr>
              <w:t xml:space="preserve">Обозначения и сокращения</w:t>
            </w:r>
            <w:r>
              <w:rPr>
                <w:rStyle w:val="901"/>
              </w:rPr>
            </w:r>
            <w:r>
              <w:tab/>
            </w:r>
            <w:r>
              <w:fldChar w:fldCharType="begin"/>
              <w:instrText xml:space="preserve">PAGEREF _Toc2 \h</w:instrText>
              <w:fldChar w:fldCharType="separate"/>
              <w:t xml:space="preserve">3</w:t>
              <w:fldChar w:fldCharType="end"/>
            </w:r>
          </w:hyperlink>
          <w:r/>
          <w:r/>
        </w:p>
        <w:p>
          <w:pPr>
            <w:pStyle w:val="1075"/>
            <w:pBdr/>
            <w:tabs>
              <w:tab w:val="left" w:leader="none" w:pos="1134"/>
              <w:tab w:val="right" w:leader="dot" w:pos="9921"/>
            </w:tabs>
            <w:spacing/>
            <w:ind/>
            <w:rPr/>
          </w:pPr>
          <w:r/>
          <w:hyperlink w:tooltip="#_Toc3" w:anchor="_Toc3" w:history="1">
            <w:r>
              <w:rPr>
                <w:rFonts w:ascii="Times New Roman" w:hAnsi="Times New Roman" w:eastAsia="Calibri" w:cs="Times New Roman"/>
              </w:rPr>
              <w:t xml:space="preserve">1.2</w:t>
            </w:r>
            <w:r>
              <w:tab/>
            </w:r>
            <w:r>
              <w:rPr>
                <w:rStyle w:val="901"/>
              </w:rPr>
            </w:r>
            <w:r>
              <w:rPr>
                <w:rStyle w:val="901"/>
              </w:rPr>
              <w:t xml:space="preserve">Наименование закупаемой продукции</w:t>
            </w:r>
            <w:r>
              <w:rPr>
                <w:rStyle w:val="901"/>
              </w:rPr>
            </w:r>
            <w:r>
              <w:tab/>
            </w:r>
            <w:r>
              <w:fldChar w:fldCharType="begin"/>
              <w:instrText xml:space="preserve">PAGEREF _Toc3 \h</w:instrText>
              <w:fldChar w:fldCharType="separate"/>
              <w:t xml:space="preserve">3</w:t>
              <w:fldChar w:fldCharType="end"/>
            </w:r>
          </w:hyperlink>
          <w:r/>
          <w:r/>
        </w:p>
        <w:p>
          <w:pPr>
            <w:pStyle w:val="1075"/>
            <w:pBdr/>
            <w:tabs>
              <w:tab w:val="left" w:leader="none" w:pos="1134"/>
              <w:tab w:val="right" w:leader="dot" w:pos="9921"/>
            </w:tabs>
            <w:bidi w:val="false"/>
            <w:spacing/>
            <w:ind/>
            <w:rPr/>
          </w:pPr>
          <w:r/>
          <w:hyperlink w:tooltip="#_Toc4" w:anchor="_Toc4" w:history="1">
            <w:r>
              <w:rPr>
                <w:rStyle w:val="901"/>
              </w:rPr>
            </w:r>
            <w:r>
              <w:rPr>
                <w:rStyle w:val="901"/>
                <w:lang w:bidi="ar-SA"/>
              </w:rPr>
              <w:t xml:space="preserve">1.3.      Цель использования закупаемой продукции</w:t>
            </w:r>
            <w:r>
              <w:rPr>
                <w:rStyle w:val="901"/>
              </w:rPr>
            </w:r>
            <w:r>
              <w:rPr>
                <w:rStyle w:val="901"/>
              </w:rPr>
              <w:tab/>
            </w:r>
            <w:r>
              <w:rPr>
                <w:rStyle w:val="901"/>
              </w:rPr>
              <w:fldChar w:fldCharType="begin"/>
              <w:instrText xml:space="preserve">PAGEREF _Toc4 \h</w:instrText>
              <w:fldChar w:fldCharType="separate"/>
              <w:t xml:space="preserve">3</w:t>
              <w:fldChar w:fldCharType="end"/>
            </w:r>
          </w:hyperlink>
          <w:r/>
          <w:r/>
        </w:p>
        <w:p>
          <w:pPr>
            <w:pStyle w:val="1064"/>
            <w:pBdr/>
            <w:tabs>
              <w:tab w:val="right" w:leader="dot" w:pos="9921"/>
            </w:tabs>
            <w:spacing/>
            <w:ind/>
            <w:rPr>
              <w:iCs/>
            </w:rPr>
          </w:pPr>
          <w:r/>
          <w:hyperlink w:tooltip="#_Toc5" w:anchor="_Toc5" w:history="1">
            <w:r>
              <w:rPr>
                <w:rStyle w:val="901"/>
              </w:rPr>
            </w:r>
            <w:r>
              <w:rPr>
                <w:rStyle w:val="901"/>
                <w:iCs/>
              </w:rPr>
              <w:t xml:space="preserve">2. </w:t>
            </w:r>
            <w:r>
              <w:rPr>
                <w:rStyle w:val="901"/>
                <w:iCs/>
              </w:rPr>
              <w:t xml:space="preserve">Требования к продукции</w:t>
            </w:r>
            <w:r>
              <w:rPr>
                <w:rStyle w:val="901"/>
                <w:iCs/>
              </w:rPr>
            </w:r>
            <w:r>
              <w:tab/>
            </w:r>
            <w:r>
              <w:fldChar w:fldCharType="begin"/>
              <w:instrText xml:space="preserve">PAGEREF _Toc5 \h</w:instrText>
              <w:fldChar w:fldCharType="separate"/>
              <w:t xml:space="preserve">4</w:t>
              <w:fldChar w:fldCharType="end"/>
            </w:r>
          </w:hyperlink>
          <w:r>
            <w:rPr>
              <w:iCs/>
            </w:rPr>
          </w:r>
          <w:r>
            <w:rPr>
              <w:iCs/>
            </w:rPr>
          </w:r>
        </w:p>
        <w:p>
          <w:pPr>
            <w:pStyle w:val="1075"/>
            <w:pBdr/>
            <w:tabs>
              <w:tab w:val="right" w:leader="dot" w:pos="9921"/>
            </w:tabs>
            <w:spacing/>
            <w:ind/>
            <w:rPr/>
          </w:pPr>
          <w:r/>
          <w:hyperlink w:tooltip="#_Toc6" w:anchor="_Toc6" w:history="1">
            <w:r>
              <w:rPr>
                <w:rStyle w:val="901"/>
              </w:rPr>
            </w:r>
            <w:r>
              <w:rPr>
                <w:rStyle w:val="901"/>
              </w:rPr>
              <w:t xml:space="preserve">2.1 </w:t>
            </w:r>
            <w:r>
              <w:rPr>
                <w:rStyle w:val="901"/>
              </w:rPr>
              <w:t xml:space="preserve">Требования к объемам и срокам </w:t>
            </w:r>
            <w:r>
              <w:rPr>
                <w:rStyle w:val="901"/>
                <w:lang w:val="ru-RU"/>
              </w:rPr>
              <w:t xml:space="preserve">поставки</w:t>
            </w:r>
            <w:r>
              <w:rPr>
                <w:rStyle w:val="901"/>
              </w:rPr>
            </w:r>
            <w:r>
              <w:tab/>
            </w:r>
            <w:r>
              <w:fldChar w:fldCharType="begin"/>
              <w:instrText xml:space="preserve">PAGEREF _Toc6 \h</w:instrText>
              <w:fldChar w:fldCharType="separate"/>
              <w:t xml:space="preserve">4</w:t>
              <w:fldChar w:fldCharType="end"/>
            </w:r>
          </w:hyperlink>
          <w:r/>
          <w:r/>
        </w:p>
        <w:p>
          <w:pPr>
            <w:pStyle w:val="1075"/>
            <w:pBdr/>
            <w:tabs>
              <w:tab w:val="right" w:leader="dot" w:pos="9921"/>
            </w:tabs>
            <w:spacing/>
            <w:ind/>
            <w:rPr/>
          </w:pPr>
          <w:r/>
          <w:hyperlink w:tooltip="#_Toc7" w:anchor="_Toc7" w:history="1">
            <w:r>
              <w:rPr>
                <w:rStyle w:val="901"/>
              </w:rPr>
            </w:r>
            <w:r>
              <w:rPr>
                <w:rStyle w:val="901"/>
              </w:rPr>
              <w:t xml:space="preserve">2.1.1 </w:t>
            </w:r>
            <w:r>
              <w:rPr>
                <w:rStyle w:val="901"/>
              </w:rPr>
              <w:t xml:space="preserve">Перечень и объем закупаемой продукции</w:t>
            </w:r>
            <w:r>
              <w:rPr>
                <w:rStyle w:val="901"/>
              </w:rPr>
            </w:r>
            <w:r>
              <w:tab/>
            </w:r>
            <w:r>
              <w:fldChar w:fldCharType="begin"/>
              <w:instrText xml:space="preserve">PAGEREF _Toc7 \h</w:instrText>
              <w:fldChar w:fldCharType="separate"/>
              <w:t xml:space="preserve">4</w:t>
              <w:fldChar w:fldCharType="end"/>
            </w:r>
          </w:hyperlink>
          <w:r/>
          <w:r/>
        </w:p>
        <w:p>
          <w:pPr>
            <w:pStyle w:val="1064"/>
            <w:pBdr/>
            <w:tabs>
              <w:tab w:val="right" w:leader="dot" w:pos="9921"/>
            </w:tabs>
            <w:spacing/>
            <w:ind/>
            <w:rPr/>
          </w:pPr>
          <w:r/>
          <w:hyperlink w:tooltip="#_Toc8" w:anchor="_Toc8" w:history="1">
            <w:r>
              <w:rPr>
                <w:rStyle w:val="901"/>
              </w:rPr>
            </w:r>
            <w:r>
              <w:rPr>
                <w:rStyle w:val="901"/>
              </w:rPr>
              <w:t xml:space="preserve">Таблица </w:t>
            </w:r>
            <w:r>
              <w:rPr>
                <w:rStyle w:val="901"/>
                <w:lang w:val="ru-RU"/>
              </w:rPr>
              <w:t xml:space="preserve">1</w:t>
            </w:r>
            <w:r>
              <w:rPr>
                <w:rStyle w:val="901"/>
              </w:rPr>
              <w:t xml:space="preserve"> </w:t>
            </w:r>
            <w:r>
              <w:rPr>
                <w:rStyle w:val="901"/>
                <w:lang w:val="ru-RU"/>
              </w:rPr>
              <w:t xml:space="preserve">Перечень </w:t>
            </w:r>
            <w:r>
              <w:rPr>
                <w:rStyle w:val="901"/>
                <w:lang w:val="ru-RU"/>
              </w:rPr>
              <w:t xml:space="preserve">и объем закупаемой продукции</w:t>
            </w:r>
            <w:r>
              <w:rPr>
                <w:rStyle w:val="901"/>
              </w:rPr>
            </w:r>
            <w:r>
              <w:tab/>
            </w:r>
            <w:r>
              <w:fldChar w:fldCharType="begin"/>
              <w:instrText xml:space="preserve">PAGEREF _Toc8 \h</w:instrText>
              <w:fldChar w:fldCharType="separate"/>
              <w:t xml:space="preserve">4</w:t>
              <w:fldChar w:fldCharType="end"/>
            </w:r>
          </w:hyperlink>
          <w:r/>
          <w:r/>
        </w:p>
        <w:p>
          <w:pPr>
            <w:pStyle w:val="1065"/>
            <w:pBdr/>
            <w:tabs>
              <w:tab w:val="left" w:leader="none" w:pos="371"/>
              <w:tab w:val="right" w:leader="dot" w:pos="9921"/>
            </w:tabs>
            <w:spacing/>
            <w:ind/>
            <w:rPr>
              <w:highlight w:val="none"/>
            </w:rPr>
          </w:pPr>
          <w:r/>
          <w:hyperlink w:tooltip="#_Toc9" w:anchor="_Toc9" w:history="1">
            <w:r>
              <w:rPr>
                <w:rStyle w:val="901"/>
              </w:rPr>
            </w:r>
            <w:r>
              <w:rPr>
                <w:rStyle w:val="901"/>
                <w:lang w:val="ru-RU"/>
              </w:rPr>
              <w:tab/>
              <w:t xml:space="preserve">2.1.2. Требования </w:t>
            </w:r>
            <w:r>
              <w:rPr>
                <w:rStyle w:val="901"/>
                <w:lang w:val="ru-RU"/>
              </w:rPr>
              <w:t xml:space="preserve">к срокам поставки продукции и оказания сопутствующих услуг</w:t>
            </w:r>
            <w:r>
              <w:rPr>
                <w:rStyle w:val="901"/>
                <w:highlight w:val="none"/>
              </w:rPr>
            </w:r>
            <w:r>
              <w:tab/>
            </w:r>
            <w:r>
              <w:fldChar w:fldCharType="begin"/>
              <w:instrText xml:space="preserve">PAGEREF _Toc9 \h</w:instrText>
              <w:fldChar w:fldCharType="separate"/>
              <w:t xml:space="preserve">8</w:t>
              <w:fldChar w:fldCharType="end"/>
            </w:r>
          </w:hyperlink>
          <w:r>
            <w:rPr>
              <w:highlight w:val="none"/>
            </w:rPr>
          </w:r>
          <w:r>
            <w:rPr>
              <w:highlight w:val="none"/>
            </w:rPr>
          </w:r>
        </w:p>
        <w:p>
          <w:pPr>
            <w:pStyle w:val="1064"/>
            <w:pBdr/>
            <w:tabs>
              <w:tab w:val="right" w:leader="dot" w:pos="9921"/>
            </w:tabs>
            <w:spacing/>
            <w:ind/>
            <w:rPr/>
          </w:pPr>
          <w:r/>
          <w:hyperlink w:tooltip="#_Toc10" w:anchor="_Toc10" w:history="1">
            <w:r>
              <w:rPr>
                <w:rStyle w:val="901"/>
              </w:rPr>
            </w:r>
            <w:r>
              <w:rPr>
                <w:rStyle w:val="901"/>
              </w:rPr>
              <w:t xml:space="preserve">Таблица </w:t>
            </w:r>
            <w:r>
              <w:rPr>
                <w:rStyle w:val="901"/>
                <w:lang w:val="ru-RU"/>
              </w:rPr>
              <w:t xml:space="preserve">2</w:t>
            </w:r>
            <w:r>
              <w:rPr>
                <w:rStyle w:val="901"/>
              </w:rPr>
              <w:t xml:space="preserve"> </w:t>
            </w:r>
            <w:r>
              <w:rPr>
                <w:rStyle w:val="901"/>
              </w:rPr>
              <w:t xml:space="preserve">Требования по срокам </w:t>
            </w:r>
            <w:r>
              <w:rPr>
                <w:rStyle w:val="901"/>
                <w:lang w:val="ru-RU"/>
              </w:rPr>
              <w:t xml:space="preserve">поставки продукции</w:t>
            </w:r>
            <w:r>
              <w:rPr>
                <w:rStyle w:val="901"/>
                <w:lang w:val="ru-RU"/>
              </w:rPr>
              <w:t xml:space="preserve"> </w:t>
            </w:r>
            <w:r>
              <w:rPr>
                <w:rStyle w:val="901"/>
              </w:rPr>
            </w:r>
            <w:r>
              <w:tab/>
            </w:r>
            <w:r>
              <w:fldChar w:fldCharType="begin"/>
              <w:instrText xml:space="preserve">PAGEREF _Toc10 \h</w:instrText>
              <w:fldChar w:fldCharType="separate"/>
              <w:t xml:space="preserve">8</w:t>
              <w:fldChar w:fldCharType="end"/>
            </w:r>
          </w:hyperlink>
          <w:r/>
          <w:r/>
        </w:p>
        <w:p>
          <w:pPr>
            <w:pStyle w:val="1075"/>
            <w:pBdr/>
            <w:tabs>
              <w:tab w:val="right" w:leader="dot" w:pos="9921"/>
            </w:tabs>
            <w:spacing/>
            <w:ind/>
            <w:rPr/>
          </w:pPr>
          <w:r/>
          <w:hyperlink w:tooltip="#_Toc11" w:anchor="_Toc11" w:history="1">
            <w:r>
              <w:rPr>
                <w:rStyle w:val="901"/>
              </w:rPr>
            </w:r>
            <w:r>
              <w:rPr>
                <w:rStyle w:val="901"/>
              </w:rPr>
              <w:t xml:space="preserve">2.2. Требования к </w:t>
            </w:r>
            <w:r>
              <w:rPr>
                <w:rStyle w:val="901"/>
                <w:lang w:val="ru-RU"/>
              </w:rPr>
              <w:t xml:space="preserve">качеству продукции</w:t>
            </w:r>
            <w:r>
              <w:rPr>
                <w:rStyle w:val="901"/>
              </w:rPr>
            </w:r>
            <w:r>
              <w:tab/>
            </w:r>
            <w:r>
              <w:fldChar w:fldCharType="begin"/>
              <w:instrText xml:space="preserve">PAGEREF _Toc11 \h</w:instrText>
              <w:fldChar w:fldCharType="separate"/>
              <w:t xml:space="preserve">9</w:t>
              <w:fldChar w:fldCharType="end"/>
            </w:r>
          </w:hyperlink>
          <w:r/>
          <w:r/>
        </w:p>
        <w:p>
          <w:pPr>
            <w:pStyle w:val="1064"/>
            <w:pBdr/>
            <w:tabs>
              <w:tab w:val="right" w:leader="dot" w:pos="9921"/>
            </w:tabs>
            <w:spacing/>
            <w:ind/>
            <w:rPr/>
          </w:pPr>
          <w:r/>
          <w:hyperlink w:tooltip="#_Toc12" w:anchor="_Toc12" w:history="1">
            <w:r>
              <w:rPr>
                <w:rStyle w:val="901"/>
              </w:rPr>
            </w:r>
            <w:r>
              <w:rPr>
                <w:rStyle w:val="901"/>
              </w:rPr>
              <w:t xml:space="preserve">Таблица </w:t>
            </w:r>
            <w:r>
              <w:rPr>
                <w:rStyle w:val="901"/>
                <w:lang w:val="ru-RU"/>
              </w:rPr>
              <w:t xml:space="preserve">3</w:t>
            </w:r>
            <w:r>
              <w:rPr>
                <w:rStyle w:val="901"/>
              </w:rPr>
              <w:t xml:space="preserve">. Требования к </w:t>
            </w:r>
            <w:r>
              <w:rPr>
                <w:rStyle w:val="901"/>
                <w:lang w:val="ru-RU"/>
              </w:rPr>
              <w:t xml:space="preserve">продукции</w:t>
            </w:r>
            <w:r>
              <w:rPr>
                <w:rStyle w:val="901"/>
              </w:rPr>
              <w:t xml:space="preserve"> </w:t>
            </w:r>
            <w:r>
              <w:rPr>
                <w:rStyle w:val="901"/>
              </w:rPr>
            </w:r>
            <w:r>
              <w:tab/>
            </w:r>
            <w:r>
              <w:fldChar w:fldCharType="begin"/>
              <w:instrText xml:space="preserve">PAGEREF _Toc12 \h</w:instrText>
              <w:fldChar w:fldCharType="separate"/>
              <w:t xml:space="preserve">9</w:t>
              <w:fldChar w:fldCharType="end"/>
            </w:r>
          </w:hyperlink>
          <w:r/>
          <w:r/>
        </w:p>
        <w:p>
          <w:pPr>
            <w:pStyle w:val="1064"/>
            <w:pBdr/>
            <w:tabs>
              <w:tab w:val="right" w:leader="dot" w:pos="9921"/>
            </w:tabs>
            <w:spacing/>
            <w:ind/>
            <w:rPr/>
          </w:pPr>
          <w:r/>
          <w:hyperlink w:tooltip="#_Toc13" w:anchor="_Toc13" w:history="1">
            <w:r>
              <w:rPr>
                <w:rStyle w:val="901"/>
              </w:rPr>
            </w:r>
            <w:r>
              <w:rPr>
                <w:rStyle w:val="901"/>
              </w:rPr>
              <w:t xml:space="preserve">Таблица 4. Требования к продукции (индивидуальные требования по каждой позиции перечня продукции)</w:t>
            </w:r>
            <w:r>
              <w:rPr>
                <w:rStyle w:val="901"/>
              </w:rPr>
            </w:r>
            <w:r>
              <w:tab/>
            </w:r>
            <w:r>
              <w:fldChar w:fldCharType="begin"/>
              <w:instrText xml:space="preserve">PAGEREF _Toc13 \h</w:instrText>
              <w:fldChar w:fldCharType="separate"/>
              <w:t xml:space="preserve">11</w:t>
              <w:fldChar w:fldCharType="end"/>
            </w:r>
          </w:hyperlink>
          <w:r/>
          <w:r/>
        </w:p>
        <w:p>
          <w:pPr>
            <w:pStyle w:val="1064"/>
            <w:pBdr/>
            <w:tabs>
              <w:tab w:val="right" w:leader="dot" w:pos="9921"/>
            </w:tabs>
            <w:spacing/>
            <w:ind/>
            <w:rPr/>
          </w:pPr>
          <w:r/>
          <w:hyperlink w:tooltip="#_Toc14" w:anchor="_Toc14" w:history="1">
            <w:r>
              <w:rPr>
                <w:rStyle w:val="901"/>
              </w:rPr>
            </w:r>
            <w:r>
              <w:rPr>
                <w:rStyle w:val="901"/>
              </w:rPr>
              <w:t xml:space="preserve">3. </w:t>
            </w:r>
            <w:r>
              <w:rPr>
                <w:rStyle w:val="901"/>
              </w:rPr>
              <w:t xml:space="preserve">Требования к документации по ценообразованию</w:t>
            </w:r>
            <w:r>
              <w:rPr>
                <w:rStyle w:val="901"/>
              </w:rPr>
              <w:t xml:space="preserve"> на этапе закупки</w:t>
            </w:r>
            <w:r>
              <w:rPr>
                <w:rStyle w:val="901"/>
              </w:rPr>
            </w:r>
            <w:r>
              <w:tab/>
            </w:r>
            <w:r>
              <w:fldChar w:fldCharType="begin"/>
              <w:instrText xml:space="preserve">PAGEREF _Toc14 \h</w:instrText>
              <w:fldChar w:fldCharType="separate"/>
              <w:t xml:space="preserve">56</w:t>
              <w:fldChar w:fldCharType="end"/>
            </w:r>
          </w:hyperlink>
          <w:r/>
          <w:r/>
        </w:p>
        <w:p>
          <w:pPr>
            <w:pStyle w:val="1064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>
            <w:rPr>
              <w:rStyle w:val="942"/>
            </w:rPr>
          </w:r>
          <w:r>
            <w:fldChar w:fldCharType="end"/>
          </w:r>
          <w:r/>
        </w:p>
      </w:sdtContent>
    </w:sdt>
    <w:p>
      <w:pPr>
        <w:pStyle w:val="1065"/>
        <w:pBdr/>
        <w:tabs>
          <w:tab w:val="clear" w:leader="none" w:pos="708"/>
          <w:tab w:val="right" w:leader="dot" w:pos="9921"/>
        </w:tabs>
        <w:spacing/>
        <w:ind/>
        <w:rPr/>
      </w:pPr>
      <w:r/>
      <w:r/>
    </w:p>
    <w:p>
      <w:pPr>
        <w:pStyle w:val="888"/>
        <w:pBdr/>
        <w:tabs>
          <w:tab w:val="clear" w:leader="none" w:pos="0"/>
        </w:tabs>
        <w:spacing/>
        <w:ind w:right="0" w:firstLine="0" w:left="0"/>
        <w:rPr>
          <w:b w:val="0"/>
          <w:i/>
        </w:rPr>
      </w:pPr>
      <w:r>
        <w:rPr>
          <w:b w:val="0"/>
          <w:i/>
        </w:rPr>
      </w:r>
      <w:r>
        <w:rPr>
          <w:b w:val="0"/>
          <w:i/>
        </w:rPr>
      </w:r>
      <w:r>
        <w:rPr>
          <w:b w:val="0"/>
          <w:i/>
        </w:rPr>
      </w:r>
    </w:p>
    <w:p>
      <w:pPr>
        <w:pStyle w:val="886"/>
        <w:keepNext w:val="true"/>
        <w:keepLines w:val="true"/>
        <w:pBdr/>
        <w:spacing/>
        <w:ind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 w:clear="all"/>
      </w:r>
      <w:r>
        <w:rPr>
          <w:rFonts w:eastAsia="Calibri"/>
          <w:b/>
          <w:i/>
          <w:sz w:val="24"/>
          <w:szCs w:val="24"/>
        </w:rPr>
      </w:r>
      <w:r>
        <w:rPr>
          <w:rFonts w:eastAsia="Calibri"/>
          <w:b/>
          <w:i/>
          <w:sz w:val="24"/>
          <w:szCs w:val="24"/>
        </w:rPr>
      </w:r>
    </w:p>
    <w:p>
      <w:pPr>
        <w:pStyle w:val="887"/>
        <w:keepLines w:val="true"/>
        <w:numPr>
          <w:ilvl w:val="0"/>
          <w:numId w:val="1"/>
        </w:numPr>
        <w:pBdr/>
        <w:spacing/>
        <w:ind w:right="0" w:hanging="357" w:left="357"/>
        <w:jc w:val="center"/>
        <w:rPr>
          <w:lang w:val="ru-RU"/>
        </w:rPr>
      </w:pPr>
      <w:r/>
      <w:bookmarkStart w:id="89" w:name="_Toc1"/>
      <w:r/>
      <w:bookmarkStart w:id="0" w:name="__RefHeading___Toc36520_296190591"/>
      <w:r/>
      <w:bookmarkEnd w:id="0"/>
      <w:r>
        <w:rPr>
          <w:lang w:val="ru-RU"/>
        </w:rPr>
        <w:t xml:space="preserve">Общие сведения</w:t>
      </w:r>
      <w:bookmarkEnd w:id="89"/>
      <w:r>
        <w:rPr>
          <w:lang w:val="ru-RU"/>
        </w:rPr>
      </w:r>
      <w:r>
        <w:rPr>
          <w:lang w:val="ru-RU"/>
        </w:rPr>
      </w:r>
    </w:p>
    <w:p>
      <w:pPr>
        <w:pStyle w:val="890"/>
        <w:numPr>
          <w:ilvl w:val="1"/>
          <w:numId w:val="1"/>
        </w:numPr>
        <w:pBdr/>
        <w:spacing/>
        <w:ind w:right="0" w:hanging="432" w:left="432"/>
        <w:rPr/>
      </w:pPr>
      <w:r/>
      <w:bookmarkStart w:id="90" w:name="_Toc2"/>
      <w:r/>
      <w:bookmarkStart w:id="4" w:name="__RefHeading___Toc36522_296190591"/>
      <w:r/>
      <w:bookmarkEnd w:id="4"/>
      <w:r>
        <w:t xml:space="preserve">Обозначения и сокращения</w:t>
      </w:r>
      <w:bookmarkEnd w:id="90"/>
      <w:r/>
      <w:r/>
    </w:p>
    <w:p>
      <w:pPr>
        <w:pStyle w:val="886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9910" w:type="dxa"/>
        <w:tblInd w:w="108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153"/>
        <w:gridCol w:w="7756"/>
      </w:tblGrid>
      <w:tr>
        <w:trPr>
          <w:trHeight w:val="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3" w:type="dxa"/>
            <w:textDirection w:val="lrTb"/>
            <w:noWrap w:val="false"/>
          </w:tcPr>
          <w:p>
            <w:pPr>
              <w:pStyle w:val="886"/>
              <w:widowControl w:val="false"/>
              <w:pBdr/>
              <w:tabs>
                <w:tab w:val="clear" w:leader="none" w:pos="708"/>
              </w:tabs>
              <w:spacing w:after="0" w:before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Термин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6" w:type="dxa"/>
            <w:textDirection w:val="lrTb"/>
            <w:noWrap w:val="false"/>
          </w:tcPr>
          <w:p>
            <w:pPr>
              <w:pStyle w:val="886"/>
              <w:widowControl w:val="false"/>
              <w:pBdr/>
              <w:tabs>
                <w:tab w:val="clear" w:leader="none" w:pos="708"/>
              </w:tabs>
              <w:spacing w:after="0" w:before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Определение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rPr>
          <w:trHeight w:val="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3" w:type="dxa"/>
            <w:textDirection w:val="lrTb"/>
            <w:noWrap w:val="false"/>
          </w:tcPr>
          <w:p>
            <w:pPr>
              <w:pStyle w:val="886"/>
              <w:widowControl w:val="false"/>
              <w:pBdr/>
              <w:tabs>
                <w:tab w:val="clear" w:leader="none" w:pos="708"/>
              </w:tabs>
              <w:spacing w:after="0" w:before="120" w:line="240" w:lineRule="auto"/>
              <w:ind/>
              <w:contextualSpacing w:val="true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6" w:type="dxa"/>
            <w:textDirection w:val="lrTb"/>
            <w:noWrap w:val="false"/>
          </w:tcPr>
          <w:p>
            <w:pPr>
              <w:pStyle w:val="886"/>
              <w:widowControl w:val="false"/>
              <w:pBdr/>
              <w:tabs>
                <w:tab w:val="clear" w:leader="none" w:pos="708"/>
              </w:tabs>
              <w:spacing w:after="0" w:before="120" w:line="240" w:lineRule="auto"/>
              <w:ind/>
              <w:contextualSpacing w:val="true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АО «Сахаэнерго», указанные в Таблице 1.1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3" w:type="dxa"/>
            <w:textDirection w:val="lrTb"/>
            <w:noWrap w:val="false"/>
          </w:tcPr>
          <w:p>
            <w:pPr>
              <w:pStyle w:val="886"/>
              <w:widowControl w:val="false"/>
              <w:pBdr/>
              <w:tabs>
                <w:tab w:val="clear" w:leader="none" w:pos="708"/>
              </w:tabs>
              <w:spacing w:after="0" w:before="120" w:line="240" w:lineRule="auto"/>
              <w:ind/>
              <w:contextualSpacing w:val="true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ИТ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6" w:type="dxa"/>
            <w:textDirection w:val="lrTb"/>
            <w:noWrap w:val="false"/>
          </w:tcPr>
          <w:p>
            <w:pPr>
              <w:pStyle w:val="886"/>
              <w:widowControl w:val="false"/>
              <w:pBdr/>
              <w:tabs>
                <w:tab w:val="clear" w:leader="none" w:pos="708"/>
              </w:tabs>
              <w:spacing w:after="0" w:before="120" w:line="240" w:lineRule="auto"/>
              <w:ind/>
              <w:contextualSpacing w:val="true"/>
              <w:jc w:val="both"/>
              <w:rPr>
                <w:rFonts w:ascii="Times New Roman" w:hAnsi="Times New Roman" w:eastAsia="Times New Roman" w:cs="Times New Roman"/>
                <w:bCs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pacing w:val="-2"/>
                <w:sz w:val="20"/>
                <w:szCs w:val="20"/>
                <w:lang w:eastAsia="ru-RU"/>
              </w:rPr>
              <w:t xml:space="preserve">Информационные технологии</w:t>
            </w:r>
            <w:r>
              <w:rPr>
                <w:rFonts w:ascii="Times New Roman" w:hAnsi="Times New Roman" w:eastAsia="Times New Roman" w:cs="Times New Roman"/>
                <w:bCs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pacing w:val="-2"/>
                <w:sz w:val="20"/>
                <w:szCs w:val="20"/>
                <w:lang w:eastAsia="ru-RU"/>
              </w:rPr>
            </w:r>
          </w:p>
        </w:tc>
      </w:tr>
      <w:tr>
        <w:trPr>
          <w:trHeight w:val="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3" w:type="dxa"/>
            <w:textDirection w:val="lrTb"/>
            <w:noWrap w:val="false"/>
          </w:tcPr>
          <w:p>
            <w:pPr>
              <w:pStyle w:val="886"/>
              <w:widowControl w:val="false"/>
              <w:pBdr/>
              <w:tabs>
                <w:tab w:val="clear" w:leader="none" w:pos="708"/>
              </w:tabs>
              <w:spacing w:after="0" w:before="120" w:line="240" w:lineRule="auto"/>
              <w:ind/>
              <w:contextualSpacing w:val="true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6" w:type="dxa"/>
            <w:textDirection w:val="lrTb"/>
            <w:noWrap w:val="false"/>
          </w:tcPr>
          <w:p>
            <w:pPr>
              <w:pStyle w:val="886"/>
              <w:widowControl w:val="false"/>
              <w:pBdr/>
              <w:tabs>
                <w:tab w:val="clear" w:leader="none" w:pos="708"/>
              </w:tabs>
              <w:spacing w:after="0" w:before="120" w:line="240" w:lineRule="auto"/>
              <w:ind/>
              <w:contextualSpacing w:val="true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Участник закупки, получивший право заключения договора поставки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3" w:type="dxa"/>
            <w:textDirection w:val="lrTb"/>
            <w:noWrap w:val="false"/>
          </w:tcPr>
          <w:p>
            <w:pPr>
              <w:pStyle w:val="886"/>
              <w:widowControl w:val="false"/>
              <w:pBdr/>
              <w:tabs>
                <w:tab w:val="clear" w:leader="none" w:pos="708"/>
              </w:tabs>
              <w:spacing w:after="0" w:before="120" w:line="240" w:lineRule="auto"/>
              <w:ind/>
              <w:contextualSpacing w:val="true"/>
              <w:jc w:val="both"/>
              <w:rPr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ru-RU"/>
              </w:rPr>
              <w:t xml:space="preserve">ТТ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56" w:type="dxa"/>
            <w:textDirection w:val="lrTb"/>
            <w:noWrap w:val="false"/>
          </w:tcPr>
          <w:p>
            <w:pPr>
              <w:pStyle w:val="886"/>
              <w:widowControl w:val="false"/>
              <w:pBdr/>
              <w:tabs>
                <w:tab w:val="clear" w:leader="none" w:pos="708"/>
              </w:tabs>
              <w:spacing w:after="0" w:before="120" w:line="240" w:lineRule="auto"/>
              <w:ind/>
              <w:contextualSpacing w:val="true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Технические требования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</w:tbl>
    <w:p>
      <w:pPr>
        <w:pStyle w:val="886"/>
        <w:pBdr/>
        <w:spacing w:after="0" w:before="0"/>
        <w:ind/>
        <w:rPr/>
      </w:pPr>
      <w:r/>
      <w:r/>
    </w:p>
    <w:p>
      <w:pPr>
        <w:pStyle w:val="890"/>
        <w:numPr>
          <w:ilvl w:val="1"/>
          <w:numId w:val="9"/>
        </w:numPr>
        <w:pBdr/>
        <w:spacing/>
        <w:ind w:right="0" w:hanging="432" w:left="432"/>
        <w:rPr/>
      </w:pPr>
      <w:r/>
      <w:bookmarkStart w:id="91" w:name="_Toc3"/>
      <w:r/>
      <w:bookmarkStart w:id="8" w:name="__RefHeading___Toc36524_296190591"/>
      <w:r/>
      <w:bookmarkEnd w:id="8"/>
      <w:r>
        <w:t xml:space="preserve">Наименование закупаемой продукции</w:t>
      </w:r>
      <w:bookmarkEnd w:id="91"/>
      <w:r/>
      <w:r/>
    </w:p>
    <w:p>
      <w:pPr>
        <w:pStyle w:val="886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rPr>
          <w:b w:val="0"/>
          <w:bCs w:val="0"/>
        </w:rPr>
      </w:pPr>
      <w:r>
        <w:rPr>
          <w:rFonts w:eastAsia="Calibri"/>
          <w:b w:val="0"/>
          <w:bCs w:val="0"/>
          <w:sz w:val="24"/>
          <w:szCs w:val="24"/>
        </w:rPr>
        <w:t xml:space="preserve">«</w:t>
      </w:r>
      <w:r>
        <w:rPr>
          <w:rFonts w:eastAsia="Calibri"/>
          <w:b w:val="0"/>
          <w:bCs w:val="0"/>
          <w:i w:val="0"/>
          <w:strike w:val="0"/>
          <w:color w:val="auto"/>
          <w:sz w:val="22"/>
          <w:szCs w:val="26"/>
          <w:u w:val="none"/>
        </w:rPr>
        <w:t xml:space="preserve">ОКПД2 - 26.20.40.120. Комплектующие, запасные части и расходные материалы для вычислительной техники</w:t>
      </w:r>
      <w:r>
        <w:rPr>
          <w:rFonts w:eastAsia="Calibri"/>
          <w:b w:val="0"/>
          <w:bCs w:val="0"/>
          <w:sz w:val="24"/>
          <w:szCs w:val="24"/>
        </w:rPr>
        <w:t xml:space="preserve">».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89"/>
        <w:pBdr/>
        <w:bidi w:val="false"/>
        <w:spacing/>
        <w:ind w:right="0" w:hanging="709" w:left="709"/>
        <w:rPr>
          <w:b w:val="0"/>
          <w:bCs w:val="0"/>
        </w:rPr>
      </w:pPr>
      <w:r/>
      <w:bookmarkStart w:id="92" w:name="_Toc4"/>
      <w:r>
        <w:rPr>
          <w:rFonts w:eastAsia="Calibri" w:cs="Times New Roman"/>
          <w:b/>
          <w:bCs/>
          <w:color w:val="auto"/>
          <w:sz w:val="24"/>
          <w:szCs w:val="24"/>
          <w:lang w:bidi="ar-SA"/>
        </w:rPr>
        <w:t xml:space="preserve">1.3. Цель использования закупаемой продукции</w:t>
      </w:r>
      <w:bookmarkEnd w:id="92"/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86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pPr>
      <w:r>
        <w:rPr>
          <w:rFonts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  <w:tab/>
        <w:t xml:space="preserve">Закупаемое запасные части будут использованы Заказчиком для поддержания работоспособности и надежности информационной инфраструктуры общества;</w:t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</w:p>
    <w:p>
      <w:pPr>
        <w:pStyle w:val="886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pPr>
      <w:r>
        <w:rPr>
          <w:rFonts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</w:p>
    <w:p>
      <w:pPr>
        <w:pStyle w:val="886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pPr>
      <w:r>
        <w:rPr>
          <w:rFonts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</w:p>
    <w:p>
      <w:pPr>
        <w:pStyle w:val="886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pPr>
      <w:r>
        <w:rPr>
          <w:rFonts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</w:p>
    <w:p>
      <w:pPr>
        <w:pStyle w:val="886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pPr>
      <w:r>
        <w:rPr>
          <w:rFonts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</w:p>
    <w:p>
      <w:pPr>
        <w:pStyle w:val="886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pPr>
      <w:r>
        <w:rPr>
          <w:rFonts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</w:p>
    <w:p>
      <w:pPr>
        <w:pStyle w:val="886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pPr>
      <w:r>
        <w:rPr>
          <w:rFonts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</w:p>
    <w:p>
      <w:pPr>
        <w:pStyle w:val="886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pPr>
      <w:r>
        <w:rPr>
          <w:rFonts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</w:p>
    <w:p>
      <w:pPr>
        <w:pStyle w:val="886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pPr>
      <w:r>
        <w:rPr>
          <w:rFonts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</w:p>
    <w:p>
      <w:pPr>
        <w:pStyle w:val="886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pPr>
      <w:r>
        <w:rPr>
          <w:rFonts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</w:p>
    <w:p>
      <w:pPr>
        <w:pStyle w:val="886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pPr>
      <w:r>
        <w:rPr>
          <w:rFonts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</w:p>
    <w:p>
      <w:pPr>
        <w:pStyle w:val="886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pPr>
      <w:r>
        <w:rPr>
          <w:rFonts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</w:p>
    <w:p>
      <w:pPr>
        <w:pStyle w:val="886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pPr>
      <w:r>
        <w:rPr>
          <w:rFonts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</w:p>
    <w:p>
      <w:pPr>
        <w:pStyle w:val="886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pPr>
      <w:r>
        <w:rPr>
          <w:rFonts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</w:p>
    <w:p>
      <w:pPr>
        <w:pStyle w:val="886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pPr>
      <w:r>
        <w:rPr>
          <w:rFonts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</w:p>
    <w:p>
      <w:pPr>
        <w:pStyle w:val="886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pPr>
      <w:r>
        <w:rPr>
          <w:rFonts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</w:p>
    <w:p>
      <w:pPr>
        <w:pStyle w:val="886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pPr>
      <w:r>
        <w:rPr>
          <w:rFonts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</w:p>
    <w:p>
      <w:pPr>
        <w:pStyle w:val="886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pPr>
      <w:r>
        <w:rPr>
          <w:rFonts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</w:p>
    <w:p>
      <w:pPr>
        <w:pStyle w:val="886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pPr>
      <w:r>
        <w:rPr>
          <w:rFonts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</w:p>
    <w:p>
      <w:pPr>
        <w:pStyle w:val="886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pPr>
      <w:r>
        <w:rPr>
          <w:rFonts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</w:p>
    <w:p>
      <w:pPr>
        <w:pStyle w:val="886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pPr>
      <w:r>
        <w:rPr>
          <w:rFonts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</w:p>
    <w:p>
      <w:pPr>
        <w:pStyle w:val="886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pPr>
      <w:r>
        <w:rPr>
          <w:rFonts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</w:p>
    <w:p>
      <w:pPr>
        <w:pStyle w:val="886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pPr>
      <w:r>
        <w:rPr>
          <w:rFonts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</w:p>
    <w:p>
      <w:pPr>
        <w:pStyle w:val="886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pPr>
      <w:r>
        <w:rPr>
          <w:rFonts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</w:p>
    <w:p>
      <w:pPr>
        <w:pStyle w:val="886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pPr>
      <w:r>
        <w:rPr>
          <w:rFonts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</w:p>
    <w:p>
      <w:pPr>
        <w:pStyle w:val="886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pPr>
      <w:r>
        <w:rPr>
          <w:rFonts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</w:p>
    <w:p>
      <w:pPr>
        <w:pStyle w:val="886"/>
        <w:widowControl w:val="false"/>
        <w:pBdr/>
        <w:tabs>
          <w:tab w:val="left" w:leader="none" w:pos="426"/>
          <w:tab w:val="clear" w:leader="none" w:pos="708"/>
        </w:tabs>
        <w:bidi w:val="false"/>
        <w:spacing w:after="120" w:before="120"/>
        <w:ind/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pPr>
      <w:r>
        <w:rPr>
          <w:rFonts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  <w:r>
        <w:rPr>
          <w:rFonts w:ascii="Times New Roman" w:hAnsi="Times New Roman" w:eastAsia="Calibri" w:cs="Times New Roman"/>
          <w:b w:val="0"/>
          <w:bCs w:val="0"/>
          <w:i w:val="0"/>
          <w:strike w:val="0"/>
          <w:color w:val="auto"/>
          <w:sz w:val="22"/>
          <w:szCs w:val="26"/>
          <w:u w:val="none"/>
          <w:lang w:val="ru-RU" w:bidi="ar-SA"/>
        </w:rPr>
      </w:r>
    </w:p>
    <w:p>
      <w:pPr>
        <w:pStyle w:val="887"/>
        <w:keepLines w:val="true"/>
        <w:numPr>
          <w:ilvl w:val="0"/>
          <w:numId w:val="0"/>
        </w:numPr>
        <w:pBdr/>
        <w:spacing/>
        <w:ind w:right="0" w:firstLine="0" w:left="357"/>
        <w:jc w:val="center"/>
        <w:rPr>
          <w:iCs/>
        </w:rPr>
      </w:pPr>
      <w:r/>
      <w:bookmarkStart w:id="93" w:name="_Toc5"/>
      <w:r/>
      <w:bookmarkStart w:id="24" w:name="__RefHeading___Toc36526_296190591"/>
      <w:r/>
      <w:bookmarkEnd w:id="24"/>
      <w:r>
        <w:rPr>
          <w:iCs/>
        </w:rPr>
        <w:t xml:space="preserve">2. </w:t>
      </w:r>
      <w:r>
        <w:rPr>
          <w:iCs/>
        </w:rPr>
        <w:t xml:space="preserve">Требования к продукции</w:t>
      </w:r>
      <w:bookmarkEnd w:id="93"/>
      <w:r>
        <w:rPr>
          <w:iCs/>
        </w:rPr>
      </w:r>
      <w:r>
        <w:rPr>
          <w:iCs/>
        </w:rPr>
      </w:r>
    </w:p>
    <w:p>
      <w:pPr>
        <w:pStyle w:val="890"/>
        <w:numPr>
          <w:ilvl w:val="0"/>
          <w:numId w:val="0"/>
        </w:numPr>
        <w:pBdr/>
        <w:spacing/>
        <w:ind w:right="0" w:firstLine="0" w:left="432"/>
        <w:rPr/>
      </w:pPr>
      <w:r/>
      <w:bookmarkStart w:id="94" w:name="_Toc6"/>
      <w:r/>
      <w:bookmarkStart w:id="29" w:name="__RefHeading___Toc36528_296190591"/>
      <w:r/>
      <w:bookmarkEnd w:id="29"/>
      <w:r>
        <w:t xml:space="preserve">2.1 </w:t>
      </w:r>
      <w:r>
        <w:t xml:space="preserve">Требования к объемам и срокам </w:t>
      </w:r>
      <w:r>
        <w:rPr>
          <w:lang w:val="ru-RU"/>
        </w:rPr>
        <w:t xml:space="preserve">поставки</w:t>
      </w:r>
      <w:bookmarkEnd w:id="94"/>
      <w:r/>
      <w:r/>
    </w:p>
    <w:p>
      <w:pPr>
        <w:pStyle w:val="890"/>
        <w:numPr>
          <w:ilvl w:val="0"/>
          <w:numId w:val="0"/>
        </w:numPr>
        <w:pBdr/>
        <w:spacing/>
        <w:ind w:right="0" w:firstLine="0" w:left="1224"/>
        <w:rPr/>
      </w:pPr>
      <w:r/>
      <w:bookmarkStart w:id="95" w:name="_Toc7"/>
      <w:r/>
      <w:bookmarkStart w:id="32" w:name="__RefHeading___Toc36530_296190591"/>
      <w:r/>
      <w:bookmarkEnd w:id="32"/>
      <w:r>
        <w:t xml:space="preserve">2.1.1 </w:t>
      </w:r>
      <w:r>
        <w:t xml:space="preserve">Перечень и объем закупаемой продукции</w:t>
      </w:r>
      <w:bookmarkEnd w:id="95"/>
      <w:r/>
      <w:r/>
    </w:p>
    <w:p>
      <w:pPr>
        <w:pStyle w:val="886"/>
        <w:pBdr/>
        <w:spacing/>
        <w:ind/>
        <w:rPr>
          <w:sz w:val="24"/>
        </w:rPr>
      </w:pPr>
      <w:r>
        <w:rPr>
          <w:sz w:val="24"/>
        </w:rPr>
        <w:t xml:space="preserve">Перечень закупаемой продукции указан в таблице 1.1. </w:t>
      </w:r>
      <w:r>
        <w:rPr>
          <w:sz w:val="24"/>
        </w:rPr>
      </w:r>
      <w:r>
        <w:rPr>
          <w:sz w:val="24"/>
        </w:rPr>
      </w:r>
    </w:p>
    <w:p>
      <w:pPr>
        <w:pStyle w:val="887"/>
        <w:keepLines w:val="true"/>
        <w:pBdr/>
        <w:tabs>
          <w:tab w:val="clear" w:leader="none" w:pos="0"/>
        </w:tabs>
        <w:spacing w:after="60" w:before="240"/>
        <w:ind w:right="0" w:firstLine="0" w:left="0"/>
        <w:rPr/>
      </w:pPr>
      <w:r/>
      <w:bookmarkStart w:id="96" w:name="_Toc8"/>
      <w:r/>
      <w:bookmarkStart w:id="35" w:name="__RefHeading___Toc36532_296190591"/>
      <w:r/>
      <w:bookmarkEnd w:id="3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 xml:space="preserve">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r>
        <w:rPr>
          <w:sz w:val="24"/>
          <w:szCs w:val="24"/>
          <w:lang w:val="ru-RU"/>
        </w:rPr>
        <w:t xml:space="preserve">и объем закупаемой продукции</w:t>
      </w:r>
      <w:bookmarkEnd w:id="96"/>
      <w:r/>
      <w:r/>
    </w:p>
    <w:tbl>
      <w:tblPr>
        <w:tblW w:w="10356" w:type="dxa"/>
        <w:tblInd w:w="-135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9"/>
        <w:gridCol w:w="4779"/>
        <w:gridCol w:w="890"/>
        <w:gridCol w:w="812"/>
        <w:gridCol w:w="1374"/>
        <w:gridCol w:w="1983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продукции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Код ОКПД2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bidi w:val="false"/>
              <w:spacing/>
              <w:ind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Применение законодательства о национальном режиме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vMerge w:val="restart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jc w:val="center"/>
              <w:rPr>
                <w:b/>
                <w:bCs/>
                <w:sz w:val="24"/>
                <w:szCs w:val="24"/>
                <w14:ligatures w14:val="none"/>
              </w:rPr>
            </w:pPr>
            <w:r>
              <w:rPr>
                <w:b/>
                <w:bCs/>
                <w:sz w:val="24"/>
                <w:szCs w:val="24"/>
              </w:rPr>
              <w:t xml:space="preserve">1</w:t>
            </w:r>
            <w:r>
              <w:rPr>
                <w:b/>
                <w:bCs/>
                <w:sz w:val="24"/>
                <w:szCs w:val="24"/>
                <w14:ligatures w14:val="none"/>
              </w:rPr>
            </w:r>
            <w:r>
              <w:rPr>
                <w:b/>
                <w:bCs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vMerge w:val="restart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vMerge w:val="restart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jc w:val="center"/>
              <w:rPr>
                <w:b/>
                <w:bCs/>
                <w:sz w:val="24"/>
                <w:szCs w:val="24"/>
                <w14:ligatures w14:val="none"/>
              </w:rPr>
            </w:pPr>
            <w:r>
              <w:rPr>
                <w:b/>
                <w:bCs/>
                <w:sz w:val="24"/>
                <w:szCs w:val="24"/>
              </w:rPr>
              <w:t xml:space="preserve">3</w:t>
            </w:r>
            <w:r>
              <w:rPr>
                <w:b/>
                <w:bCs/>
                <w:sz w:val="24"/>
                <w:szCs w:val="24"/>
                <w14:ligatures w14:val="none"/>
              </w:rPr>
            </w:r>
            <w:r>
              <w:rPr>
                <w:b/>
                <w:bCs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vMerge w:val="restart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jc w:val="center"/>
              <w:rPr>
                <w:b/>
                <w:bCs/>
                <w:sz w:val="24"/>
                <w:szCs w:val="24"/>
                <w14:ligatures w14:val="none"/>
              </w:rPr>
            </w:pPr>
            <w:r>
              <w:rPr>
                <w:b/>
                <w:bCs/>
                <w:sz w:val="24"/>
                <w:szCs w:val="24"/>
              </w:rPr>
              <w:t xml:space="preserve">4</w:t>
            </w:r>
            <w:r>
              <w:rPr>
                <w:b/>
                <w:bCs/>
                <w:sz w:val="24"/>
                <w:szCs w:val="24"/>
                <w14:ligatures w14:val="none"/>
              </w:rPr>
            </w:r>
            <w:r>
              <w:rPr>
                <w:b/>
                <w:bCs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vMerge w:val="restart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jc w:val="center"/>
              <w:rPr>
                <w:b/>
                <w:bCs/>
                <w:sz w:val="24"/>
                <w:szCs w:val="24"/>
                <w14:ligatures w14:val="none"/>
              </w:rPr>
            </w:pPr>
            <w:r>
              <w:rPr>
                <w:b/>
                <w:bCs/>
                <w:sz w:val="24"/>
                <w:szCs w:val="24"/>
              </w:rPr>
              <w:t xml:space="preserve">5</w:t>
            </w:r>
            <w:r>
              <w:rPr>
                <w:b/>
                <w:bCs/>
                <w:sz w:val="24"/>
                <w:szCs w:val="24"/>
                <w14:ligatures w14:val="none"/>
              </w:rPr>
            </w:r>
            <w:r>
              <w:rPr>
                <w:b/>
                <w:bCs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vMerge w:val="restart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jc w:val="center"/>
              <w:rPr>
                <w:b/>
                <w:bCs/>
                <w:sz w:val="24"/>
                <w:szCs w:val="24"/>
                <w14:ligatures w14:val="none"/>
              </w:rPr>
            </w:pPr>
            <w:r>
              <w:rPr>
                <w:b/>
                <w:bCs/>
                <w:sz w:val="24"/>
                <w:szCs w:val="24"/>
              </w:rPr>
              <w:t xml:space="preserve">6</w:t>
            </w:r>
            <w:r>
              <w:rPr>
                <w:b/>
                <w:bCs/>
                <w:sz w:val="24"/>
                <w:szCs w:val="24"/>
                <w14:ligatures w14:val="none"/>
              </w:rPr>
            </w:r>
            <w:r>
              <w:rPr>
                <w:b/>
                <w:bCs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 бесперебойного питания Powercom Raptor RPT-600AP SE 360Вт 600ВА черный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26.20.21.110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Память DDR4 8GB 2666MHz AMD R748G2606U2S-U Radeon R7 Performance Series RTL PC4-21300 CL16 DIMM 288-pin 1.2В single rank Ret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26.20.22.160.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питания Formula ATX 600W FV-600LT (20+4pin) APFC 120mm fan 4xSATA RTL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Устройство охлаждения(кулер) ID-Cooling DK-01S Soc-AM5/AM4/1200/1700/1851 черный 3-pin 24dB Al 65W 144gr Ret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Термопаста Thermalright TF4-1.5G 9.5Вт/(мК) шприц 1.5гр.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Салфетки Buro BU-Asurface для поверхностей туба 100шт влажных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17.22.11.130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преимущества российской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Клавиатура Оклик 155M черный USB slim (подставка для запястий) (1678057) кабель 1.6м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26.20.16.110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Клавиатура + мышь Logitech MK270 клав: черный мышь: черный USB беспроводная Multimedia (920-003381)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26.20.16.110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Сетевой фильтр PC Pet AP01006-E-B 1.8м (5 розеток) черный (пакет ПЭ)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27.32.13.150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Шнур-адаптер USB-COM, PL1391, разъёмы AM/DB9 (RS232), 1.2 м Pro Legend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27.32.13.150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Ограничение закупок иностранных товаров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Переходник HDMI - VGA + AUX кабель PL1136, Pro Legend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27.32.13.150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Ограничение закупок иностранных товаров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Переходник DisplayPort-VGA EX294797RUS, ExeGate EX-DPM-VGAF (20M/15F)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27.32.13.150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Ограничение закупок иностранных товаров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Жесткий диск A-Data USB3.0 1TB AHD720-1TU31-CBK HD720 DashDrive Durable 2.5" черный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26.20.21.120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Диск CD-R Mirex 700 Mb, 48х, Shrink (упак.:100шт.), Thermal Print (100/500)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26.80.12.000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преимущества российской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Привод DVD-RW Asus SDRW-08D2S-U LITE/BLK/G/AS черный USB внешний RTL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26.20.16.190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Консольный кабель для Cisco — DB9-RJ45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27.32.13.150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преимущества российской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Консольный кабель для Cisco — USB-RJ45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27.32.13.150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преимущества российской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Разветвитель USB 2.0 Buro BU-HUB4-U2.0-Slim 4порт. черный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Кабельный организатор Buro BHP CG155B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27.33.13.130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преимущества российской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Сетевой адаптер Gigabit Ethernet Cudy UE10A USB 3.0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26.30.23.111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Коннектор Lanmaster (TWT-PL45-8P8C) UTP кат.5e RJ45 прозрачный (упак.:100шт.)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27.32.13.150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Ограничение закупок иностранных товаров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Адаптер Rexant 03-0101 проходной RJ45 кат.5E UTP бел.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27.32.13.150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Ограничение закупок иностранных товаров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Монтажные самоклеящиеся площадки FORTISFLEX ПМС 20х20 белый 100шт 49444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22.23.19.110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преимущества российской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Многофункциональный кабельный тестер NOYAFA NF-8601S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26.51.43.110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Батарея для ИБП CSB HR1234W F2 12В 9Ач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27.20.23.190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Преимущество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 питания Cabeus PC-IEC19-IEC20-5M IEC 320 C19 - IEC 320 C20 (3x1.5), 16A, прямая вилка, 5м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27.32.13.150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преимущества российской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 питания FinePower IEC C19 - CEE 7/7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27.32.13.150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преимущества российской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Универсальный блок питания (сетевой адаптер) для ноутбуков 15-20V 4A 65W с 8 насадками (8006454743)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Зарядка для AY120EA-ZF190632M блок питания адаптер зарядное устройство для ноутбука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Электронный чёрный ключ идентификатор iButton DS1996 (DS1992, DS1993, DS1994, DS1995) для авторизации, ПАК Соболь 4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26.20.40.142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Медиаконвертор RubyTech GE-C351S5.S20 1000Base-T в 1000Base-LX одно волокно, SC, sm, 1550nm, 20 km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26.30.11.120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Медиаконвертор RubyTech GE-C351S3.S20 1000Base-T в 1000Base-LX одно волокно, SC, sm, 1310nm, 20 km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26.30.11.120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 витая пара UTP, категория 5e, 4 пары (24 AWG), одножильный, для внешней прокладки с тросом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27.32.13.150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преимущества российской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Патч-корд Lanmaster TWT-45-45-3.0/6-GY UTP RJ-45 вил.-вилка RJ-45 кат.6 3м серый ПВХ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27.32.13.150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преимущества российской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розеток (PDU), кол-во розеток: 12, Netko PDU-1U–C13+С19 (55786)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27.33.13.190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преимущества российской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Сетевое хранилище (NAS) Synology DiskStation DS223j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26.20.21.120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Жесткий диск Seagate 4 ТБ 5400 IronWolf [ST4000VN006]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26.20.21.110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Трансивер Lenovo Storage S2200/S3200 16G Fibre Channel SFP+ Module 00WC089 (00WC089)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yellow"/>
                <w:shd w:val="clear" w:color="auto" w:fill="auto"/>
              </w:rPr>
            </w:pPr>
            <w:r>
              <w:rPr>
                <w:sz w:val="24"/>
                <w:szCs w:val="24"/>
                <w:highlight w:val="yellow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highlight w:val="yellow"/>
                <w:shd w:val="clear" w:color="auto" w:fill="auto"/>
              </w:rPr>
            </w:r>
            <w:r>
              <w:rPr>
                <w:sz w:val="24"/>
                <w:szCs w:val="24"/>
                <w:highlight w:val="yellow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26.30.11.110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Управляемый USB over IP концентратор DistKontrol USB-8 2.0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yellow"/>
                <w:shd w:val="clear" w:color="auto" w:fill="auto"/>
              </w:rPr>
            </w:pPr>
            <w:r>
              <w:rPr>
                <w:sz w:val="24"/>
                <w:szCs w:val="24"/>
                <w:highlight w:val="yellow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highlight w:val="yellow"/>
                <w:shd w:val="clear" w:color="auto" w:fill="auto"/>
              </w:rPr>
            </w:r>
            <w:r>
              <w:rPr>
                <w:sz w:val="24"/>
                <w:szCs w:val="24"/>
                <w:highlight w:val="yellow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26.30.11.190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Кабельная стяжка ЭРА NO-225-193 (хомут) нейлоновая 7.6х500 мм чёрная (100 шт/уп) Б0066016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27.33.13.130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преимущества российской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Хомут для труб "быстрый монтаж" 32 Fortisflex 69164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25.99.29.190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преимущества российской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 витая пара СКО U/UTP Сat 5e PVC 4х2 AWG24 Medium Indoor 305м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27.32.13.150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преимущества российской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Тонер-картридж Hi-Black (HB-TK240X)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Катюша P140/M140/M240, 9K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Драм-юнит Hi-Black (HB-DR240)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 </w:t>
            </w:r>
            <w:r>
              <w:rPr>
                <w:sz w:val="24"/>
                <w:szCs w:val="24"/>
              </w:rPr>
              <w:t xml:space="preserve">Катюша P140/M140/M240, 30K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>
          <w:trHeight w:val="7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Тонер-картридж Hi-Black (HB-TK133)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Катюша P133/M133, 3K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фотобарабана Cactus CS-PCM247 PCM247 черный ч/б:45000стр.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Р247/М247 Катюша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Тонер-картридж NetProduct (N-TL-5120X)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Pantum BP5100DN/BP5100DW/BM5100ADW, 15K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Драм-юнит NetProduct (N-DL-5120)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Pantum BP5100DN/BP5100DW, 30K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Картридж GP-PC-211P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Pantum M6500 / M6500W / M6506NW / M6507 / M6507W / M6550NW / M6557NW / M6607NW / P2200 / P2207 / P2500 / P2500NW / P2500W / P2506W / P2516 / P2518 1600 копий GalaPrint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Картридж NetProduct (N-PC-212EV)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Pantum P2502/P2502W/M6502/M6502W/M6552NW, 1,6K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Драм-картридж NetProduct (N-DL-420)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Pantum M6700/P3010, 12K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Драм-юнит NetProduct (N-DO-428)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Pantum P3308DN/P3308DW/M7108DN/M7108DW, 12K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Картридж NetProduct (N-CE285A)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HP LJ Pro P1102/P1120W/M1212nf/M1132MFP/Canon 725, 1,6K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Картридж NetProduct (N-W1360A)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HP LaserJet M211/MFP M236, 1,15K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Картридж NetProduct (N-W1106A)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HP Laser 107a/107r//MFP135a/135r/135w/137, 1K (с чипом)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Картридж Hi-Black (HB-CE255X)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HP LJ P3015, 12,5K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Картридж Hi-Black (HB-Q7551X)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HP LJ P3005/M3027MFP/M3035MFP, 13K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Набор картриджей NVP совместимый NV-W207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 </w:t>
            </w:r>
            <w:r>
              <w:rPr>
                <w:sz w:val="24"/>
                <w:szCs w:val="24"/>
              </w:rPr>
              <w:t xml:space="preserve">HP Color Laser 150nw/178nw SP-H-117A(W2071)C,SP-W2073M(117A), SP-W2072Y(117A), SP-W2070Bk(117A)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Набор картриджей NVP совместимый NV-CB54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 </w:t>
            </w:r>
            <w:r>
              <w:rPr>
                <w:sz w:val="24"/>
                <w:szCs w:val="24"/>
              </w:rPr>
              <w:t xml:space="preserve">HP Color LaserJet CP1515n SP CB540A-CB541A-CB542A-CB543A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Тонер-картридж C-EXV50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 Canon iR1435/1435i/1435iF/1435P, 14K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Драм-юнит C-EXV50 (CET)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 </w:t>
            </w:r>
            <w:r>
              <w:rPr>
                <w:sz w:val="24"/>
                <w:szCs w:val="24"/>
              </w:rPr>
              <w:t xml:space="preserve">Canon iR1435/1435i/1435iF/1435P (30000 стр.) CET5674U/9437B002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Картридж NetProduct (N-CE505X)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 </w:t>
            </w:r>
            <w:r>
              <w:rPr>
                <w:sz w:val="24"/>
                <w:szCs w:val="24"/>
              </w:rPr>
              <w:t xml:space="preserve">HP LJ P2055/P2050/Canon №719H, 6,5K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Ролик захвата ADF Canon iR1133/1435, MF411/416/418/6140/6180/ MF5840/5950/8050/8380 (FC7-6189) CET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Тормозная площадка основного лотка RM1-6454 для CANON iR1133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Картридж NetProduct (N-CF259X/057H)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 </w:t>
            </w:r>
            <w:r>
              <w:rPr>
                <w:sz w:val="24"/>
                <w:szCs w:val="24"/>
              </w:rPr>
              <w:t xml:space="preserve">HP LJ Pro M304/404n/MFP M428dw/MF443/445, 10K (с чипом)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Картридж NetProduct (N-C-EXV40)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 </w:t>
            </w:r>
            <w:r>
              <w:rPr>
                <w:sz w:val="24"/>
                <w:szCs w:val="24"/>
              </w:rPr>
              <w:t xml:space="preserve">Canon iR 1133/1133A/1133if, 6K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Тонер-картридж 106R02310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Xerox WorkCentre 3315DN/3325DNI, 5K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шт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Драм-картридж 106R02312 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Xerox WorkCentre 3315DN/3325DNI , 11K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Тонер-картридж NetProduct (N-106R03623)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Xerox Phaser 3330/WC 3335/3345, 15K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Тонер-картридж NetProduct (N-TN-2375/TN-2335)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Brother HL-L2300/2305/2320/2340, 2,6K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Тонер-картридж NetProduct (N-TN-1075)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Brother HL-1110R/1112R/DCP-1510R/MFC-1810R, 1K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Чип для Pantum PC-211, 1.6K, многоразовый, Grafit (8023242812)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Чип для Pantum PC-212EV, 1.6K, многоразовый, Grafit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 закупки иностранной продукции</w:t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Тонер Static Control Универсальный для Pantum, Bk, 1 кг, флакон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</w:t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Тонер Static Control для Brother TN-2375, (Odyssey), Bk, 1кг, флакон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26.20.40.120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</w:t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Чернила G&amp;G GG-C13T03P14A 110BK черный 140мл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Epson M1100/M1120/M1140/M1170/M1180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20.59.30.190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</w:t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Чернила G&amp;G GG-C13T03V24A 101C голубой 70 мл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Epson L4150/L4160/L6160/L6170 1776252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20.59.30.190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</w:t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Чернила G&amp;G GG-C13T03V44A 101Y желтый 70 мл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Epson L4150/L4160/L6160/L6170 1776255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20.59.30.190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</w:t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Чернила G&amp;G GG-C13T03V34A 101M пурпурный 70 мл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Epson L4150/L4160/L6160/L6170 1776254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20.59.30.190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</w:t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Чернила Cactus CS-EPT00S14A 103BK черный 70мл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Epson L3250, L 3218, L 3210, L 3216, L3160, L3156, L1110, L3101, L3100, L3110, L3150, L3151 C13T00S14A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20.59.30.190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</w:t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Чернила GG GG-T6642C голубой100мл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Epson L100, L110, L120, L130, L132, L210, L222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20.59.30.190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</w:t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Чернила Ecotank жёлтые Yellow 004 совместимые T00U4, водные, KeyLock, InkTron, 70 мл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Epson L11058, L3556, L3558, L5298, L3218, L3219, L3251, L3253, L3255, L3256, L3258, L3266, L3267, L3268, L3269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20.59.30.190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</w:t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Чернила Ecotank пурпурные Magenta 004 совместимые T00U3, водные, KeyLock, InkTron, 70 мл,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Epson L11058, L3556, L3558, L5298, L3218, L3219, L3251, L3253, L3255, L3256, L3258, L3266, L3267, L3268, L3269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20.59.30.190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</w:t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Чернила G&amp;G GG-108-260g-4X6-20 черный/голубой/пурпурный/желтый/светло-голубой/светло-пурпурный набор 6x70мл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Epson Ecotank L8050/L18050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20.59.30.190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</w:t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5"/>
              </w:numPr>
              <w:pBdr/>
              <w:bidi w:val="false"/>
              <w:spacing w:after="120" w:before="0"/>
              <w:ind w:right="0" w:hanging="1077" w:left="10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0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 чернил Inktec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Epson EPSON L805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20.59.30.190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Установлен режим ограничения</w:t>
            </w:r>
            <w:r/>
          </w:p>
        </w:tc>
      </w:tr>
    </w:tbl>
    <w:p>
      <w:pPr>
        <w:pStyle w:val="889"/>
        <w:numPr>
          <w:ilvl w:val="0"/>
          <w:numId w:val="0"/>
        </w:numPr>
        <w:pBdr/>
        <w:spacing/>
        <w:ind w:right="0" w:firstLine="0" w:left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89"/>
        <w:numPr>
          <w:ilvl w:val="0"/>
          <w:numId w:val="0"/>
        </w:numPr>
        <w:pBdr/>
        <w:spacing/>
        <w:ind w:right="0" w:firstLine="0" w:left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89"/>
        <w:numPr>
          <w:ilvl w:val="0"/>
          <w:numId w:val="0"/>
        </w:numPr>
        <w:pBdr/>
        <w:spacing/>
        <w:ind w:right="0" w:firstLine="0" w:left="0"/>
        <w:rPr>
          <w:highlight w:val="none"/>
        </w:rPr>
      </w:pPr>
      <w:r/>
      <w:bookmarkStart w:id="97" w:name="_Toc9"/>
      <w:r/>
      <w:bookmarkStart w:id="39" w:name="__RefHeading___Toc36534_296190591"/>
      <w:r/>
      <w:bookmarkEnd w:id="39"/>
      <w:r>
        <w:rPr>
          <w:lang w:val="ru-RU"/>
        </w:rPr>
        <w:tab/>
        <w:t xml:space="preserve">2.1.2. Требования </w:t>
      </w:r>
      <w:r>
        <w:rPr>
          <w:lang w:val="ru-RU"/>
        </w:rPr>
        <w:t xml:space="preserve">к срокам поставки продукции и оказания сопутствующих услуг</w:t>
      </w:r>
      <w:bookmarkEnd w:id="97"/>
      <w:r>
        <w:rPr>
          <w:highlight w:val="none"/>
        </w:rPr>
      </w:r>
      <w:r>
        <w:rPr>
          <w:highlight w:val="none"/>
        </w:rPr>
      </w:r>
    </w:p>
    <w:p>
      <w:pPr>
        <w:pStyle w:val="887"/>
        <w:keepLines w:val="true"/>
        <w:pBdr/>
        <w:tabs>
          <w:tab w:val="clear" w:leader="none" w:pos="0"/>
        </w:tabs>
        <w:spacing w:after="60" w:before="240"/>
        <w:ind w:right="0" w:firstLine="0" w:left="0"/>
        <w:rPr/>
      </w:pPr>
      <w:r/>
      <w:bookmarkStart w:id="98" w:name="_Toc10"/>
      <w:r/>
      <w:bookmarkStart w:id="43" w:name="__RefHeading___Toc36536_296190591"/>
      <w:r/>
      <w:bookmarkEnd w:id="4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 xml:space="preserve">2</w:t>
      </w:r>
      <w:r>
        <w:rPr>
          <w:sz w:val="24"/>
          <w:szCs w:val="24"/>
        </w:rPr>
        <w:t xml:space="preserve"> </w:t>
      </w:r>
      <w:bookmarkStart w:id="49" w:name="_Hlk50465284"/>
      <w:r>
        <w:rPr>
          <w:sz w:val="24"/>
          <w:szCs w:val="24"/>
        </w:rPr>
        <w:t xml:space="preserve">Требования по срокам </w:t>
      </w:r>
      <w:bookmarkEnd w:id="49"/>
      <w:r>
        <w:rPr>
          <w:sz w:val="24"/>
          <w:szCs w:val="24"/>
          <w:lang w:val="ru-RU"/>
        </w:rPr>
        <w:t xml:space="preserve">поставки продукции</w:t>
      </w:r>
      <w:r>
        <w:rPr>
          <w:sz w:val="24"/>
          <w:szCs w:val="24"/>
          <w:lang w:val="ru-RU"/>
        </w:rPr>
        <w:t xml:space="preserve"> </w:t>
      </w:r>
      <w:bookmarkEnd w:id="98"/>
      <w:r/>
      <w:r/>
    </w:p>
    <w:tbl>
      <w:tblPr>
        <w:tblW w:w="9776" w:type="dxa"/>
        <w:tblInd w:w="108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30"/>
        <w:gridCol w:w="2547"/>
        <w:gridCol w:w="2982"/>
        <w:gridCol w:w="3116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0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продукции / партии продукции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pStyle w:val="886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срока поставки продукции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6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поставки продукции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0" w:type="dxa"/>
            <w:textDirection w:val="lrTb"/>
            <w:noWrap w:val="false"/>
          </w:tcPr>
          <w:p>
            <w:pPr>
              <w:pStyle w:val="886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textDirection w:val="lrTb"/>
            <w:noWrap w:val="false"/>
          </w:tcPr>
          <w:p>
            <w:pPr>
              <w:pStyle w:val="886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pStyle w:val="1096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6" w:type="dxa"/>
            <w:textDirection w:val="lrTb"/>
            <w:noWrap w:val="false"/>
          </w:tcPr>
          <w:p>
            <w:pPr>
              <w:pStyle w:val="1096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0" w:type="dxa"/>
            <w:textDirection w:val="lrTb"/>
            <w:noWrap w:val="false"/>
          </w:tcPr>
          <w:p>
            <w:pPr>
              <w:pStyle w:val="1080"/>
              <w:widowControl w:val="false"/>
              <w:numPr>
                <w:ilvl w:val="0"/>
                <w:numId w:val="2"/>
              </w:numPr>
              <w:pBdr/>
              <w:spacing/>
              <w:ind w:right="0" w:hanging="360" w:left="360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Align w:val="bottom"/>
            <w:textDirection w:val="lrTb"/>
            <w:noWrap w:val="false"/>
          </w:tcPr>
          <w:p>
            <w:pPr>
              <w:pStyle w:val="886"/>
              <w:widowControl w:val="false"/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Расходные материалы согласно спецификации (табл. 1.1.)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pStyle w:val="886"/>
              <w:widowControl w:val="false"/>
              <w:pBdr/>
              <w:spacing/>
              <w:ind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С даты подписания договора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  <w:p>
            <w:pPr>
              <w:pStyle w:val="886"/>
              <w:widowControl w:val="false"/>
              <w:pBdr/>
              <w:spacing/>
              <w:ind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6" w:type="dxa"/>
            <w:textDirection w:val="lrTb"/>
            <w:noWrap w:val="false"/>
          </w:tcPr>
          <w:p>
            <w:pPr>
              <w:pStyle w:val="886"/>
              <w:widowControl w:val="false"/>
              <w:pBdr/>
              <w:spacing/>
              <w:ind/>
              <w:rPr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В течение 60 календарных дней с даты подписания договора</w:t>
            </w:r>
            <w:r>
              <w:rPr>
                <w:sz w:val="24"/>
                <w:szCs w:val="24"/>
                <w:shd w:val="clear" w:color="auto" w:fill="auto"/>
              </w:rPr>
            </w:r>
            <w:r>
              <w:rPr>
                <w:sz w:val="24"/>
                <w:szCs w:val="24"/>
                <w:shd w:val="clear" w:color="auto" w:fill="auto"/>
              </w:rPr>
            </w:r>
          </w:p>
        </w:tc>
      </w:tr>
    </w:tbl>
    <w:p>
      <w:pPr>
        <w:pBdr/>
        <w:spacing/>
        <w:ind/>
        <w:rPr/>
        <w:sectPr>
          <w:headerReference w:type="default" r:id="rId9"/>
          <w:headerReference w:type="first" r:id="rId10"/>
          <w:footnotePr/>
          <w:endnotePr/>
          <w:type w:val="nextPage"/>
          <w:pgSz w:h="16838" w:orient="portrait" w:w="11906"/>
          <w:pgMar w:top="1134" w:right="851" w:bottom="992" w:left="1134" w:header="680" w:footer="0" w:gutter="0"/>
          <w:cols w:num="1" w:sep="0" w:space="1701" w:equalWidth="1"/>
          <w:titlePg/>
        </w:sectPr>
      </w:pPr>
      <w:r/>
      <w:r/>
    </w:p>
    <w:p>
      <w:pPr>
        <w:pStyle w:val="890"/>
        <w:numPr>
          <w:ilvl w:val="0"/>
          <w:numId w:val="0"/>
        </w:numPr>
        <w:pBdr/>
        <w:spacing/>
        <w:ind w:right="0" w:firstLine="0" w:left="0"/>
        <w:jc w:val="left"/>
        <w:rPr/>
      </w:pPr>
      <w:r/>
      <w:bookmarkStart w:id="99" w:name="_Toc11"/>
      <w:r/>
      <w:bookmarkStart w:id="51" w:name="__RefHeading___Toc36538_296190591"/>
      <w:r/>
      <w:bookmarkEnd w:id="51"/>
      <w:r>
        <w:t xml:space="preserve">2.2. Требования к </w:t>
      </w:r>
      <w:r>
        <w:rPr>
          <w:lang w:val="ru-RU"/>
        </w:rPr>
        <w:t xml:space="preserve">качеству продукции</w:t>
      </w:r>
      <w:bookmarkEnd w:id="99"/>
      <w:r/>
      <w:r/>
    </w:p>
    <w:p>
      <w:pPr>
        <w:pStyle w:val="887"/>
        <w:keepLines w:val="true"/>
        <w:pBdr/>
        <w:tabs>
          <w:tab w:val="clear" w:leader="none" w:pos="0"/>
        </w:tabs>
        <w:spacing w:after="60" w:before="240"/>
        <w:ind w:right="0" w:firstLine="0" w:left="0"/>
        <w:rPr/>
      </w:pPr>
      <w:r/>
      <w:bookmarkStart w:id="100" w:name="_Toc12"/>
      <w:r/>
      <w:bookmarkStart w:id="57" w:name="__RefHeading___Toc36540_296190591"/>
      <w:r/>
      <w:bookmarkEnd w:id="57"/>
      <w:r>
        <w:rPr>
          <w:sz w:val="24"/>
          <w:szCs w:val="24"/>
        </w:rPr>
        <w:t xml:space="preserve">Таблица </w:t>
      </w:r>
      <w:r>
        <w:rPr>
          <w:sz w:val="24"/>
          <w:szCs w:val="24"/>
          <w:lang w:val="ru-RU"/>
        </w:rPr>
        <w:t xml:space="preserve"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 xml:space="preserve">продукции</w:t>
      </w:r>
      <w:r>
        <w:rPr>
          <w:sz w:val="24"/>
          <w:szCs w:val="24"/>
        </w:rPr>
        <w:t xml:space="preserve"> </w:t>
      </w:r>
      <w:bookmarkEnd w:id="100"/>
      <w:r/>
      <w:r/>
    </w:p>
    <w:p>
      <w:pPr>
        <w:pStyle w:val="1059"/>
        <w:pBdr/>
        <w:spacing/>
        <w:ind/>
        <w:rPr/>
      </w:pPr>
      <w:r>
        <w:rPr>
          <w:sz w:val="24"/>
          <w:szCs w:val="24"/>
        </w:rPr>
        <w:t xml:space="preserve">Наименование продукции (позиция №1-126) согласно  Таблицы 1.1: «</w:t>
      </w:r>
      <w:r>
        <w:rPr>
          <w:rFonts w:eastAsia="Calibri"/>
          <w:b w:val="0"/>
          <w:i w:val="0"/>
          <w:strike w:val="0"/>
          <w:sz w:val="24"/>
          <w:szCs w:val="24"/>
          <w:u w:val="none"/>
        </w:rPr>
        <w:t xml:space="preserve">Комплектующие, запасные части и расходные материалы для вычислительной техники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:</w:t>
      </w:r>
      <w:r/>
    </w:p>
    <w:tbl>
      <w:tblPr>
        <w:tblW w:w="15309" w:type="dxa"/>
        <w:tblInd w:w="108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52"/>
        <w:gridCol w:w="1810"/>
        <w:gridCol w:w="2988"/>
        <w:gridCol w:w="2990"/>
        <w:gridCol w:w="3262"/>
        <w:gridCol w:w="3406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vMerge w:val="restart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0" w:type="dxa"/>
            <w:vAlign w:val="center"/>
            <w:vMerge w:val="restart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Наименование параметра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8" w:type="dxa"/>
            <w:vAlign w:val="center"/>
            <w:vMerge w:val="restart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Требование заказчика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52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Способ подтверждения участником соответствия требованиям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6" w:type="dxa"/>
            <w:vAlign w:val="center"/>
            <w:vMerge w:val="restart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Предложение участника по характеристикам и параметрам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vMerge w:val="continue"/>
            <w:textDirection w:val="lrTb"/>
            <w:noWrap w:val="false"/>
          </w:tcPr>
          <w:p>
            <w:pPr>
              <w:pStyle w:val="886"/>
              <w:widowControl w:val="false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0" w:type="dxa"/>
            <w:vAlign w:val="center"/>
            <w:vMerge w:val="continue"/>
            <w:textDirection w:val="lrTb"/>
            <w:noWrap w:val="false"/>
          </w:tcPr>
          <w:p>
            <w:pPr>
              <w:pStyle w:val="886"/>
              <w:widowControl w:val="false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8" w:type="dxa"/>
            <w:vAlign w:val="center"/>
            <w:vMerge w:val="continue"/>
            <w:textDirection w:val="lrTb"/>
            <w:noWrap w:val="false"/>
          </w:tcPr>
          <w:p>
            <w:pPr>
              <w:pStyle w:val="886"/>
              <w:widowControl w:val="false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Согласие с требованием/ указание характеристик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Предоставление подтверждающего документа или иной способ подтверждения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6" w:type="dxa"/>
            <w:vAlign w:val="center"/>
            <w:vMerge w:val="continue"/>
            <w:textDirection w:val="lrTb"/>
            <w:noWrap w:val="false"/>
          </w:tcPr>
          <w:p>
            <w:pPr>
              <w:pStyle w:val="886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60" w:before="6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ru-RU" w:eastAsia="ru-RU" w:bidi="ar-SA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0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8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6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1080"/>
              <w:widowControl w:val="false"/>
              <w:numPr>
                <w:ilvl w:val="0"/>
                <w:numId w:val="4"/>
              </w:numPr>
              <w:pBdr/>
              <w:spacing w:after="60" w:before="60"/>
              <w:ind w:right="0" w:hanging="360" w:left="360"/>
              <w:contextualSpacing w:val="true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98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техническим и функциональным характеристикам (включая гарантируемые показатели)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6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1080"/>
              <w:widowControl w:val="false"/>
              <w:pBdr/>
              <w:spacing w:after="60" w:before="60"/>
              <w:ind w:right="0" w:firstLine="0" w:left="-117"/>
              <w:contextualSpacing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98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sz w:val="24"/>
                <w:szCs w:val="24"/>
                <w:lang w:val="ru-RU" w:eastAsia="ru-RU" w:bidi="ar-SA"/>
              </w:rPr>
              <w:t xml:space="preserve">Требования к техническим и функциональным характеристикам в отношении каждой позиции продукции представлены в Таблице № 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6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1080"/>
              <w:widowControl w:val="false"/>
              <w:pBdr/>
              <w:spacing w:after="60" w:before="60"/>
              <w:ind w:right="0" w:firstLine="0" w:left="-117"/>
              <w:contextualSpacing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98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tabs>
                <w:tab w:val="left" w:leader="none" w:pos="0"/>
                <w:tab w:val="clear" w:leader="none" w:pos="708"/>
              </w:tabs>
              <w:bidi w:val="false"/>
              <w:spacing w:after="0" w:before="0"/>
              <w:ind w:right="0" w:firstLine="0"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позиции картриджей и тонеров должны иметь работающие чипы на указанном в Таблице №4 устройствах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6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1080"/>
              <w:widowControl w:val="false"/>
              <w:numPr>
                <w:ilvl w:val="0"/>
                <w:numId w:val="4"/>
              </w:numPr>
              <w:pBdr/>
              <w:spacing w:after="60" w:before="60"/>
              <w:ind w:right="0" w:hanging="360" w:left="360"/>
              <w:contextualSpacing w:val="true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98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Требования к доставке,  маркировке, упаковке, транспортировке, перемещению, условиям хранения, приемке и испытаниям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6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1080"/>
              <w:widowControl w:val="false"/>
              <w:pBdr/>
              <w:spacing w:after="60" w:before="60"/>
              <w:ind w:right="0" w:firstLine="0" w:left="-117"/>
              <w:contextualSpacing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0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sz w:val="24"/>
                <w:szCs w:val="24"/>
                <w:lang w:val="ru-RU" w:eastAsia="ru-RU" w:bidi="ar-SA"/>
              </w:rPr>
              <w:t xml:space="preserve">Место поставки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8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sz w:val="24"/>
                <w:szCs w:val="24"/>
                <w:lang w:val="ru-RU" w:eastAsia="ru-RU" w:bidi="ar-SA"/>
              </w:rPr>
              <w:t xml:space="preserve">Продукция должна быть доставлена Поставщиком по адресу: 677001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86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sz w:val="24"/>
                <w:szCs w:val="24"/>
                <w:lang w:val="ru-RU" w:eastAsia="ru-RU" w:bidi="ar-SA"/>
              </w:rPr>
              <w:t xml:space="preserve">г. Якутск, ул Беринга 42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6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1080"/>
              <w:widowControl w:val="false"/>
              <w:pBdr/>
              <w:spacing w:after="60" w:before="60"/>
              <w:ind w:right="0" w:firstLine="0" w:left="-117"/>
              <w:contextualSpacing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0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sz w:val="24"/>
                <w:szCs w:val="24"/>
                <w:lang w:val="ru-RU" w:eastAsia="ru-RU" w:bidi="ar-SA"/>
              </w:rPr>
              <w:t xml:space="preserve">Условия транспортирования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8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sz w:val="24"/>
                <w:szCs w:val="24"/>
                <w:lang w:val="ru-RU" w:eastAsia="ru-RU" w:bidi="ar-SA"/>
              </w:rPr>
              <w:t xml:space="preserve">ГОСТ 15150-69 5(ОЖ4). Обоснование: транспортировка в район Крайнего Севера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6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1080"/>
              <w:widowControl w:val="false"/>
              <w:pBdr/>
              <w:spacing w:after="60" w:before="60"/>
              <w:ind w:right="0" w:firstLine="0" w:left="-117"/>
              <w:contextualSpacing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0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Упаковка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8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Вся продукция должна быть упакована согласно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86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</w:t>
            </w:r>
            <w:r>
              <w:rPr>
                <w:iCs/>
                <w:sz w:val="24"/>
                <w:szCs w:val="24"/>
              </w:rPr>
              <w:t xml:space="preserve"> 5.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6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1080"/>
              <w:widowControl w:val="false"/>
              <w:numPr>
                <w:ilvl w:val="0"/>
                <w:numId w:val="4"/>
              </w:numPr>
              <w:pBdr/>
              <w:spacing w:after="60" w:before="60"/>
              <w:ind w:right="0" w:hanging="360" w:left="360"/>
              <w:contextualSpacing w:val="true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98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60"/>
              <w:ind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гарантиям, гарантийному и послегарантийному обслуживанию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2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6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1080"/>
              <w:widowControl w:val="false"/>
              <w:pBdr/>
              <w:spacing w:after="60" w:before="60"/>
              <w:ind w:right="0" w:firstLine="0" w:left="-117"/>
              <w:contextualSpacing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0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eastAsia="Times New Roman" w:cs="Times New Roman"/>
                <w:i/>
                <w:iCs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sz w:val="24"/>
                <w:szCs w:val="24"/>
                <w:lang w:val="ru-RU" w:eastAsia="ru-RU" w:bidi="ar-SA"/>
              </w:rPr>
              <w:t xml:space="preserve">Срок гарантии</w:t>
            </w:r>
            <w:r>
              <w:rPr>
                <w:rFonts w:eastAsia="Times New Roman" w:cs="Times New Roman"/>
                <w:i/>
                <w:iCs/>
                <w:lang w:val="ru-RU" w:eastAsia="ru-RU" w:bidi="ar-SA"/>
              </w:rPr>
            </w:r>
            <w:r>
              <w:rPr>
                <w:rFonts w:eastAsia="Times New Roman" w:cs="Times New Roman"/>
                <w:i/>
                <w:iCs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8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Срок гарантии на оборудование и все поставленные запасные части должен составлять 12 месяцев с даты поставки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6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1080"/>
              <w:widowControl w:val="false"/>
              <w:numPr>
                <w:ilvl w:val="0"/>
                <w:numId w:val="4"/>
              </w:numPr>
              <w:pBdr/>
              <w:spacing w:after="60" w:before="60"/>
              <w:ind w:right="0" w:hanging="360" w:left="360"/>
              <w:contextualSpacing w:val="true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98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60" w:before="60"/>
              <w:ind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комплектации и документам, поставляемым вместе с продукцией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60" w:before="6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6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1080"/>
              <w:widowControl w:val="false"/>
              <w:pBdr/>
              <w:spacing w:after="60" w:before="60"/>
              <w:ind w:right="0" w:firstLine="0" w:left="-117"/>
              <w:contextualSpacing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4.1.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0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sz w:val="24"/>
                <w:szCs w:val="24"/>
                <w:lang w:val="ru-RU" w:eastAsia="ru-RU" w:bidi="ar-SA"/>
              </w:rPr>
              <w:t xml:space="preserve">Документы, передаваемые вместе с продукцией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8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sz w:val="24"/>
                <w:szCs w:val="24"/>
                <w:lang w:val="ru-RU" w:eastAsia="ru-RU" w:bidi="ar-SA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86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sz w:val="24"/>
                <w:szCs w:val="24"/>
                <w:lang w:val="ru-RU" w:eastAsia="ru-RU" w:bidi="ar-SA"/>
              </w:rPr>
              <w:t xml:space="preserve">товарную накладную унифицированной формы ТОРГ-12 в 2 экз.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6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1080"/>
              <w:widowControl w:val="false"/>
              <w:numPr>
                <w:ilvl w:val="0"/>
                <w:numId w:val="4"/>
              </w:numPr>
              <w:pBdr/>
              <w:spacing w:after="60" w:before="60"/>
              <w:ind w:right="0" w:hanging="360" w:left="360"/>
              <w:contextualSpacing w:val="true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98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60" w:before="60"/>
              <w:ind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Прочие (дополнительные) требования к продукции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60" w:before="6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6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pStyle w:val="1080"/>
              <w:widowControl w:val="false"/>
              <w:pBdr/>
              <w:spacing w:after="60" w:before="60"/>
              <w:ind w:right="0" w:firstLine="0" w:left="-117"/>
              <w:contextualSpacing w:val="tru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5.1.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0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sz w:val="24"/>
                <w:szCs w:val="24"/>
                <w:lang w:val="ru-RU" w:eastAsia="ru-RU" w:bidi="ar-SA"/>
              </w:rPr>
              <w:t xml:space="preserve">Качество продукции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8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sz w:val="24"/>
                <w:szCs w:val="24"/>
                <w:lang w:val="ru-RU" w:eastAsia="ru-RU" w:bidi="ar-SA"/>
              </w:rPr>
              <w:t xml:space="preserve">Продукция должна быть новой, никогда не использованной и не восстановленной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0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6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887"/>
        <w:pBdr/>
        <w:tabs>
          <w:tab w:val="clear" w:leader="none" w:pos="0"/>
        </w:tabs>
        <w:spacing w:after="60" w:before="240"/>
        <w:ind w:right="0" w:firstLine="0" w:left="0"/>
        <w:rPr>
          <w:i/>
          <w:sz w:val="24"/>
          <w:szCs w:val="24"/>
        </w:rPr>
      </w:pPr>
      <w:r>
        <w:rPr>
          <w:i/>
          <w:sz w:val="24"/>
          <w:szCs w:val="24"/>
        </w:rPr>
      </w:r>
      <w:r>
        <w:br w:type="page" w:clear="all"/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887"/>
        <w:pBdr/>
        <w:spacing/>
        <w:ind w:right="0" w:hanging="504" w:left="1224"/>
        <w:rPr/>
      </w:pPr>
      <w:r/>
      <w:bookmarkStart w:id="101" w:name="_Toc13"/>
      <w:r/>
      <w:bookmarkStart w:id="64" w:name="__RefHeading___Toc36544_296190591"/>
      <w:r/>
      <w:bookmarkEnd w:id="64"/>
      <w:r>
        <w:t xml:space="preserve">Таблица 4. Требования к продукции (индивидуальные требования по каждой позиции перечня продукции)</w:t>
      </w:r>
      <w:bookmarkEnd w:id="101"/>
      <w:r/>
      <w:r/>
    </w:p>
    <w:p>
      <w:pPr>
        <w:pStyle w:val="886"/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продукции: Расходные материалы для техники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86"/>
        <w:pBdr/>
        <w:spacing/>
        <w:ind/>
        <w:rPr>
          <w:rFonts w:eastAsia="Calibri"/>
          <w:b/>
          <w:iCs/>
        </w:rPr>
      </w:pPr>
      <w:r>
        <w:rPr>
          <w:rFonts w:eastAsia="Calibri"/>
          <w:b/>
          <w:iCs/>
        </w:rPr>
      </w:r>
      <w:r>
        <w:rPr>
          <w:rFonts w:eastAsia="Calibri"/>
          <w:b/>
          <w:iCs/>
        </w:rPr>
      </w:r>
      <w:r>
        <w:rPr>
          <w:rFonts w:eastAsia="Calibri"/>
          <w:b/>
          <w:iCs/>
        </w:rPr>
      </w:r>
    </w:p>
    <w:tbl>
      <w:tblPr>
        <w:tblW w:w="14913" w:type="dxa"/>
        <w:tblInd w:w="108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39"/>
        <w:gridCol w:w="1484"/>
        <w:gridCol w:w="3977"/>
        <w:gridCol w:w="3675"/>
        <w:gridCol w:w="2639"/>
        <w:gridCol w:w="2299"/>
      </w:tblGrid>
      <w:tr>
        <w:trPr>
          <w:trHeight w:val="9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vMerge w:val="restart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п/п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 xml:space="preserve">позиции </w:t>
              <w:br/>
              <w:t xml:space="preserve">Таблицы 1.1. «Перечень и объем закупаемой продукции»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vMerge w:val="restart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продукции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Требования заказчика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7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/>
                <w:bCs w:val="0"/>
                <w:iCs w:val="0"/>
                <w:sz w:val="22"/>
                <w:szCs w:val="24"/>
              </w:rPr>
              <w:t xml:space="preserve">Предложения участника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vMerge w:val="continue"/>
            <w:textDirection w:val="lrTb"/>
            <w:noWrap w:val="false"/>
          </w:tcPr>
          <w:p>
            <w:pPr>
              <w:pStyle w:val="886"/>
              <w:widowControl w:val="false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pStyle w:val="886"/>
              <w:widowControl w:val="false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vMerge w:val="continue"/>
            <w:textDirection w:val="lrTb"/>
            <w:noWrap w:val="false"/>
          </w:tcPr>
          <w:p>
            <w:pPr>
              <w:pStyle w:val="886"/>
              <w:widowControl w:val="false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886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Технические и функциональные характеристики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(параметры эквивалентности, совместимость с устройством)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/>
                <w:bCs w:val="0"/>
                <w:iCs w:val="0"/>
                <w:sz w:val="22"/>
                <w:szCs w:val="24"/>
              </w:rPr>
              <w:t xml:space="preserve">Наименование продукции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/>
                <w:bCs w:val="0"/>
                <w:iCs w:val="0"/>
                <w:sz w:val="22"/>
                <w:szCs w:val="24"/>
              </w:rPr>
              <w:t xml:space="preserve">Технические и функциональные характеристики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>
          <w:trHeight w:val="3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/>
                <w:bCs w:val="0"/>
                <w:iCs w:val="0"/>
                <w:sz w:val="22"/>
                <w:szCs w:val="24"/>
              </w:rPr>
              <w:t xml:space="preserve">5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886"/>
              <w:keepNext w:val="true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/>
                <w:bCs w:val="0"/>
                <w:iCs w:val="0"/>
                <w:sz w:val="22"/>
                <w:szCs w:val="24"/>
              </w:rPr>
              <w:t xml:space="preserve">6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 бесперебойного питания Powercom Raptor RPT-600AP SE 360Вт 600ВА черный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- ИБП</w:t>
              <w:br/>
              <w:t xml:space="preserve">Основной цвет - серый</w:t>
              <w:br/>
              <w:t xml:space="preserve">Вид - линейно-интерактивный</w:t>
              <w:br/>
              <w:t xml:space="preserve">Форм-фактор  - Tower</w:t>
              <w:br/>
              <w:t xml:space="preserve">Длина кабеля питания - 1.2 м</w:t>
              <w:br/>
              <w:t xml:space="preserve">Технические параметры</w:t>
              <w:br/>
              <w:t xml:space="preserve">Полная выходная мощность -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600 ВА</w:t>
              <w:br/>
              <w:t xml:space="preserve">Эффективная выходная мощность - 360 Вт</w:t>
              <w:br/>
              <w:t xml:space="preserve">Мин. входное напряжение -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160 В</w:t>
              <w:br/>
              <w:t xml:space="preserve">Макс. входное напряжение - 275 В</w:t>
              <w:br/>
              <w:t xml:space="preserve">Мин. входная частота - 40 Гц</w:t>
              <w:br/>
              <w:t xml:space="preserve">Макс. входная частота - 70 Гц</w:t>
              <w:br/>
              <w:t xml:space="preserve">Стабильность выходного напряжения - ± 5 %</w:t>
              <w:br/>
              <w:t xml:space="preserve">Мин. выходная частота - 49 Гц</w:t>
              <w:br/>
              <w:t xml:space="preserve">Макс. выходная частота - 61 Гц</w:t>
              <w:br/>
              <w:t xml:space="preserve">Тип формы напряже</w:t>
            </w:r>
            <w:r>
              <w:rPr>
                <w:sz w:val="24"/>
                <w:szCs w:val="24"/>
              </w:rPr>
              <w:t xml:space="preserve">ния </w:t>
              <w:br/>
              <w:t xml:space="preserve">модифицированная синусоида</w:t>
              <w:br/>
              <w:t xml:space="preserve">Время работы - 13 мин (100Вт)</w:t>
              <w:br/>
              <w:t xml:space="preserve">Время переключения на батарею </w:t>
              <w:br/>
              <w:t xml:space="preserve">4 мс</w:t>
              <w:br/>
              <w:t xml:space="preserve">Виды защиты</w:t>
              <w:br/>
              <w:t xml:space="preserve">защита от высоковольтных импульсов, защита от короткого замыкания, защита от перегрузки</w:t>
              <w:br/>
              <w:t xml:space="preserve">Разъемы</w:t>
              <w:br/>
              <w:t xml:space="preserve">Количество и тип выходных разъемов питания </w:t>
              <w:br/>
              <w:t xml:space="preserve">3 x IE</w:t>
            </w:r>
            <w:r>
              <w:rPr>
                <w:sz w:val="24"/>
                <w:szCs w:val="24"/>
              </w:rPr>
              <w:t xml:space="preserve">C 320 C13 (компьютерная)</w:t>
              <w:br/>
              <w:t xml:space="preserve">Количество выходных разъемов питания (UPS) - 3</w:t>
              <w:br/>
              <w:t xml:space="preserve">Расположение разъемов на корпусе - вертикальное</w:t>
              <w:br/>
              <w:t xml:space="preserve">Батарея</w:t>
              <w:br/>
              <w:t xml:space="preserve">Тип батареи - свинцово-кислотная</w:t>
              <w:br/>
              <w:t xml:space="preserve">Время зарядки - 4 ч</w:t>
              <w:br/>
              <w:t xml:space="preserve">Напряжение и емкость батареи</w:t>
              <w:br/>
              <w:t xml:space="preserve">12V/7.2Ah</w:t>
              <w:br/>
              <w:t xml:space="preserve">Возможность замены батарей </w:t>
              <w:br/>
              <w:t xml:space="preserve">есть</w:t>
              <w:br/>
              <w:t xml:space="preserve">Гор</w:t>
            </w:r>
            <w:r>
              <w:rPr>
                <w:sz w:val="24"/>
                <w:szCs w:val="24"/>
              </w:rPr>
              <w:t xml:space="preserve">ячая замена батарей - нет</w:t>
              <w:br/>
              <w:t xml:space="preserve">Количество батарей - 1 шт</w:t>
              <w:br/>
              <w:t xml:space="preserve">Подключение внешних батарей </w:t>
              <w:br/>
              <w:t xml:space="preserve">нет</w:t>
              <w:br/>
              <w:t xml:space="preserve">Наличие батареи в комплекте</w:t>
              <w:br/>
              <w:t xml:space="preserve">есть</w:t>
              <w:br/>
              <w:t xml:space="preserve">Дополнительная информация</w:t>
              <w:br/>
              <w:t xml:space="preserve">Функции и режимы</w:t>
              <w:br/>
              <w:t xml:space="preserve">AVR, функция Green Mode</w:t>
              <w:br/>
              <w:t xml:space="preserve">Холодный старт - есть</w:t>
              <w:br/>
              <w:t xml:space="preserve">Дисплей - нет</w:t>
              <w:br/>
              <w:t xml:space="preserve">Светодиодные индикаторы </w:t>
              <w:br/>
              <w:t xml:space="preserve">питание вк</w:t>
            </w:r>
            <w:r>
              <w:rPr>
                <w:sz w:val="24"/>
                <w:szCs w:val="24"/>
              </w:rPr>
              <w:t xml:space="preserve">лючено</w:t>
              <w:br/>
              <w:t xml:space="preserve">Звуковые сигналы </w:t>
              <w:br/>
              <w:t xml:space="preserve">низкий заряд батареи, перегрузка, работа от батареи</w:t>
              <w:br/>
              <w:t xml:space="preserve">Уровень шума - 40 дБ</w:t>
              <w:br/>
              <w:t xml:space="preserve">Температура эксплуатации</w:t>
              <w:br/>
              <w:t xml:space="preserve">от 0 до +40 °С</w:t>
              <w:br/>
              <w:t xml:space="preserve">Комплектация</w:t>
              <w:br/>
              <w:t xml:space="preserve">документация, кабель питания</w:t>
              <w:br/>
              <w:t xml:space="preserve">Габариты и вес</w:t>
              <w:br/>
              <w:t xml:space="preserve">Глубина - 278 мм</w:t>
              <w:br/>
              <w:t xml:space="preserve">Ширина - 100 мм</w:t>
              <w:br/>
              <w:t xml:space="preserve">Высота - 140 мм</w:t>
              <w:br/>
              <w:t xml:space="preserve">Вес - 4.2 кг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2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Память DDR4 8GB 2666MHz AMD R748G2606U2S-U Radeon R7 Performance Series RTL PC4-21300 CL16 DIMM 288-pin 1.2В single rank Ret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Пропускная способность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21300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RAS to CAS Delay (tRCD) 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Row Precharge Delay (tRP) 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Обозначение памяти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UDIMM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Комплектация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Оперативная память, документация, упаковка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Прочие характеристики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Задержка (тест) 16-18-18-35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Скорость (тест) 2666МГц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поставки Ret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характеристики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Тактовая частота 2666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Форм-фактор DIMM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памяти DDR4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контактов 288-pin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8192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Показатель скорости PC4-21300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Латентность (CAS) CL16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Буферизация unbuffered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в упаковке 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рангов (Ranks)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single rank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питания Formula ATX 600W FV-600LT (20+4pin) APFC 120mm fan 4xSATA RTL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Мощность - 600 Вт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Корректор коэффициента мощности (PFC) - Активный</w:t>
              <w:br/>
              <w:t xml:space="preserve">Цвет - Черный</w:t>
              <w:br/>
              <w:t xml:space="preserve">Глубина блока питания - 150 мм</w:t>
              <w:br/>
              <w:t xml:space="preserve">Форм-фактор - ATX</w:t>
              <w:br/>
              <w:t xml:space="preserve">Отстёгивающиеся кабели - Нет</w:t>
              <w:br/>
              <w:t xml:space="preserve">Разъемы</w:t>
              <w:br/>
              <w:t xml:space="preserve">Количество разъемов SATA - 4</w:t>
              <w:br/>
              <w:t xml:space="preserve">Ра</w:t>
            </w:r>
            <w:r>
              <w:rPr>
                <w:sz w:val="24"/>
                <w:szCs w:val="24"/>
              </w:rPr>
              <w:t xml:space="preserve">зъем для питания видеокарты (PCI-E) 6+2 pin</w:t>
              <w:br/>
              <w:t xml:space="preserve">Питание материнской платы</w:t>
              <w:br/>
              <w:t xml:space="preserve">20+4 pin</w:t>
              <w:br/>
              <w:t xml:space="preserve">Разъем для питания процессора (CPU)4+4 pin</w:t>
              <w:br/>
              <w:t xml:space="preserve">Количество разъемов 4+4 pin CPU - 1</w:t>
              <w:br/>
              <w:t xml:space="preserve">Количество разъемов 4 pin Molex</w:t>
              <w:br/>
              <w:t xml:space="preserve">2</w:t>
              <w:br/>
              <w:t xml:space="preserve">Количество разъемов 6+2 pin PCI-E -2</w:t>
              <w:br/>
              <w:t xml:space="preserve">Система охлаждения</w:t>
              <w:br/>
              <w:t xml:space="preserve">Активная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Устройство охлаждения(кулер) ID-Cooling DK-01S Soc-AM5/AM4/1200/1700/1851 черный 3-pin 24dB Al 65W 144gr Ret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Рассеиваемая мощность - 65 Вт</w:t>
              <w:br/>
              <w:t xml:space="preserve">Сокет AM2, AM3, AM2+, FM2, FM1, FM2+, AM3+, LGA1155, LGA1151-v2, LGA775, LGA1150, LGA1151, LGA1156</w:t>
              <w:br/>
              <w:t xml:space="preserve">Тип конструкции Горизонтальный</w:t>
              <w:br/>
              <w:t xml:space="preserve">Дополнительные характеристики</w:t>
              <w:br/>
              <w:t xml:space="preserve">Термопа</w:t>
            </w:r>
            <w:r>
              <w:rPr>
                <w:sz w:val="24"/>
                <w:szCs w:val="24"/>
              </w:rPr>
              <w:t xml:space="preserve">ста в комплекте  - Да</w:t>
              <w:br/>
              <w:t xml:space="preserve">Тип подсветки - Нет</w:t>
              <w:br/>
              <w:t xml:space="preserve">Характеристики вентилятора</w:t>
              <w:br/>
              <w:t xml:space="preserve">Тип подшипника</w:t>
              <w:br/>
              <w:t xml:space="preserve">Гидродинамический</w:t>
              <w:br/>
              <w:t xml:space="preserve">Максимальный воздушный поток - 28.7 CFM</w:t>
              <w:br/>
              <w:t xml:space="preserve">Максимальное статическое давление - 20.58 Па</w:t>
              <w:br/>
              <w:t xml:space="preserve">Максимальная скорость вращения - 2200 об/мин</w:t>
              <w:br/>
              <w:t xml:space="preserve">Количество вентиляторов </w:t>
            </w:r>
            <w:r>
              <w:rPr>
                <w:sz w:val="24"/>
                <w:szCs w:val="24"/>
              </w:rPr>
              <w:t xml:space="preserve">в комплекте - 1</w:t>
              <w:br/>
              <w:t xml:space="preserve">Максимальное число устанавливаемых вентиляторов</w:t>
              <w:br/>
              <w:t xml:space="preserve">1</w:t>
              <w:br/>
              <w:t xml:space="preserve">Разъем для подключения вентиляторов 3 pin</w:t>
              <w:br/>
              <w:t xml:space="preserve">Регулировка скорости вращения</w:t>
              <w:br/>
              <w:t xml:space="preserve">Нет</w:t>
              <w:br/>
              <w:t xml:space="preserve">Максимальный уровень шума</w:t>
              <w:br/>
              <w:t xml:space="preserve">23.6 дБ</w:t>
              <w:br/>
              <w:t xml:space="preserve">Характеристики радиатора</w:t>
              <w:br/>
              <w:t xml:space="preserve">Материал радиатора</w:t>
              <w:br/>
              <w:t xml:space="preserve">Алюминий</w:t>
              <w:br/>
              <w:t xml:space="preserve">Габариты и вес</w:t>
              <w:br/>
              <w:t xml:space="preserve">Высота</w:t>
              <w:br/>
              <w:t xml:space="preserve">43 мм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5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Термопаста Thermalright TF4-1.5G 9.5Вт/(мК) шприц 1.5гр.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Тип: термопаста Вес:1.5 г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поставки: шприц с лопаткой Температурный диапазон, °С: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-50 до +240</w:t>
              <w:br/>
              <w:t xml:space="preserve">Теплопроводность, Вт/(м·К): 9,5</w:t>
              <w:br/>
              <w:t xml:space="preserve">Тепловое сопротивление, °С/Вт: 0,0068</w:t>
              <w:br/>
              <w:t xml:space="preserve">Электрическая проводимость: нет</w:t>
              <w:br/>
              <w:t xml:space="preserve">Плотность, г/см3: 2,7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Салфетки Buro BU-Asurface для поверхностей туба 100шт влажных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Область применения для поверхностей</w:t>
              <w:br/>
              <w:t xml:space="preserve">Тип упаковки туба</w:t>
              <w:br/>
              <w:t xml:space="preserve">Количество салфеток 100 шт (туба)</w:t>
              <w:br/>
              <w:t xml:space="preserve">Тип салфеток влажные</w:t>
              <w:br/>
              <w:t xml:space="preserve">Для любых поверхностей 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Клавиатура Оклик 155M черный USB slim (подставка для запястий) (1678057) кабель 1.6м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 клавиатуры - 20</w:t>
              <w:br/>
              <w:t xml:space="preserve">Количество клавиш - 104</w:t>
              <w:br/>
              <w:t xml:space="preserve">Ширина клавиатуры - 458</w:t>
              <w:br/>
              <w:t xml:space="preserve">Основной цвет - черный</w:t>
              <w:br/>
              <w:t xml:space="preserve">Габариты упаковки (ед) ДхШхВ</w:t>
              <w:br/>
              <w:t xml:space="preserve">0.47x0.18x0.031</w:t>
              <w:br/>
              <w:t xml:space="preserve">Вес упаковки (ед) - 0.48</w:t>
              <w:br/>
              <w:t xml:space="preserve">Объ</w:t>
            </w:r>
            <w:r>
              <w:rPr>
                <w:sz w:val="24"/>
                <w:szCs w:val="24"/>
              </w:rPr>
              <w:t xml:space="preserve">ем упаковки (ед) - 0.0026226</w:t>
              <w:br/>
              <w:t xml:space="preserve">Конструктив клавиатуры</w:t>
              <w:br/>
              <w:t xml:space="preserve">островная</w:t>
              <w:br/>
              <w:t xml:space="preserve">Размер раскладки  - 100%</w:t>
              <w:br/>
              <w:t xml:space="preserve">Тип механизма клавиш</w:t>
              <w:br/>
              <w:t xml:space="preserve">мембранная</w:t>
              <w:br/>
              <w:t xml:space="preserve">Конструктивные особенности</w:t>
              <w:br/>
              <w:t xml:space="preserve">цифровой блок</w:t>
              <w:br/>
              <w:t xml:space="preserve">Интерфейсы и разъемы</w:t>
              <w:br/>
              <w:t xml:space="preserve">Интерфейс - USB</w:t>
              <w:br/>
              <w:t xml:space="preserve">Тип соединения клавиатуры</w:t>
              <w:br/>
              <w:t xml:space="preserve">проводной</w:t>
              <w:br/>
              <w:t xml:space="preserve">Корпус</w:t>
              <w:br/>
              <w:t xml:space="preserve">Цвет клавиш</w:t>
              <w:br/>
              <w:t xml:space="preserve">черн</w:t>
            </w:r>
            <w:r>
              <w:rPr>
                <w:sz w:val="24"/>
                <w:szCs w:val="24"/>
              </w:rPr>
              <w:t xml:space="preserve">ый</w:t>
              <w:br/>
              <w:t xml:space="preserve">Размеры, вес, цвет</w:t>
              <w:br/>
              <w:t xml:space="preserve">Цвет корпуса клавиатуры</w:t>
              <w:br/>
              <w:t xml:space="preserve">черный</w:t>
              <w:br/>
              <w:t xml:space="preserve">Основные характеристики</w:t>
              <w:br/>
              <w:t xml:space="preserve">Глубина клавиатуры  - 158</w:t>
              <w:br/>
              <w:t xml:space="preserve">Клавиатура Slim-дизайна ДА</w:t>
              <w:br/>
              <w:t xml:space="preserve">Длина кабеля - 1.6</w:t>
              <w:br/>
              <w:t xml:space="preserve">Цвет русских букв - белый</w:t>
              <w:br/>
              <w:t xml:space="preserve">Цвет английских букв - белый</w:t>
              <w:br/>
              <w:t xml:space="preserve">Особенности</w:t>
              <w:br/>
              <w:t xml:space="preserve">Клавиатура с русскими буквами</w:t>
              <w:br/>
              <w:t xml:space="preserve">ДА</w:t>
              <w:br/>
              <w:t xml:space="preserve">Подстав</w:t>
            </w:r>
            <w:r>
              <w:rPr>
                <w:sz w:val="24"/>
                <w:szCs w:val="24"/>
              </w:rPr>
              <w:t xml:space="preserve">ка для запястий</w:t>
              <w:br/>
              <w:t xml:space="preserve">ДА</w:t>
              <w:br/>
              <w:t xml:space="preserve">Дизайн клавиш</w:t>
              <w:br/>
              <w:t xml:space="preserve">квадратные</w:t>
              <w:br/>
              <w:t xml:space="preserve">Клавиши островного типа</w:t>
              <w:br/>
              <w:t xml:space="preserve">ДА</w:t>
              <w:br/>
              <w:t xml:space="preserve">Описание</w:t>
              <w:br/>
              <w:t xml:space="preserve">Особенности</w:t>
              <w:br/>
              <w:t xml:space="preserve">Ресурс нажатий:10 000 000. Anti-ghosting до 26 одновременных нажатий. Прорезиненные антифрикционные накладки. Автоматическая конфигурация без специальных драйверов.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8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Клавиатура + мышь Logitech MK270 клав:черный мышь:черный USB беспроводная Multimedia (920-003381)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Клавиатура с русскими буквами</w:t>
              <w:br/>
              <w:t xml:space="preserve">ДА</w:t>
              <w:br/>
              <w:t xml:space="preserve">Нанесение кириллицы</w:t>
              <w:br/>
              <w:t xml:space="preserve">гравировка</w:t>
              <w:br/>
              <w:t xml:space="preserve">Раз</w:t>
            </w:r>
            <w:r>
              <w:rPr>
                <w:sz w:val="24"/>
                <w:szCs w:val="24"/>
              </w:rPr>
              <w:t xml:space="preserve">меры, вес, цвет</w:t>
              <w:br/>
              <w:t xml:space="preserve">Цвет мыши</w:t>
              <w:br/>
              <w:t xml:space="preserve">черный</w:t>
              <w:br/>
              <w:t xml:space="preserve">Размеры клавиатуры 442x149x19мм</w:t>
              <w:br/>
              <w:t xml:space="preserve">Размеры мыши 100x60x38мм</w:t>
              <w:br/>
              <w:t xml:space="preserve">Питание</w:t>
              <w:br/>
              <w:t xml:space="preserve">Питание клавиатуры 2xAAA</w:t>
              <w:br/>
              <w:t xml:space="preserve">Питание мыши 1xAA</w:t>
              <w:br/>
              <w:t xml:space="preserve">Основные характеристики</w:t>
              <w:br/>
              <w:t xml:space="preserve">Интерфейс подключения USB</w:t>
              <w:br/>
              <w:t xml:space="preserve">Тип соединения клавиатуры</w:t>
              <w:br/>
              <w:t xml:space="preserve">беспроводной</w:t>
              <w:br/>
              <w:t xml:space="preserve">Тип беспроводного соединен</w:t>
            </w:r>
            <w:r>
              <w:rPr>
                <w:sz w:val="24"/>
                <w:szCs w:val="24"/>
              </w:rPr>
              <w:t xml:space="preserve">ия мыши Радио</w:t>
              <w:br/>
              <w:t xml:space="preserve">Радиус действия 10</w:t>
              <w:br/>
              <w:t xml:space="preserve">Модель MK270</w:t>
              <w:br/>
              <w:t xml:space="preserve">PartNumber/Артикул Производителя 920-003381</w:t>
              <w:br/>
              <w:t xml:space="preserve">Клавиатура</w:t>
              <w:br/>
              <w:t xml:space="preserve">Мультимедийные дополнительные клавиши ДА</w:t>
              <w:br/>
              <w:t xml:space="preserve">Дополнительные интернет-клавиши ДА</w:t>
              <w:br/>
              <w:t xml:space="preserve">Дизайн клавиш квадратные</w:t>
              <w:br/>
              <w:t xml:space="preserve">Цвет английских букв белый</w:t>
              <w:br/>
              <w:t xml:space="preserve">Цвет русских букв белый</w:t>
              <w:br/>
              <w:t xml:space="preserve">Вст</w:t>
            </w:r>
            <w:r>
              <w:rPr>
                <w:sz w:val="24"/>
                <w:szCs w:val="24"/>
              </w:rPr>
              <w:t xml:space="preserve">роенный регулятор громкости ДА</w:t>
              <w:br/>
              <w:t xml:space="preserve">Особенности клавиатуры</w:t>
              <w:br/>
              <w:t xml:space="preserve">нанесена русская раскладка</w:t>
              <w:br/>
              <w:t xml:space="preserve">Цвет клавиш клавиатуры</w:t>
              <w:br/>
              <w:t xml:space="preserve">черный</w:t>
              <w:br/>
              <w:t xml:space="preserve">Цвет клавиатуры черный</w:t>
              <w:br/>
              <w:t xml:space="preserve">Мышь</w:t>
              <w:br/>
              <w:t xml:space="preserve">Тип мыши оптическая</w:t>
              <w:br/>
              <w:t xml:space="preserve">Разрешение сенсора максимальное 1000</w:t>
              <w:br/>
              <w:t xml:space="preserve">Количество кнопок мыши 2</w:t>
              <w:br/>
              <w:t xml:space="preserve">Дизайн мыши</w:t>
              <w:br/>
              <w:t xml:space="preserve">для правой и левой руки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9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Сетевой фильтр PC Pet AP01006-E-B 1.8м (5 розеток) черный (пакет ПЭ)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Корпус</w:t>
              <w:br/>
              <w:t xml:space="preserve">Цвет черный</w:t>
              <w:br/>
              <w:t xml:space="preserve">Функции</w:t>
              <w:br/>
              <w:t xml:space="preserve">Подавление импульсных помех</w:t>
              <w:br/>
              <w:t xml:space="preserve">ДА</w:t>
              <w:br/>
              <w:t xml:space="preserve">Основные характеристики</w:t>
              <w:br/>
              <w:t xml:space="preserve">Входная вилка</w:t>
              <w:br/>
              <w:t xml:space="preserve">IEC320 (Для ИБП)</w:t>
              <w:br/>
              <w:t xml:space="preserve">Длина шнура 1.8</w:t>
              <w:br/>
              <w:t xml:space="preserve">Коли</w:t>
            </w:r>
            <w:r>
              <w:rPr>
                <w:sz w:val="24"/>
                <w:szCs w:val="24"/>
              </w:rPr>
              <w:t xml:space="preserve">чество выходных розеток 5</w:t>
              <w:br/>
              <w:t xml:space="preserve">Номинальное напряжение питающей сети 220</w:t>
              <w:br/>
              <w:t xml:space="preserve">Максимальная рассеиваемая энергия 107</w:t>
              <w:br/>
              <w:t xml:space="preserve">Максимальный импульсный ток помехи 4500</w:t>
              <w:br/>
              <w:t xml:space="preserve">Частота сети 50</w:t>
              <w:br/>
              <w:t xml:space="preserve">Максимальная нагрузка 1500</w:t>
              <w:br/>
              <w:t xml:space="preserve">Максимальный ток нагрузки 7</w:t>
              <w:br/>
              <w:t xml:space="preserve">Тип упаковки пакет ПЭ</w:t>
              <w:br/>
              <w:t xml:space="preserve">Тип Сетевой фильтр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>
          <w:trHeight w:val="3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10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Шнур-адаптер USB-COM, PL1391, разъёмы AM/DB9 (RS232), 1.2 м Pro Legend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Выходdb9 вилка</w:t>
              <w:br/>
              <w:t xml:space="preserve">Тип USB-COM</w:t>
              <w:br/>
              <w:t xml:space="preserve">Вход usb a вилка</w:t>
              <w:br/>
              <w:t xml:space="preserve">ТипUSB-DB9(RS-232)</w:t>
              <w:br/>
              <w:t xml:space="preserve">Цвет Прозрачный</w:t>
              <w:br/>
              <w:t xml:space="preserve">Длина, м1.2</w:t>
              <w:br/>
              <w:t xml:space="preserve">Функциональное назначениеUSB-COM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11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Переходник HDMI - VGA + AUX кабель PL1136, Pro Legend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типHDMI-VGA</w:t>
              <w:br/>
              <w:t xml:space="preserve">ЦветЧерный · Вход: 19 pin HDMI type A male разъем</w:t>
              <w:br/>
              <w:t xml:space="preserve">· Выход: 15 pin D-Sub female разъём, jack 3.5 mm 3 pin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12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Переходник DisplayPort-VGA EX294797RUS, ExeGate EX-DPM-VGAF (20M/15F)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разъемDisplayPort 20(M)</w:t>
              <w:br/>
              <w:t xml:space="preserve">Второй разъемD-Sub 15pin(F)</w:t>
              <w:br/>
              <w:t xml:space="preserve">Тип исполненияПрямой</w:t>
              <w:br/>
              <w:t xml:space="preserve">ИнтерфейсыDisplayPort-VGA</w:t>
              <w:br/>
              <w:t xml:space="preserve">Разъём 1DisplayPort(M)</w:t>
              <w:br/>
              <w:t xml:space="preserve">Разъём 2VGA(F)</w:t>
              <w:br/>
              <w:t xml:space="preserve">Типпереходник</w:t>
              <w:br/>
              <w:t xml:space="preserve">Цветчёрный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13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Жесткий диск A-Data USB3.0 1TB AHD720-1TU31-CBK HD720 DashDrive Durable 2.5" черный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Размеры</w:t>
              <w:br/>
              <w:t xml:space="preserve">97.9x129.4x20.2мм</w:t>
              <w:br/>
              <w:t xml:space="preserve">Габариты упаковки (ед) ДхШхВ</w:t>
              <w:br/>
              <w:t xml:space="preserve">0.19x0.13x0.04</w:t>
              <w:br/>
              <w:t xml:space="preserve">Вес упаковки (ед) 0.31</w:t>
              <w:br/>
              <w:t xml:space="preserve">Объем упаковки (ед) 0.000988</w:t>
              <w:br/>
              <w:t xml:space="preserve">Пропускная способность интерфейса, до 5 Гбит/с</w:t>
              <w:br/>
            </w:r>
            <w:r>
              <w:rPr>
                <w:sz w:val="24"/>
                <w:szCs w:val="24"/>
              </w:rPr>
              <w:t xml:space="preserve">Разъемы и интерфейсы на устройстве USB Micro-B 3.0 (f)</w:t>
              <w:br/>
              <w:t xml:space="preserve">Технология RAID отсутствует</w:t>
              <w:br/>
              <w:t xml:space="preserve">Способ защиты данных</w:t>
              <w:br/>
              <w:t xml:space="preserve">отсутствует</w:t>
              <w:br/>
              <w:t xml:space="preserve">Защита от внешнего воздействия</w:t>
              <w:br/>
              <w:t xml:space="preserve">водостойкий, противоударный</w:t>
              <w:br/>
              <w:t xml:space="preserve">Степень защиты</w:t>
              <w:br/>
              <w:t xml:space="preserve">IP68/MIL-STD 810G</w:t>
              <w:br/>
              <w:t xml:space="preserve">Тип резервного копирования</w:t>
              <w:br/>
              <w:t xml:space="preserve">автоматическое</w:t>
              <w:br/>
              <w:t xml:space="preserve">Разъем</w:t>
            </w:r>
            <w:r>
              <w:rPr>
                <w:sz w:val="24"/>
                <w:szCs w:val="24"/>
              </w:rPr>
              <w:t xml:space="preserve"> кабеля в комплекте</w:t>
              <w:br/>
              <w:t xml:space="preserve">USB Micro-B - USB Type-A</w:t>
              <w:br/>
              <w:t xml:space="preserve">Поддержка ОС Linux, macOS, PS5, Windows, Xbox One</w:t>
              <w:br/>
              <w:t xml:space="preserve">Интерфейс подключения к ПК</w:t>
              <w:br/>
              <w:t xml:space="preserve">USB Type-A</w:t>
              <w:br/>
              <w:t xml:space="preserve">Корпус</w:t>
              <w:br/>
              <w:t xml:space="preserve">Цвет черный</w:t>
              <w:br/>
              <w:t xml:space="preserve">Материал корпуса пластик/силикон</w:t>
              <w:br/>
              <w:t xml:space="preserve">Внешняя поверхность матовая</w:t>
              <w:br/>
              <w:t xml:space="preserve">Питание</w:t>
              <w:br/>
              <w:t xml:space="preserve">Электропитание от порта USB</w:t>
              <w:br/>
              <w:t xml:space="preserve">Возможн</w:t>
            </w:r>
            <w:r>
              <w:rPr>
                <w:sz w:val="24"/>
                <w:szCs w:val="24"/>
              </w:rPr>
              <w:t xml:space="preserve">ость питания по USB</w:t>
              <w:br/>
              <w:t xml:space="preserve">ДА</w:t>
              <w:br/>
              <w:t xml:space="preserve">Основные характеристики</w:t>
              <w:br/>
              <w:t xml:space="preserve">Тип диска (по исполнению)</w:t>
              <w:br/>
              <w:t xml:space="preserve">портативный</w:t>
              <w:br/>
              <w:t xml:space="preserve">Тип диска (по носителю)</w:t>
              <w:br/>
              <w:t xml:space="preserve">HDD</w:t>
              <w:br/>
              <w:t xml:space="preserve">Объем накопителя 1 ТБ</w:t>
              <w:br/>
              <w:t xml:space="preserve">Форм-фактор диска 2.5</w:t>
              <w:br/>
              <w:t xml:space="preserve">Количество дисков в устройстве</w:t>
              <w:br/>
              <w:t xml:space="preserve">1</w:t>
              <w:br/>
              <w:t xml:space="preserve">Особенности</w:t>
              <w:br/>
              <w:t xml:space="preserve">Комплект поставки</w:t>
              <w:br/>
              <w:t xml:space="preserve">внешний диск, кабель USB, инструкция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14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Диск CD-R Mirex 700 Mb, 48х, Shrink (упак.:100шт.), Thermal Print (100/500)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CD-R</w:t>
              <w:br/>
              <w:t xml:space="preserve">Емкость 700 МБ</w:t>
              <w:br/>
              <w:t xml:space="preserve">Кол-во в упаковке 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15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Привод DVD-RW Asus SDRW-08D2S-U LITE/BLK/G/AS черный USB внешний RTL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Корпус</w:t>
              <w:br/>
              <w:t xml:space="preserve">Размеры привода</w:t>
              <w:br/>
              <w:t xml:space="preserve">157x21x142мм</w:t>
              <w:br/>
              <w:t xml:space="preserve">Вес привода 313</w:t>
              <w:br/>
              <w:t xml:space="preserve">Разъемы и ин</w:t>
            </w:r>
            <w:r>
              <w:rPr>
                <w:sz w:val="24"/>
                <w:szCs w:val="24"/>
              </w:rPr>
              <w:t xml:space="preserve">терфейсы</w:t>
              <w:br/>
              <w:t xml:space="preserve">Возможность питания от USB</w:t>
              <w:br/>
              <w:t xml:space="preserve">ДА</w:t>
              <w:br/>
              <w:t xml:space="preserve">Основные характеристики</w:t>
              <w:br/>
              <w:t xml:space="preserve">Время доступа CD 140</w:t>
              <w:br/>
              <w:t xml:space="preserve">Время доступа DVD 160</w:t>
              <w:br/>
              <w:t xml:space="preserve">Тип (по классу носителя)</w:t>
              <w:br/>
              <w:t xml:space="preserve">DVD-RW</w:t>
              <w:br/>
              <w:t xml:space="preserve">Тип внешний</w:t>
              <w:br/>
              <w:t xml:space="preserve">Загрузка диска лоток</w:t>
              <w:br/>
              <w:t xml:space="preserve">Размер буфера 1</w:t>
              <w:br/>
              <w:t xml:space="preserve">Интерфейс USB</w:t>
              <w:br/>
              <w:t xml:space="preserve">CD скорость чтения, макс 24</w:t>
              <w:br/>
              <w:t xml:space="preserve">DVD скорость чтения, макс 8</w:t>
            </w:r>
            <w:r>
              <w:rPr>
                <w:sz w:val="24"/>
                <w:szCs w:val="24"/>
              </w:rPr>
              <w:br/>
              <w:t xml:space="preserve">Скорость записи CD-R 24</w:t>
              <w:br/>
              <w:t xml:space="preserve">Скорость записи DVD-R 8</w:t>
              <w:br/>
              <w:t xml:space="preserve">Скорость записи CD-RW 16</w:t>
              <w:br/>
              <w:t xml:space="preserve">Скорость записи DVD-RW 8</w:t>
              <w:br/>
              <w:t xml:space="preserve">Скорость записи DVD+R 8</w:t>
              <w:br/>
              <w:t xml:space="preserve">Скорость записи DVD+RW 8</w:t>
              <w:br/>
              <w:t xml:space="preserve">Скорость записи DVD-R DL 8</w:t>
              <w:br/>
              <w:t xml:space="preserve">Скорость записи DVD+R DL 8</w:t>
              <w:br/>
              <w:t xml:space="preserve">Скорость записи DVD-RAM 5</w:t>
              <w:br/>
              <w:t xml:space="preserve">Цвет черный</w:t>
              <w:br/>
              <w:t xml:space="preserve">Тип поставки Ret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16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Консольный кабель для Cisco — DB9-RJ45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кабеля: Консольный кабель</w:t>
              <w:br/>
              <w:t xml:space="preserve">Разъемы:</w:t>
              <w:br/>
              <w:t xml:space="preserve">Сторона 1: DB9 (штекер)</w:t>
              <w:br/>
              <w:t xml:space="preserve">Сторона 2: RJ45 (штекер)</w:t>
              <w:br/>
              <w:t xml:space="preserve">Назначение: Прямое подключение ПК к консол</w:t>
            </w:r>
            <w:r>
              <w:rPr>
                <w:sz w:val="24"/>
                <w:szCs w:val="24"/>
              </w:rPr>
              <w:t xml:space="preserve">ьному порту сетевого оборудования Cisco</w:t>
              <w:br/>
              <w:t xml:space="preserve">Длина кабеля: 1.8 метра</w:t>
              <w:br/>
              <w:t xml:space="preserve">Стандарт: Последовательный интерфейс RS-232 через DB9</w:t>
              <w:br/>
              <w:t xml:space="preserve">Совместимость: Широкий спектр сетевых устройств Cisco, оснащенных консольным портом RJ45 (например, Cisco Catalyst, Cisco ASR, Cisco ISR).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17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Консольный кабель для Cisco — USB-RJ45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кабеля: Консольный кабель</w:t>
              <w:br/>
              <w:t xml:space="preserve">Разъемы:</w:t>
              <w:br/>
              <w:t xml:space="preserve">Сторона 1: USB Type-A (штекер)</w:t>
              <w:br/>
              <w:t xml:space="preserve">Сторона 2: RJ45 (штекер)</w:t>
              <w:br/>
              <w:t xml:space="preserve">Назначение: Прямое подключение ПК к консольному п</w:t>
            </w:r>
            <w:r>
              <w:rPr>
                <w:sz w:val="24"/>
                <w:szCs w:val="24"/>
              </w:rPr>
              <w:t xml:space="preserve">орту сетевого оборудования Cisco</w:t>
              <w:br/>
              <w:t xml:space="preserve">Длина кабеля: Обычно 1.8 метра</w:t>
              <w:br/>
              <w:t xml:space="preserve">Стандарт: Последовательный интерфейс RS-232 через USB</w:t>
              <w:br/>
              <w:t xml:space="preserve">Совместимость: Широкий спектр сетевых устройств Cisco, оснащенных консольным портом RJ45 (например, Cisco Catalyst, Cisco ASR, Cisco ISR).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18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Разветвитель USB 2.0 Buro BU-HUB4-U2.0-Slim 4порт. черный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 товара 11</w:t>
              <w:br/>
              <w:t xml:space="preserve">Глубина товара 33</w:t>
              <w:br/>
              <w:t xml:space="preserve">Ширина товара 70</w:t>
              <w:br/>
              <w:t xml:space="preserve">Габариты упаковки (ед) ДхШхВ</w:t>
              <w:br/>
              <w:t xml:space="preserve">0.145x0.085x0.015</w:t>
              <w:br/>
              <w:t xml:space="preserve">Вес упаковки (ед) 0.055</w:t>
              <w:br/>
              <w:t xml:space="preserve">Объем упаковки (ед) 0.000184875</w:t>
              <w:br/>
              <w:t xml:space="preserve">Конст</w:t>
            </w:r>
            <w:r>
              <w:rPr>
                <w:sz w:val="24"/>
                <w:szCs w:val="24"/>
              </w:rPr>
              <w:t xml:space="preserve">руктивные особенности</w:t>
              <w:br/>
              <w:t xml:space="preserve">светодиодная подсветка</w:t>
              <w:br/>
              <w:t xml:space="preserve">Корпус</w:t>
              <w:br/>
              <w:t xml:space="preserve">Основной цвет черный</w:t>
              <w:br/>
              <w:t xml:space="preserve">Основные характеристики</w:t>
              <w:br/>
              <w:t xml:space="preserve">Тип пассивный</w:t>
              <w:br/>
              <w:t xml:space="preserve">Интерфейс USB 2.0</w:t>
              <w:br/>
              <w:t xml:space="preserve">Количество портов USB 4</w:t>
              <w:br/>
              <w:t xml:space="preserve">Питание через USB</w:t>
              <w:br/>
              <w:t xml:space="preserve">Описание</w:t>
              <w:br/>
              <w:t xml:space="preserve">Особенности</w:t>
              <w:br/>
              <w:t xml:space="preserve">Поддержка горячей замены. LED-подсветка во время чтения и записи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19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Кабельный организатор Buro BHP CG155B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15 мм</w:t>
              <w:br/>
              <w:t xml:space="preserve">Длина 1.5 м</w:t>
              <w:br/>
              <w:t xml:space="preserve">Материал АБС-пластик</w:t>
              <w:br/>
              <w:t xml:space="preserve">Цвет черный</w:t>
              <w:br/>
              <w:t xml:space="preserve">Температура эксплуатации</w:t>
              <w:br/>
              <w:t xml:space="preserve">от -5 до +60 °С</w:t>
              <w:br/>
              <w:t xml:space="preserve">Вес нетто 0.08 кг</w:t>
              <w:br/>
              <w:t xml:space="preserve">Тип монтажная спираль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20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Сетевой адаптер Gigabit Ethernet Cudy UE10A USB 3.0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Поддерживаемые ОС</w:t>
              <w:br/>
              <w:t xml:space="preserve">Windows 1</w:t>
            </w:r>
            <w:r>
              <w:rPr>
                <w:sz w:val="24"/>
                <w:szCs w:val="24"/>
              </w:rPr>
              <w:t xml:space="preserve">1/10/8.1/8/7, MacOS, Linux, Android</w:t>
              <w:br/>
              <w:t xml:space="preserve">Корпус</w:t>
              <w:br/>
              <w:t xml:space="preserve">Цвет серый</w:t>
              <w:br/>
              <w:t xml:space="preserve">Разъемы и интерфейсы</w:t>
              <w:br/>
              <w:t xml:space="preserve">Интерфейс с компьютером</w:t>
              <w:br/>
              <w:t xml:space="preserve">USB 3.0</w:t>
              <w:br/>
              <w:t xml:space="preserve">Тип разъема RJ-45</w:t>
              <w:br/>
              <w:t xml:space="preserve">Стандарт Ethernet 1000Base-T</w:t>
              <w:br/>
              <w:t xml:space="preserve">Скорость Ethernet 10/100/1000 Мбит/с</w:t>
              <w:br/>
              <w:t xml:space="preserve">Основные характеристики</w:t>
              <w:br/>
              <w:t xml:space="preserve">Стандарт передачи данных</w:t>
              <w:br/>
              <w:t xml:space="preserve">Gigabit Ethernet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21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Коннектор Lanmaster (TWT-PL45-8P8C) UTP кат.5e RJ45 прозрачный (упак.:100шт.)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Экранирование UTP</w:t>
              <w:br/>
              <w:t xml:space="preserve">Тип используемого волокна/категория медного кабеля кат.5e</w:t>
              <w:br/>
              <w:t xml:space="preserve">Тип разъема RJ45</w:t>
              <w:br/>
              <w:t xml:space="preserve">Количество в упаковке 100</w:t>
              <w:br/>
              <w:t xml:space="preserve">Цвет прозрачный</w:t>
              <w:br/>
              <w:t xml:space="preserve">Модель</w:t>
              <w:br/>
              <w:t xml:space="preserve">Тип Коннектор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22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Адаптер Rexant 03-0101 проходной RJ45 кат.5E UTP бел.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Cоединение 2RJ45 8(8)</w:t>
              <w:br/>
              <w:t xml:space="preserve">С термосопротивлением (тепловым сопротивлением)Нет</w:t>
              <w:br/>
              <w:t xml:space="preserve">Соединение 1RJ45 8(8)</w:t>
              <w:br/>
              <w:t xml:space="preserve">Тип присоединения 1Гнездо(мама)</w:t>
              <w:br/>
              <w:t xml:space="preserve">Тип присоединения 2Гнездо(мама)</w:t>
              <w:br/>
              <w:t xml:space="preserve">ЭкранированныйНет</w:t>
              <w:br/>
              <w:t xml:space="preserve">Подключение 1RJ45 8(8)</w:t>
              <w:br/>
              <w:t xml:space="preserve">Подключение 2RJ</w:t>
            </w:r>
            <w:r>
              <w:rPr>
                <w:sz w:val="24"/>
                <w:szCs w:val="24"/>
              </w:rPr>
              <w:t xml:space="preserve">45 8(8)</w:t>
              <w:br/>
              <w:t xml:space="preserve">С оконечным резисторомНет</w:t>
              <w:br/>
              <w:t xml:space="preserve">Тип разъема 1Розетка</w:t>
              <w:br/>
              <w:t xml:space="preserve">Тип разъема 2Розетка</w:t>
              <w:br/>
              <w:t xml:space="preserve">PartNumber/Артикул Производителя03-0101</w:t>
              <w:br/>
              <w:t xml:space="preserve">Видпроходной</w:t>
              <w:br/>
              <w:t xml:space="preserve">ТипАдаптер</w:t>
              <w:br/>
              <w:t xml:space="preserve">Тип используемого волокна/категория медного кабелякат.5E</w:t>
              <w:br/>
              <w:t xml:space="preserve">Тип разъемовRJ45</w:t>
              <w:br/>
              <w:t xml:space="preserve">Цвет разъемабелый</w:t>
              <w:br/>
              <w:t xml:space="preserve">ЭкранированиеUTP</w:t>
              <w:br/>
              <w:t xml:space="preserve">Вес, г8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23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Монтажные самоклеящиеся площадки FORTISFLEX ПМС 20х20 белый 100шт 49444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нейлон 6.6</w:t>
              <w:br/>
              <w:t xml:space="preserve">Фиксация самоклеящиеся</w:t>
              <w:br/>
              <w:t xml:space="preserve">Длина 20 мм</w:t>
              <w:br/>
              <w:t xml:space="preserve">Ширина 20 мм</w:t>
              <w:br/>
              <w:t xml:space="preserve">Высота 7 мм</w:t>
              <w:br/>
              <w:t xml:space="preserve">Цвет белый</w:t>
              <w:br/>
              <w:t xml:space="preserve">Ширина стяжки 19 мм</w:t>
              <w:br/>
              <w:t xml:space="preserve">Диаметр монтажных отверстий 2.4 мм</w:t>
              <w:br/>
              <w:t xml:space="preserve">Фасовка 100 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24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Многофункциональный кабельный тестер NOYAFA NF-8601S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Назначение</w:t>
              <w:br/>
              <w:t xml:space="preserve">для коаксиальных кабелей/для витой пары</w:t>
              <w:br/>
              <w:t xml:space="preserve">Элементы питания</w:t>
              <w:br/>
              <w:t xml:space="preserve">встроенный аккумулятор</w:t>
              <w:br/>
              <w:t xml:space="preserve">Мах длина тестируемого кабеля</w:t>
              <w:br/>
              <w:t xml:space="preserve">1500 м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Тестирование на обрыв да</w:t>
            </w:r>
            <w:r>
              <w:rPr>
                <w:sz w:val="24"/>
                <w:szCs w:val="24"/>
              </w:rPr>
              <w:br/>
              <w:t xml:space="preserve">Температура хранения -20+60 °С</w:t>
              <w:br/>
              <w:t xml:space="preserve">Диод-тест нет</w:t>
              <w:br/>
              <w:t xml:space="preserve">Индикация разряда батареи есть</w:t>
              <w:br/>
              <w:t xml:space="preserve">Режим «прозвонка» да</w:t>
              <w:br/>
              <w:t xml:space="preserve">Поверка нет</w:t>
              <w:br/>
              <w:t xml:space="preserve">Внесен в госреестр нет</w:t>
              <w:br/>
              <w:t xml:space="preserve">Габариты без упаковки 250х210х85мм мм</w:t>
              <w:br/>
              <w:t xml:space="preserve">Вес нетто 0.78 кг</w:t>
              <w:br/>
              <w:t xml:space="preserve">Подсветка дисплея есть</w:t>
              <w:br/>
              <w:t xml:space="preserve">Рабочая температура -10+60 °С</w:t>
              <w:br/>
              <w:br/>
              <w:t xml:space="preserve">Выбор времени</w:t>
            </w:r>
            <w:r>
              <w:rPr>
                <w:sz w:val="24"/>
                <w:szCs w:val="24"/>
              </w:rPr>
              <w:t xml:space="preserve"> автоотключения питания</w:t>
              <w:br/>
              <w:t xml:space="preserve">ЖК дисплей</w:t>
              <w:br/>
              <w:t xml:space="preserve">Для работы с прибором достаточно одного человека</w:t>
              <w:br/>
              <w:t xml:space="preserve">Встроенный фонарик</w:t>
              <w:br/>
              <w:t xml:space="preserve">Обнаружение любых типов проводников</w:t>
              <w:br/>
              <w:t xml:space="preserve">Карта памяти в комплекте</w:t>
              <w:br/>
              <w:t xml:space="preserve">Гарантия производителя 12 месяцев</w:t>
              <w:br/>
              <w:br/>
              <w:t xml:space="preserve">Комплектация</w:t>
              <w:br/>
              <w:br/>
              <w:t xml:space="preserve">Головное устройство (передатчик) - 1 шт</w:t>
              <w:br/>
              <w:t xml:space="preserve">Бес</w:t>
            </w:r>
            <w:r>
              <w:rPr>
                <w:sz w:val="24"/>
                <w:szCs w:val="24"/>
              </w:rPr>
              <w:t xml:space="preserve">проводной приемник - 1 шт</w:t>
              <w:br/>
              <w:t xml:space="preserve">Дистанционный датчик - 1 шт</w:t>
              <w:br/>
              <w:t xml:space="preserve">Карта памяти MicroSD 1Гб - 1 шт</w:t>
              <w:br/>
              <w:t xml:space="preserve">Кабель-переходник:</w:t>
              <w:br/>
              <w:t xml:space="preserve">RJ11 – RJ11 - 1 шт</w:t>
              <w:br/>
              <w:t xml:space="preserve">RJ45 – RJ45 - 1 шт</w:t>
              <w:br/>
              <w:t xml:space="preserve">RJ11 – крокодилы - 1 шт</w:t>
              <w:br/>
              <w:t xml:space="preserve">Инструкция по эксплуатации - 1 шт</w:t>
              <w:br/>
              <w:t xml:space="preserve">Сумка-чехол - 1 шт</w:t>
              <w:br/>
              <w:t xml:space="preserve">Зарядное устройство micro USB - 1 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25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Батарея для ИБП CSB HR1234W F2 12В 9Ач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Напряжение – 12 В;</w:t>
              <w:br/>
              <w:t xml:space="preserve">Номинальная ёмко</w:t>
            </w:r>
            <w:r>
              <w:rPr>
                <w:sz w:val="24"/>
                <w:szCs w:val="24"/>
              </w:rPr>
              <w:t xml:space="preserve">сть - 34 Вт/Эл при 15-мин. разряде до U - 1.67 В/Эл, при +25°С</w:t>
              <w:br/>
              <w:t xml:space="preserve">Максимальный ток разряда - 130 А (5 сек)</w:t>
              <w:br/>
              <w:t xml:space="preserve">Внутреннее сопротивление - 19.0 мОм</w:t>
              <w:br/>
              <w:t xml:space="preserve">Ток короткого замыкания - 349 A</w:t>
              <w:br/>
              <w:t xml:space="preserve">Максимальный ток заряда - 3.4 А</w:t>
              <w:br/>
              <w:t xml:space="preserve">Напряжение подзаряда - 13.50 - 13.80 В при +25°C</w:t>
              <w:br/>
              <w:t xml:space="preserve">Нап</w:t>
            </w:r>
            <w:r>
              <w:rPr>
                <w:sz w:val="24"/>
                <w:szCs w:val="24"/>
              </w:rPr>
              <w:t xml:space="preserve">ряжение заряда в режиме выравнивания - 14.40 - 15.00 В при +25°C</w:t>
              <w:br/>
              <w:t xml:space="preserve">Саморазряд - Менее 10% за 90 дней. Можно хранить без подзаряда более 6 месяцев при +25°C. Перед использованием требуется полная зарядка. При более высокой температуре окружающей среды срок хр</w:t>
            </w:r>
            <w:r>
              <w:rPr>
                <w:sz w:val="24"/>
                <w:szCs w:val="24"/>
              </w:rPr>
              <w:t xml:space="preserve">анения сокращается.</w:t>
              <w:br/>
              <w:t xml:space="preserve">Клеммы – F2 (Faston Tab 250)</w:t>
              <w:br/>
              <w:br/>
              <w:t xml:space="preserve">Емкость аккумулятора 9 А*ч</w:t>
              <w:br/>
              <w:t xml:space="preserve">Max ток заряда 3.4 А</w:t>
              <w:br/>
              <w:t xml:space="preserve">Технология AGM</w:t>
              <w:br/>
              <w:t xml:space="preserve">Выходное напряжение 12 В</w:t>
              <w:br/>
              <w:t xml:space="preserve">Тип клемм F2(FASTON (зажим) 6.35 мм)</w:t>
              <w:br/>
              <w:t xml:space="preserve">Полярность прямая</w:t>
              <w:br/>
              <w:t xml:space="preserve">Высота 94.3 мм</w:t>
              <w:br/>
              <w:t xml:space="preserve">Ширина 150.9 мм</w:t>
              <w:br/>
              <w:t xml:space="preserve">Глубина 64.8 мм</w:t>
              <w:br/>
              <w:t xml:space="preserve">Вес нетто 2.5 кг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 питания Cabeus PC-IEC19-IEC20-5M IEC 320 C19 - IEC 320 C20 (3x1.5), 16A, прямая вилка, 5м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разъемов</w:t>
              <w:br/>
              <w:t xml:space="preserve">IEC 320 C19 - IEC 320 C20</w:t>
              <w:br/>
              <w:t xml:space="preserve">Длина кабеля, 5м</w:t>
              <w:br/>
              <w:t xml:space="preserve">Тип кабеля 3х1.5</w:t>
              <w:br/>
              <w:t xml:space="preserve">Количество проводников 3</w:t>
              <w:br/>
              <w:t xml:space="preserve">Материал проводников медь электротехническая</w:t>
              <w:br/>
              <w:t xml:space="preserve">Тип проводников многожильные</w:t>
              <w:br/>
              <w:t xml:space="preserve">Сечение проводников, 1.5 мм²</w:t>
              <w:br/>
              <w:t xml:space="preserve">Максимальный ток нагрузки,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А</w:t>
              <w:br/>
              <w:t xml:space="preserve">Номинальное напряжение, В</w:t>
              <w:br/>
              <w:br/>
              <w:t xml:space="preserve">220…250</w:t>
              <w:br/>
              <w:t xml:space="preserve">Материал оболочки кабеля ПВХ</w:t>
              <w:br/>
              <w:t xml:space="preserve">Диапазон рабочих температур, °С -10…+75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27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 питания FinePower IEC C19 - CEE 7/7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кабель питания</w:t>
              <w:br/>
              <w:t xml:space="preserve">Основной цвет черный</w:t>
              <w:br/>
              <w:t xml:space="preserve">Разъемы</w:t>
              <w:br/>
              <w:t xml:space="preserve">Раз</w:t>
            </w:r>
            <w:r>
              <w:rPr>
                <w:sz w:val="24"/>
                <w:szCs w:val="24"/>
              </w:rPr>
              <w:t xml:space="preserve">ъем 1 IEC C19</w:t>
              <w:br/>
              <w:t xml:space="preserve">Разъем 2 CEE 7/7</w:t>
              <w:br/>
              <w:t xml:space="preserve">Конструкция</w:t>
              <w:br/>
              <w:t xml:space="preserve">Длина кабеля 1.8 м</w:t>
              <w:br/>
              <w:t xml:space="preserve">Материал проводника медь</w:t>
              <w:br/>
              <w:t xml:space="preserve">Площадь сечения проводника</w:t>
              <w:br/>
              <w:t xml:space="preserve">1.5 мм²</w:t>
              <w:br/>
              <w:t xml:space="preserve">Тип вилки Г-образная</w:t>
              <w:br/>
              <w:t xml:space="preserve">Дополнительная информация</w:t>
              <w:br/>
              <w:t xml:space="preserve">Минимальная температура эксплуатации -15 °C</w:t>
              <w:br/>
              <w:t xml:space="preserve">Максимальная температура эксплуатации 70 °C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28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Универсальный блок питания (сетевой адаптер) для ноутбуков 15-20V 4A 65W с 8 насадками (8006454743)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блок питания с 8 насадками</w:t>
              <w:br/>
              <w:t xml:space="preserve">Цвет Черный</w:t>
              <w:br/>
              <w:t xml:space="preserve">Выходная мощность, Вт65</w:t>
              <w:br/>
              <w:t xml:space="preserve">Напряжение, В20</w:t>
              <w:br/>
              <w:t xml:space="preserve">Выходное Напряжение15-20 V</w:t>
              <w:br/>
              <w:t xml:space="preserve">Выходная сила тока, A4</w:t>
              <w:br/>
              <w:t xml:space="preserve">Сила тока USB порта, A4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29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Зарядка для AY120EA-ZF190632M блок питания адаптер зарядное устройство для ноутбука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Блок питания</w:t>
              <w:br/>
              <w:t xml:space="preserve">Количество выходных разъемов</w:t>
              <w:br/>
              <w:t xml:space="preserve">1</w:t>
              <w:br/>
              <w:t xml:space="preserve">Конструктивные особе</w:t>
            </w:r>
            <w:r>
              <w:rPr>
                <w:sz w:val="24"/>
                <w:szCs w:val="24"/>
              </w:rPr>
              <w:t xml:space="preserve">нности</w:t>
              <w:br/>
              <w:t xml:space="preserve">Защита от перегрева</w:t>
              <w:br/>
              <w:t xml:space="preserve">Макс. выходная мощность, Вт</w:t>
              <w:br/>
              <w:t xml:space="preserve">120</w:t>
              <w:br/>
              <w:t xml:space="preserve">Цвет Черный</w:t>
              <w:br/>
              <w:t xml:space="preserve">Назначение Для ноутбуков, Для мониторов</w:t>
              <w:br/>
              <w:t xml:space="preserve">Входной коннектор</w:t>
              <w:br/>
              <w:t xml:space="preserve">Сетевая вилка</w:t>
              <w:br/>
              <w:t xml:space="preserve">Выходной коннектор</w:t>
              <w:br/>
              <w:t xml:space="preserve">Сетевая вилка</w:t>
              <w:br/>
              <w:t xml:space="preserve">Выходное напряжение, 19 В</w:t>
              <w:br/>
              <w:t xml:space="preserve">Макс. выходной ток, 6.32 А</w:t>
              <w:br/>
              <w:t xml:space="preserve">Количество в упаковке, 1 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30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Электронный чёрный ключ идентификатор iButton DS1996 (DS1992, DS1993, DS1994, DS1995) для авторизации , ПАК Соболь 4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Емкость памяти бит 64</w:t>
              <w:br/>
              <w:t xml:space="preserve">Имитация стандартов iButton</w:t>
              <w:br/>
              <w:t xml:space="preserve">Количество в комплекте 1 шт</w:t>
              <w:br/>
              <w:t xml:space="preserve">Рабочая температура</w:t>
              <w:br/>
              <w:t xml:space="preserve">-40°C до +85°C °С</w:t>
              <w:br/>
              <w:t xml:space="preserve">Материал пластик</w:t>
              <w:br/>
              <w:t xml:space="preserve">Габариты без упаковки 55х20 мм</w:t>
              <w:br/>
              <w:t xml:space="preserve">Вес нетто 0.005 кг</w:t>
              <w:br/>
              <w:t xml:space="preserve">Тип ключ для домофона</w:t>
              <w:br/>
              <w:t xml:space="preserve">Цвет черный</w:t>
              <w:br/>
              <w:t xml:space="preserve">Перезаписываемые 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31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Медиаконвертор RubyTech GE-C351S5.S20 1000Base-T в 1000Base-LX одно волокно, SC, sm, 1550nm, 20 km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WDM медиаконвертер 1000Base-T / 1000Base-LX , одно волокно, 20км</w:t>
              <w:br/>
              <w:br/>
              <w:t xml:space="preserve">Конвертер предназначен для применения в сетях Gigabit Ethernet с использованием стандартов 1000Base-T, 1000Base-LX и позволяет осуществлять передачу данных на скорости 1</w:t>
            </w:r>
            <w:r>
              <w:rPr>
                <w:sz w:val="24"/>
                <w:szCs w:val="24"/>
              </w:rPr>
              <w:t xml:space="preserve">000Мбит/с на расстояние до 20 километров по одноволоконному оптическому кабелю.Передатчик конвертора работает на длине волны 1550 нм, приемник – на длине волны 1310 нм.</w:t>
              <w:br/>
              <w:br/>
              <w:t xml:space="preserve">Технические характеристики:</w:t>
              <w:br/>
              <w:t xml:space="preserve">SC оптический интерфейс</w:t>
              <w:br/>
              <w:br/>
              <w:t xml:space="preserve">до20 км по одноволоконному, одном</w:t>
            </w:r>
            <w:r>
              <w:rPr>
                <w:sz w:val="24"/>
                <w:szCs w:val="24"/>
              </w:rPr>
              <w:t xml:space="preserve">одовому оптическому кабелю 9/125мкм в режиме Full Duplex</w:t>
              <w:br/>
              <w:t xml:space="preserve">Tx=1550nm, Rx=1310nm</w:t>
              <w:br/>
              <w:t xml:space="preserve">1000Base-T-Full / Half Duplex</w:t>
              <w:br/>
              <w:t xml:space="preserve">1000Base-LX- Full / Half Duplex</w:t>
              <w:br/>
              <w:br/>
              <w:t xml:space="preserve">возможность использовать питание от внешнего блока питания или конвертерных шасси моделей CR-1000, CR-1011, CR-1012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32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Медиаконвертор RubyTech GE-C351S3.S20 1000Base-T в 1000Base-LX одно волокно, SC, sm, 1310nm, 20 km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WDM медиаконвертер 1000Base-T / 1000Base-LX , одно волокно, 20км</w:t>
              <w:br/>
              <w:t xml:space="preserve">Конвертер предназначен для применения в сетях Gigabit Ethernet с использованием стандартов 1000Base-T, 1000Base-LX и позволяет осуществлять передачу данных на скорост</w:t>
            </w:r>
            <w:r>
              <w:rPr>
                <w:sz w:val="24"/>
                <w:szCs w:val="24"/>
              </w:rPr>
              <w:t xml:space="preserve">и 1000Мбит/с на расстояние до 20 километров по одноволоконному оптическому кабелю.Передатчик конвертора работает на длине волны 1310 нм, приемник – на длине волны 1550 нм.</w:t>
              <w:br/>
              <w:t xml:space="preserve">Технические характеристики:</w:t>
              <w:br/>
              <w:t xml:space="preserve">SC оптический интерфейс</w:t>
              <w:br/>
              <w:t xml:space="preserve">до20 км по одноволоконному, одно</w:t>
            </w:r>
            <w:r>
              <w:rPr>
                <w:sz w:val="24"/>
                <w:szCs w:val="24"/>
              </w:rPr>
              <w:t xml:space="preserve">модовому оптическому кабелю 9/125мкм в режиме Full Duplex</w:t>
              <w:br/>
              <w:t xml:space="preserve">Tx=1310hm, Rx=1550nm</w:t>
              <w:br/>
              <w:t xml:space="preserve">1000Base-T-Full / Half Duplex</w:t>
              <w:br/>
              <w:t xml:space="preserve">1000Base-LX- Full / Half Duplex</w:t>
              <w:br/>
              <w:t xml:space="preserve">возможность использовать питание от внешнего блока питания или конвертерных шасси моделей CR-1000, CR-1011, CR-1012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33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 витая пара UTP, категория 5e, 4 пары (24 AWG), одножильный, для внешней прокладки с тросом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Особенности: Передача сигналов 1 Гбит/с на частоте до 100 МГц. со скорость до 1000 Мбит/с.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Тип: UTP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Назначение: Для внешней прокладки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Длина,м: 305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Категория: 5e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пар: 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Толщина, AWG: 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Жилы: Одножильный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Материал: CU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Экранирование: Неэкранированный (UTP)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Горючесть: не LSZH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троса: 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Упаковка: Катушка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изоляции: PE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Цвет: Черный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Соответствие стандартам: Соответствуют 5/Class D и стандартами ISO/IEC 11801, IEC 61156(2009), EN 50173, TIA/EIA 568-B.2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Max рабочая температура, °С: 70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 рабочая температура, °С: -35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Размеры, см: 26,5x32,8x33,5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Вес, кг: 1,686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34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Патч-корд Lanmaster TWT-45-45-3.0/6-GY UTP RJ-45 вил.-вилка RJ-45 кат.6 3м серый ПВХ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Коннектор А</w:t>
              <w:br/>
              <w:t xml:space="preserve">вилка RJ-45</w:t>
              <w:br/>
              <w:t xml:space="preserve">Коннектор Б</w:t>
              <w:br/>
              <w:t xml:space="preserve">вилка RJ-45</w:t>
              <w:br/>
              <w:t xml:space="preserve">Тип используемого волокна/категория медного кабеля кат.6</w:t>
              <w:br/>
              <w:t xml:space="preserve">Длина товара 3</w:t>
              <w:br/>
              <w:t xml:space="preserve">Цвет серый</w:t>
              <w:br/>
              <w:t xml:space="preserve">Тип оболочки ПВХ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35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розеток (PDU), кол-во розеток: 12, Netko PDU-1U–C13+С19 (55786)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розеток: 10 роз-к C13 + 2 роз-ки C19</w:t>
              <w:br/>
              <w:t xml:space="preserve">Выход</w:t>
              <w:br/>
              <w:t xml:space="preserve">Н</w:t>
            </w:r>
            <w:r>
              <w:rPr>
                <w:sz w:val="24"/>
                <w:szCs w:val="24"/>
              </w:rPr>
              <w:t xml:space="preserve">оминальное выходное напряжение 220-250V</w:t>
              <w:br/>
              <w:t xml:space="preserve">Защита от перегрузки Нет</w:t>
              <w:br/>
              <w:t xml:space="preserve">Максимальная суммарная сила тока 16A</w:t>
              <w:br/>
              <w:t xml:space="preserve">Выходные соединители</w:t>
              <w:br/>
              <w:t xml:space="preserve">(2) IEC 320 C19 (Батарейное резервное питание)</w:t>
              <w:br/>
              <w:t xml:space="preserve">(10) IEC 320 C13 (Батарейное резервное питание)</w:t>
              <w:br/>
              <w:t xml:space="preserve">Входной</w:t>
              <w:br/>
              <w:t xml:space="preserve">Номинальное выходное напряжени</w:t>
            </w:r>
            <w:r>
              <w:rPr>
                <w:sz w:val="24"/>
                <w:szCs w:val="24"/>
              </w:rPr>
              <w:t xml:space="preserve">е 220-250V</w:t>
              <w:br/>
              <w:t xml:space="preserve">Входная частота 50/60 Гц</w:t>
              <w:br/>
              <w:t xml:space="preserve">Тип входного соединения IEC-320 C20</w:t>
              <w:br/>
              <w:t xml:space="preserve">Без шнура, гнездо под шнур C20</w:t>
              <w:br/>
              <w:t xml:space="preserve">Допустимый диапазон входного напряжения 220-250V</w:t>
              <w:br/>
              <w:t xml:space="preserve">Нагрузочная способность 3500ВА</w:t>
              <w:br/>
              <w:t xml:space="preserve">Максимальная входная сила тока 16A</w:t>
              <w:br/>
              <w:t xml:space="preserve">Максимальная сила тока в линии 16A</w:t>
              <w:br/>
              <w:t xml:space="preserve">Цве</w:t>
            </w:r>
            <w:r>
              <w:rPr>
                <w:sz w:val="24"/>
                <w:szCs w:val="24"/>
              </w:rPr>
              <w:t xml:space="preserve">т: черный</w:t>
              <w:br/>
              <w:t xml:space="preserve">Металлический корпус</w:t>
              <w:br/>
              <w:t xml:space="preserve">Габариты:</w:t>
              <w:br/>
              <w:t xml:space="preserve">Высота: 1U (44мм)</w:t>
              <w:br/>
              <w:t xml:space="preserve">Длина: 481мм</w:t>
              <w:br/>
              <w:t xml:space="preserve">Глубина: 54мм</w:t>
              <w:br/>
              <w:t xml:space="preserve">Рабочая температура 0 - 45 °C</w:t>
              <w:br/>
              <w:t xml:space="preserve">Рабочий диапазон относительной влажности 0 - 95 %, без образования конденсата</w:t>
              <w:br/>
              <w:t xml:space="preserve">Температура хранения -25 - 65 °C</w:t>
              <w:br/>
              <w:t xml:space="preserve">Относительная влажность хране</w:t>
            </w:r>
            <w:r>
              <w:rPr>
                <w:sz w:val="24"/>
                <w:szCs w:val="24"/>
              </w:rPr>
              <w:t xml:space="preserve">ния 0 - 95 %, без образования конденсата</w:t>
              <w:br/>
              <w:t xml:space="preserve">Соответствие требованиям CE, RoHS</w:t>
              <w:br/>
              <w:t xml:space="preserve">Крепеж в комплект не входит и приобретается отдельно</w:t>
              <w:br/>
              <w:t xml:space="preserve">53421 Крепежный набор, "крестовой", размер M6*12 лайт с прокладкой</w:t>
              <w:br/>
              <w:t xml:space="preserve">53508 Крепежный набор, "крестовой", размер M6*16 с прокладкой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36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Сетевое хранилище (NAS) Synology DiskStation DS223j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сетевое хранилище (NAS)</w:t>
              <w:br/>
              <w:t xml:space="preserve">Цвет белый</w:t>
              <w:br/>
              <w:t xml:space="preserve">Система</w:t>
              <w:br/>
              <w:t xml:space="preserve">Модель процессора</w:t>
              <w:br/>
              <w:t xml:space="preserve">Realtek RTD1619B</w:t>
              <w:br/>
              <w:t xml:space="preserve">Частота процессора 1700 МГц</w:t>
              <w:br/>
              <w:t xml:space="preserve">Количест</w:t>
            </w:r>
            <w:r>
              <w:rPr>
                <w:sz w:val="24"/>
                <w:szCs w:val="24"/>
              </w:rPr>
              <w:t xml:space="preserve">во ядер процессора 4</w:t>
              <w:br/>
              <w:t xml:space="preserve">Объем оперативной памяти 1 ГБ</w:t>
              <w:br/>
              <w:t xml:space="preserve">Накопители в комплекте</w:t>
              <w:br/>
              <w:t xml:space="preserve">Накопители в комплекте 0 шт</w:t>
              <w:br/>
              <w:t xml:space="preserve">Параметры накопителя</w:t>
              <w:br/>
              <w:t xml:space="preserve">Количество отсеков для накопителей 2 шт</w:t>
              <w:br/>
              <w:t xml:space="preserve">Максимально поддерживаемый объем одного накопителя 16 ТБ</w:t>
              <w:br/>
              <w:t xml:space="preserve">Форм-фактор отсеков накопителей 3.5"</w:t>
            </w:r>
            <w:r>
              <w:rPr>
                <w:sz w:val="24"/>
                <w:szCs w:val="24"/>
              </w:rPr>
              <w:t xml:space="preserve"> или 2.5"</w:t>
              <w:br/>
              <w:t xml:space="preserve">Интерфейс накопителей</w:t>
              <w:br/>
              <w:t xml:space="preserve">SATA II / III, SATA или SSD</w:t>
              <w:br/>
              <w:t xml:space="preserve">Возможность горячей замены HDD нет</w:t>
              <w:br/>
              <w:t xml:space="preserve">Поддержка RAID </w:t>
              <w:br/>
              <w:t xml:space="preserve">Basic, JBOD, RAID 0, RAID 1, Synology Hybrid RAID</w:t>
              <w:br/>
              <w:t xml:space="preserve">Подключение</w:t>
              <w:br/>
              <w:t xml:space="preserve">Количество портов Ethernet 1 шт</w:t>
              <w:br/>
              <w:t xml:space="preserve">Скорость сетевого интерфейса </w:t>
              <w:br/>
              <w:t xml:space="preserve">1 Гбит</w:t>
              <w:br/>
              <w:t xml:space="preserve">Wi-Fi нет</w:t>
              <w:br/>
              <w:t xml:space="preserve">Коли</w:t>
            </w:r>
            <w:r>
              <w:rPr>
                <w:sz w:val="24"/>
                <w:szCs w:val="24"/>
              </w:rPr>
              <w:t xml:space="preserve">чество и тип USB </w:t>
              <w:br/>
              <w:t xml:space="preserve">USB 3.2 Gen 1 x2</w:t>
              <w:br/>
              <w:t xml:space="preserve">Количество портов eSATA 0 шт</w:t>
              <w:br/>
              <w:t xml:space="preserve">Другие порты и интерфейсы нет</w:t>
              <w:br/>
              <w:t xml:space="preserve">Программная платформа</w:t>
              <w:br/>
              <w:t xml:space="preserve">UPnP / DLNA-сервер есть</w:t>
              <w:br/>
              <w:t xml:space="preserve">FTP-сервер есть</w:t>
              <w:br/>
              <w:t xml:space="preserve">Поддержка сетевого протокола iSCSI есть</w:t>
              <w:br/>
              <w:t xml:space="preserve">Поддержка IP-видеонаблюдения </w:t>
              <w:br/>
              <w:t xml:space="preserve">есть</w:t>
              <w:br/>
              <w:t xml:space="preserve">Дополнительная информация</w:t>
            </w:r>
            <w:r>
              <w:rPr>
                <w:sz w:val="24"/>
                <w:szCs w:val="24"/>
              </w:rPr>
              <w:br/>
              <w:t xml:space="preserve">Потребляемая мощность 16.3 Вт</w:t>
              <w:br/>
              <w:t xml:space="preserve">Система охлаждения есть</w:t>
              <w:br/>
              <w:t xml:space="preserve">Комплектация</w:t>
              <w:br/>
              <w:t xml:space="preserve">адаптер питания, блок питания, документация, кабель RJ-45, набор принадлежностей</w:t>
              <w:br/>
              <w:t xml:space="preserve">Напряжение питания</w:t>
              <w:br/>
              <w:t xml:space="preserve">100-240В/50-60Гц</w:t>
              <w:br/>
              <w:t xml:space="preserve">Габариты и вес</w:t>
              <w:br/>
              <w:t xml:space="preserve">Ширина 165 мм</w:t>
              <w:br/>
              <w:t xml:space="preserve">Высота 100 мм</w:t>
              <w:br/>
              <w:t xml:space="preserve">Глубина 225.5 мм</w:t>
              <w:br/>
              <w:t xml:space="preserve">Вес 0.88 кг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37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Жесткий диск Seagate 4 ТБ 5400 IronWolf [ST4000VN006]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жесткий диск</w:t>
              <w:br/>
              <w:t xml:space="preserve">Назначение NAS, ПК-десктопы, видеосистемы, корпор</w:t>
            </w:r>
            <w:r>
              <w:rPr>
                <w:sz w:val="24"/>
                <w:szCs w:val="24"/>
              </w:rPr>
              <w:t xml:space="preserve">ативный класс</w:t>
              <w:br/>
              <w:t xml:space="preserve">Накопитель</w:t>
              <w:br/>
              <w:t xml:space="preserve">Объем HDD 4 ТБ</w:t>
              <w:br/>
              <w:t xml:space="preserve">Объем кэш-памяти 256 МБ</w:t>
              <w:br/>
              <w:t xml:space="preserve">Скорость вращения шпинделя </w:t>
              <w:br/>
              <w:t xml:space="preserve">5400 об/мин</w:t>
              <w:br/>
              <w:t xml:space="preserve">Максимальная скорость передачи данных 202 Мбайт/сек</w:t>
              <w:br/>
              <w:t xml:space="preserve">Интерфейс SATA III</w:t>
              <w:br/>
              <w:t xml:space="preserve">Пропускная способность интерфейса 6 Гбит/с</w:t>
              <w:br/>
              <w:t xml:space="preserve">Оптимизация под RAID-массивы есть</w:t>
              <w:br/>
              <w:t xml:space="preserve">Меха</w:t>
            </w:r>
            <w:r>
              <w:rPr>
                <w:sz w:val="24"/>
                <w:szCs w:val="24"/>
              </w:rPr>
              <w:t xml:space="preserve">ника и надежность</w:t>
              <w:br/>
              <w:t xml:space="preserve">Технология записи CMR</w:t>
              <w:br/>
              <w:t xml:space="preserve">Ударостойкость при работе 80 G</w:t>
              <w:br/>
              <w:t xml:space="preserve">Уровень шума во время работы</w:t>
              <w:br/>
              <w:t xml:space="preserve">27 дБ</w:t>
              <w:br/>
              <w:t xml:space="preserve">Уровень шума в простое 23 дБ</w:t>
              <w:br/>
              <w:t xml:space="preserve">С гелиевым наполнением нет</w:t>
              <w:br/>
              <w:t xml:space="preserve">Число циклов позиционирования-парковки</w:t>
              <w:br/>
              <w:t xml:space="preserve">600000</w:t>
              <w:br/>
              <w:t xml:space="preserve">Дополнительная информация</w:t>
              <w:br/>
              <w:t xml:space="preserve">Максимальное энергопот</w:t>
            </w:r>
            <w:r>
              <w:rPr>
                <w:sz w:val="24"/>
                <w:szCs w:val="24"/>
              </w:rPr>
              <w:t xml:space="preserve">ребление 4.8 Вт</w:t>
              <w:br/>
              <w:t xml:space="preserve">Энергопотребление в режиме ожидания 3.96 Вт</w:t>
              <w:br/>
              <w:t xml:space="preserve">Максимальная рабочая температура 65 °C</w:t>
              <w:br/>
              <w:t xml:space="preserve">Особенности, дополнительно</w:t>
              <w:br/>
              <w:t xml:space="preserve">трехлетняя подписка на службы Rescue Data Recovery Services</w:t>
              <w:br/>
              <w:t xml:space="preserve">Габариты и вес</w:t>
              <w:br/>
              <w:t xml:space="preserve">Ширина 101.85 мм</w:t>
              <w:br/>
              <w:t xml:space="preserve">Длина 147 мм</w:t>
              <w:br/>
              <w:t xml:space="preserve">Толщина 20.2 мм</w:t>
              <w:br/>
              <w:t xml:space="preserve">Вес 490 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38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Трансивер Lenovo Storage S2200/S3200 16G Fibre Channel SFP+ Module 00WC089 (00WC089)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устройст</w:t>
            </w:r>
            <w:r>
              <w:rPr>
                <w:sz w:val="24"/>
                <w:szCs w:val="24"/>
              </w:rPr>
              <w:t xml:space="preserve">ва: трансивер (приемопередатчик) представляет собой оптоволоконный SFP+ модуль, предназначенный для подключения сетевого оборудования к волоконно-оптическим линиям связи. Данное устройство обеспечивает высокоскоростную передачу данных по протоколу Fibre Ch</w:t>
            </w:r>
            <w:r>
              <w:rPr>
                <w:sz w:val="24"/>
                <w:szCs w:val="24"/>
              </w:rPr>
              <w:t xml:space="preserve">annel на скорости 16 Гбит/с.</w:t>
              <w:br/>
              <w:br/>
              <w:t xml:space="preserve">Основные характеристики</w:t>
              <w:br/>
              <w:t xml:space="preserve">Стандарт и скорость передачи: модуль поддерживает стандарт Fibre Channel 16GFC с номинальной скоростью передачи данных 14,025 Гбит/с, что обеспечивает высокую пропускную способность для критичных корпор</w:t>
            </w:r>
            <w:r>
              <w:rPr>
                <w:sz w:val="24"/>
                <w:szCs w:val="24"/>
              </w:rPr>
              <w:t xml:space="preserve">ативных приложений.</w:t>
              <w:br/>
              <w:br/>
              <w:t xml:space="preserve">Тип разъема и среда передачи: оснащен дуплексным разъемом LC, предназначен для работы с одномодовым оптоволоконным кабелем (SMF) и обеспечивает стабильную передачу сигнала на значительные расстояния.</w:t>
              <w:br/>
              <w:br/>
              <w:t xml:space="preserve">Максимальная дальность связи: при </w:t>
            </w:r>
            <w:r>
              <w:rPr>
                <w:sz w:val="24"/>
                <w:szCs w:val="24"/>
              </w:rPr>
              <w:t xml:space="preserve">использовании одномодового оптоволокна модуль способен передавать данные на расстояние до 10 километров без использования дополнительных усилителей сигнала.</w:t>
              <w:br/>
              <w:br/>
              <w:t xml:space="preserve">Конструктивные особенности</w:t>
              <w:br/>
              <w:t xml:space="preserve">Форм-фактор SFP+: модуль выполнен в стандартном горячезаменяемом форм-ф</w:t>
            </w:r>
            <w:r>
              <w:rPr>
                <w:sz w:val="24"/>
                <w:szCs w:val="24"/>
              </w:rPr>
              <w:t xml:space="preserve">акторе SFP+ (Small Form-factor Pluggable Plus), что позволяет легко устанавливать и заменять его в совместимом оборудовании без выключения питания.</w:t>
              <w:br/>
              <w:br/>
              <w:t xml:space="preserve">Совместимость с брендовым оборудованием: трансивер сертифицирован и протестирован компанией Lenovo для безу</w:t>
            </w:r>
            <w:r>
              <w:rPr>
                <w:sz w:val="24"/>
                <w:szCs w:val="24"/>
              </w:rPr>
              <w:t xml:space="preserve">пречной работы в системах хранения данных Lenovo Storage S2200 и S3200, что гарантирует полную совместимость и надежность.</w:t>
              <w:br/>
              <w:br/>
              <w:t xml:space="preserve">Компактные размеры и низкое энергопотребление: устройство имеет миниатюрные габариты, характерные для SFP+ модулей, и потребляет мин</w:t>
            </w:r>
            <w:r>
              <w:rPr>
                <w:sz w:val="24"/>
                <w:szCs w:val="24"/>
              </w:rPr>
              <w:t xml:space="preserve">имальное количество электроэнергии, что снижает тепловыделение в серверном шкафу.</w:t>
              <w:br/>
              <w:br/>
              <w:t xml:space="preserve">Защита от электростатического разряда: конструкция модуля предусматривает встроенную защиту от электростатического разряда (ESD), что повышает его устойчивость к внешним воз</w:t>
            </w:r>
            <w:r>
              <w:rPr>
                <w:sz w:val="24"/>
                <w:szCs w:val="24"/>
              </w:rPr>
              <w:t xml:space="preserve">действиям и продлевает срок службы.</w:t>
              <w:br/>
              <w:br/>
              <w:t xml:space="preserve">Область применения</w:t>
              <w:br/>
              <w:t xml:space="preserve">Трансивер Lenovo 00WC089 предназначен для использования в корпоративных центрах обработки данных (ЦОД) и на предприятиях, где требуется организация высокоскоростных каналов связи для систем хранения д</w:t>
            </w:r>
            <w:r>
              <w:rPr>
                <w:sz w:val="24"/>
                <w:szCs w:val="24"/>
              </w:rPr>
              <w:t xml:space="preserve">анных (SAN). Подходит для подключения серверов к дисковым массивам Lenovo Storage S2200 и S3200 по протоколу Fibre Channel. Также модуль может применяться для построения отказоустойчивых сетей хранения данных (Storage Area Network) на расстояниях до 10 км.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39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Управляемый USB over IP концентратор DistKontrol USB-8 2.0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Особе</w:t>
            </w:r>
            <w:r>
              <w:rPr>
                <w:sz w:val="24"/>
                <w:szCs w:val="24"/>
              </w:rPr>
              <w:t xml:space="preserve">нности Сенсорный дисплей с меню, защищенным пин-кодом, дл</w:t>
              <w:br/>
              <w:t xml:space="preserve">Разъем USB8</w:t>
              <w:br/>
              <w:t xml:space="preserve">Разъем USB 3.08</w:t>
              <w:br/>
              <w:t xml:space="preserve">IP адреса2 static/DHCP(IPv4/IPv6)</w:t>
              <w:br/>
              <w:t xml:space="preserve">Авторизация для подключения USB порта есть</w:t>
              <w:br/>
              <w:t xml:space="preserve">Авторизация для подключения USB устройства есть</w:t>
              <w:br/>
              <w:t xml:space="preserve">Безопасностьhttps, ssl</w:t>
              <w:br/>
              <w:t xml:space="preserve">Встроенный брандмауэре</w:t>
            </w:r>
            <w:r>
              <w:rPr>
                <w:sz w:val="24"/>
                <w:szCs w:val="24"/>
              </w:rPr>
              <w:t xml:space="preserve">сть</w:t>
              <w:br/>
              <w:t xml:space="preserve">Групповые политики доступаесть</w:t>
              <w:br/>
              <w:t xml:space="preserve">Защита USB портовОграничение USB портов по току</w:t>
              <w:br/>
              <w:t xml:space="preserve">Индикация LEDsПитание, LAN порт статус, питания порта USB</w:t>
              <w:br/>
              <w:t xml:space="preserve">Количество управляемых USB портов (входов)8</w:t>
              <w:br/>
              <w:t xml:space="preserve">Крепление в 19” стойкуесть</w:t>
              <w:br/>
              <w:t xml:space="preserve">Номинальный ток нагрузки на порт USB1А(опцио</w:t>
            </w:r>
            <w:r>
              <w:rPr>
                <w:sz w:val="24"/>
                <w:szCs w:val="24"/>
              </w:rPr>
              <w:t xml:space="preserve">нально 2А)</w:t>
              <w:br/>
              <w:t xml:space="preserve">Ограничение по IP для подключения USB портаесть</w:t>
              <w:br/>
              <w:t xml:space="preserve">Ограничение по IP для подключения USB устройстваесть</w:t>
              <w:br/>
              <w:t xml:space="preserve">Относительная влажность воздухане более 80%(при температуре+35 С и ниже)</w:t>
              <w:br/>
              <w:t xml:space="preserve">ПитаниеВстроенный блок питания 220В 50 Гц</w:t>
              <w:br/>
              <w:t xml:space="preserve">Поддержка USBUSB 3.2 Gen1(SS,</w:t>
            </w:r>
            <w:r>
              <w:rPr>
                <w:sz w:val="24"/>
                <w:szCs w:val="24"/>
              </w:rPr>
              <w:t xml:space="preserve"> HS, FS, LS)</w:t>
              <w:br/>
              <w:t xml:space="preserve">Предельный ток нагрузки на порт USB2, 1А</w:t>
              <w:br/>
              <w:t xml:space="preserve">Размеры в Unit1</w:t>
              <w:br/>
              <w:t xml:space="preserve">Сетевые интерфейсыEthernet(RJ-45), 802.11n Wirelless</w:t>
              <w:br/>
              <w:t xml:space="preserve">Температура окружающей среды0 С до+50 С</w:t>
              <w:br/>
              <w:t xml:space="preserve">Управление видимостью USB устройств для пользователейесть</w:t>
              <w:br/>
              <w:t xml:space="preserve">Шифрование трафика USBесть</w:t>
              <w:br/>
              <w:t xml:space="preserve">Вес, 5кг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40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Кабельная стяжка ЭРА NO-225-193 (хомут) нейлоновая 7.6х500 мм чёрная (100 шт/уп) Б0066016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в упак, шт.100</w:t>
              <w:br/>
              <w:t xml:space="preserve">Тип изделиянейлоновая стяжка</w:t>
              <w:br/>
              <w:t xml:space="preserve">Длина, мм500</w:t>
              <w:br/>
              <w:t xml:space="preserve">Ширина, мм7.6</w:t>
              <w:br/>
              <w:t xml:space="preserve">Наличие аллергенов и резких запахов нет</w:t>
              <w:br/>
              <w:t xml:space="preserve">Наличие категории ЛВЖ и ГЖ нет</w:t>
              <w:br/>
              <w:t xml:space="preserve">Температурные ограничения хранения и перевозки-50+50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41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Хомут для труб "быстрый монтаж" 32 Fortisflex 69164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ремешка Пластик</w:t>
              <w:br/>
              <w:t xml:space="preserve">Вид/марка материала Полиамид(PA)</w:t>
              <w:br/>
              <w:t xml:space="preserve">Подходит для труб диаметром с 32 мм</w:t>
              <w:br/>
              <w:t xml:space="preserve">Соединяемый в ряд Нет</w:t>
              <w:br/>
              <w:t xml:space="preserve">Тип крепления Шпилька</w:t>
              <w:br/>
              <w:t xml:space="preserve">Цвет Серый</w:t>
              <w:br/>
              <w:t xml:space="preserve">Материал Пластик</w:t>
              <w:br/>
              <w:t xml:space="preserve">Вес, 325.1г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42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 витая пара СКО U/UTP Сat 5e PVC 4х2 AWG24 Medium Indoor 305м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сетевой (UTP, FTP)</w:t>
              <w:br/>
              <w:t xml:space="preserve">Категория 5e</w:t>
              <w:br/>
              <w:t xml:space="preserve">Количество жил 8 шт</w:t>
              <w:br/>
              <w:t xml:space="preserve">Сечение жилы кабеля 0.46 мм²</w:t>
              <w:br/>
              <w:t xml:space="preserve">Цвет серый</w:t>
              <w:br/>
              <w:t xml:space="preserve">Экра</w:t>
            </w:r>
            <w:r>
              <w:rPr>
                <w:sz w:val="24"/>
                <w:szCs w:val="24"/>
              </w:rPr>
              <w:t xml:space="preserve">нирование U/UTP</w:t>
              <w:br/>
              <w:t xml:space="preserve">Наличие троса нет</w:t>
              <w:br/>
              <w:t xml:space="preserve">Бронирование нет</w:t>
              <w:br/>
              <w:t xml:space="preserve">Номинальное напряжение 80 В</w:t>
              <w:br/>
              <w:t xml:space="preserve">Материал медь</w:t>
              <w:br/>
              <w:t xml:space="preserve">Длина 305 м</w:t>
              <w:br/>
              <w:t xml:space="preserve">Материал оболочки ПВХ (PVC)</w:t>
              <w:br/>
              <w:t xml:space="preserve">Упаковка коробка</w:t>
              <w:br/>
              <w:t xml:space="preserve">Способ монтажа внутренний</w:t>
              <w:br/>
              <w:t xml:space="preserve">Форма провода круглый</w:t>
              <w:br/>
              <w:t xml:space="preserve">Max рабочая температура 50 °С</w:t>
              <w:br/>
              <w:t xml:space="preserve">Min рабочая температура 0 °С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43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Тонер-картридж Hi-Black (HB-TK240X)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Катюша P140/M140/M240, 9K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Совместимость с моделями</w:t>
              <w:br/>
              <w:t xml:space="preserve">КАТЮША M240, Катюша M140, Катюша P140</w:t>
              <w:br/>
              <w:t xml:space="preserve">Назначение</w:t>
              <w:br/>
              <w:t xml:space="preserve">Для лазерных мфу и принтеров</w:t>
              <w:br/>
              <w:t xml:space="preserve">Для устройств Катюша</w:t>
              <w:br/>
              <w:t xml:space="preserve">Дополнительные характеристики</w:t>
              <w:br/>
              <w:t xml:space="preserve">Цвет печати Черный</w:t>
              <w:br/>
              <w:t xml:space="preserve">Ресурс для лазерных устройств 9000 стр.</w:t>
              <w:br/>
              <w:t xml:space="preserve">Тип Картридж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44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Драм-юнит Hi-Black (HB-DR240)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 </w:t>
            </w:r>
            <w:r>
              <w:rPr>
                <w:sz w:val="24"/>
                <w:szCs w:val="24"/>
              </w:rPr>
              <w:t xml:space="preserve">Катюша P140/M140/M240, 30K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производителя HB-DR240</w:t>
              <w:br/>
              <w:t xml:space="preserve">Модель DR240</w:t>
              <w:br/>
              <w:t xml:space="preserve">Тип продукции фотобарабан</w:t>
              <w:br/>
              <w:t xml:space="preserve">Ресурс, страниц 30000</w:t>
              <w:br/>
              <w:t xml:space="preserve">Описание фотобарабан совместимый Катюша</w:t>
              <w:br/>
              <w:t xml:space="preserve">Цвет Черный</w:t>
              <w:br/>
              <w:t xml:space="preserve">Совместимость Катюша P140/ M140/ M240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45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Тонер-картридж Hi-Black (HB-TK133)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Катюша P133/M133, 3K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Модель TK133</w:t>
              <w:br/>
              <w:t xml:space="preserve">Тип продукции картридж</w:t>
              <w:br/>
              <w:t xml:space="preserve">Тип печатающего устройства лазерный</w:t>
              <w:br/>
              <w:t xml:space="preserve">Тип печати черно-белый</w:t>
              <w:br/>
              <w:t xml:space="preserve">Емкость картриджа стандартная</w:t>
              <w:br/>
              <w:t xml:space="preserve">Ресурс, страниц 3000</w:t>
              <w:br/>
              <w:t xml:space="preserve">Описание фотобарабан Hi-Black совместимый Катюша</w:t>
              <w:br/>
              <w:t xml:space="preserve">Цвет Черный</w:t>
              <w:br/>
              <w:t xml:space="preserve">Совместимость Катюша P133/ M133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46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фотобарабана Cactus CS-PCM247 PCM247 черный ч/б:45000стр.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Р247/М247 Катюша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Модель PCM247</w:t>
              <w:br/>
              <w:t xml:space="preserve">Тип продукции фотобарабан</w:t>
              <w:br/>
              <w:t xml:space="preserve">Тип печатающего устройства лазерный</w:t>
              <w:br/>
              <w:t xml:space="preserve">Тип печати черно-белый</w:t>
              <w:br/>
              <w:t xml:space="preserve">Емкость картриджа стандартная</w:t>
              <w:br/>
              <w:t xml:space="preserve">Ресурс, страниц 45000</w:t>
              <w:br/>
              <w:t xml:space="preserve">Описание фотобарабан Hi-Black совместимый Катюша</w:t>
              <w:br/>
              <w:t xml:space="preserve">Цвет Черный</w:t>
              <w:br/>
              <w:t xml:space="preserve">Совместимость Катюша P247/ M247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47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Тонер-картридж NetProduct (N-TL-5120X)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Pantum BP5100DN/BP5100DW/BM5100ADW, 15K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Модель TL-51</w:t>
            </w:r>
            <w:r>
              <w:rPr>
                <w:sz w:val="24"/>
                <w:szCs w:val="24"/>
              </w:rPr>
              <w:t xml:space="preserve">20X</w:t>
              <w:br/>
              <w:t xml:space="preserve">Тип печатающего устройства лазерная</w:t>
              <w:br/>
              <w:t xml:space="preserve">Тип печати черно-белый</w:t>
              <w:br/>
              <w:t xml:space="preserve">Емкость картриджа увеличенная</w:t>
              <w:br/>
              <w:t xml:space="preserve">Ресурс, страниц 15000</w:t>
              <w:br/>
              <w:t xml:space="preserve">Описание картридж Hi-Black совместимый Pantum</w:t>
              <w:br/>
              <w:t xml:space="preserve">Цвет Черный</w:t>
              <w:br/>
              <w:t xml:space="preserve">Совместимость Pantum BP5100DN/ BP5100DW/ BM5100ADN/ BM5100ADW/ BM5100FDN/ BM5100FDW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48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Драм-юнит NetProduct (N-DL-5120)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Pantum BP5100DN/BP5100DW, 30K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Модель HB-DL-5120</w:t>
              <w:br/>
              <w:t xml:space="preserve">Тип печати черно-белый</w:t>
              <w:br/>
              <w:t xml:space="preserve">Ресурс, страниц 30000</w:t>
              <w:br/>
              <w:t xml:space="preserve">Цвет Черный</w:t>
              <w:br/>
              <w:t xml:space="preserve">Совместимость Pantum BP5100DN/BP5100DW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49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Картридж GP-PC-211P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Pantum M6500 / M6500W / M6506NW / M6507 / M6507W / M6550NW / M6557NW / M6607NW / P2200 / P2207 / P2500 / P2500NW / P2500W / P2506W / P2516 / P2518 1600 копий GalaPrint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картридж</w:t>
              <w:br/>
              <w:t xml:space="preserve">Вид лазерный</w:t>
              <w:br/>
              <w:t xml:space="preserve">Модель PC-211P</w:t>
              <w:br/>
              <w:t xml:space="preserve">Цв</w:t>
            </w:r>
            <w:r>
              <w:rPr>
                <w:sz w:val="24"/>
                <w:szCs w:val="24"/>
              </w:rPr>
              <w:t xml:space="preserve">ет печати черный</w:t>
              <w:br/>
              <w:t xml:space="preserve">Назначение МФУ, принтер</w:t>
              <w:br/>
              <w:t xml:space="preserve">Ресурс  1600 стр</w:t>
              <w:br/>
              <w:t xml:space="preserve">Емкость стандартная</w:t>
              <w:br/>
              <w:t xml:space="preserve">Наличие чипа есть</w:t>
              <w:br/>
              <w:t xml:space="preserve">Совместимые бренды Pantum</w:t>
              <w:br/>
              <w:t xml:space="preserve">Поддерживаемые модели принтеров Pantum M6500, Pantum M6500w, Pantum M6507, Pantum M6550, Pantum M6550NW, Pantum M6600, Pantum M6607NW,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50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Картридж NetProduct (N-PC-212EV)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Pantum P2502/P2502W/M6502/M6502W/M6552NW, 1,6K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пластик</w:t>
              <w:br/>
              <w:t xml:space="preserve">Ресурс при 5% заполнении листа А41600 страниц</w:t>
              <w:br/>
              <w:t xml:space="preserve">Совместимость Pantum P2502, P2502W, M6502, M6502W, M6552NW</w:t>
              <w:br/>
              <w:t xml:space="preserve">Тип картридж</w:t>
              <w:br/>
              <w:t xml:space="preserve">Тип печати лазерная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51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Драм-картридж NetProduct (N-DL-420)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Pantum M6700/P3010, 12K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Артикул DL-420</w:t>
              <w:br/>
              <w:t xml:space="preserve">Тип Драм-картридж</w:t>
              <w:br/>
              <w:t xml:space="preserve">Совместимость</w:t>
              <w:br/>
              <w:t xml:space="preserve">для Pantum M6700/P3010</w:t>
              <w:br/>
              <w:t xml:space="preserve">Ресурс, страниц 12000</w:t>
              <w:br/>
              <w:t xml:space="preserve">Тип Драм-картридж</w:t>
              <w:br/>
              <w:t xml:space="preserve">Вес, 760г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52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Драм-юнит NetProduct (N-DO-428)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Pantum P3308DN/P3308DW/M7108DN/M7108DW, 12K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Фотобарабан</w:t>
              <w:br/>
              <w:t xml:space="preserve">DO-428</w:t>
              <w:br/>
              <w:t xml:space="preserve">Цвет Черный</w:t>
              <w:br/>
              <w:t xml:space="preserve">Количество страниц 30000</w:t>
              <w:br/>
              <w:t xml:space="preserve">Подходит кPantum P3308DN/RU, Pantum P3308DW/RU, Pantum M7108DN/RU, Pantum M7108DW/RU, Pantum M7308FDN/RU, Pantum M7308FDW/RU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53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Картридж NetProduct (N-CE285A)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HP LJ Pro P1102/P1120W/M1212nf/M1132MFP/Canon 725, 1,6K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картридж</w:t>
              <w:br/>
              <w:t xml:space="preserve">Тип печати лазерная</w:t>
              <w:br/>
              <w:t xml:space="preserve">Подходит для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HP LaserJet Pro M1212nf, </w:t>
              <w:br/>
              <w:t xml:space="preserve">LaserJet Pro M1214nfh, </w:t>
              <w:br/>
              <w:t xml:space="preserve">LaserJet Pro M1217nfw, </w:t>
              <w:br/>
              <w:t xml:space="preserve">LaserJet Pro M1132, </w:t>
              <w:br/>
              <w:t xml:space="preserve">LaserJet Pro P1102, </w:t>
              <w:br/>
              <w:t xml:space="preserve">LaserJet Pro M1132s, </w:t>
              <w:br/>
              <w:t xml:space="preserve">LaserJet Pro M1130, </w:t>
              <w:br/>
              <w:t xml:space="preserve">LaserJet Pro M1136, </w:t>
              <w:br/>
              <w:t xml:space="preserve">LaserJet Pro M1210, </w:t>
              <w:br/>
              <w:t xml:space="preserve">LaserJet Pro M1218nfs MFP</w:t>
            </w:r>
            <w:r>
              <w:rPr>
                <w:sz w:val="24"/>
                <w:szCs w:val="24"/>
              </w:rPr>
              <w:t xml:space="preserve">, </w:t>
              <w:br/>
              <w:t xml:space="preserve">LaserJet Pro P1100, </w:t>
              <w:br/>
              <w:t xml:space="preserve">LaserJet Pro P1102w</w:t>
              <w:br/>
              <w:t xml:space="preserve">Цвет черный</w:t>
              <w:br/>
              <w:t xml:space="preserve">Тип расходного материала</w:t>
              <w:br/>
              <w:t xml:space="preserve">совместимые</w:t>
              <w:br/>
              <w:t xml:space="preserve">Емкость картриджа</w:t>
              <w:br/>
              <w:t xml:space="preserve">стандартная</w:t>
              <w:br/>
              <w:t xml:space="preserve">Чип есть</w:t>
              <w:br/>
              <w:t xml:space="preserve">Материал пластик</w:t>
              <w:br/>
              <w:t xml:space="preserve">Количество в упаковке 1 шт</w:t>
              <w:br/>
              <w:t xml:space="preserve">Ресурс при 5% заполнении листа А4</w:t>
              <w:br/>
              <w:t xml:space="preserve">1600 страниц</w:t>
              <w:br/>
              <w:t xml:space="preserve">Гарантия производителя 12 месяцев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54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Картридж NetProduct (N-W1360A)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HP LaserJet M211/MFP M236, 1,15K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ка</w:t>
            </w:r>
            <w:r>
              <w:rPr>
                <w:sz w:val="24"/>
                <w:szCs w:val="24"/>
              </w:rPr>
              <w:t xml:space="preserve">ртридж</w:t>
              <w:br/>
              <w:t xml:space="preserve">Вид лазерный</w:t>
              <w:br/>
              <w:t xml:space="preserve">Модель 136A (W1360A)</w:t>
              <w:br/>
              <w:t xml:space="preserve">Код производителя [W1360A]</w:t>
              <w:br/>
              <w:t xml:space="preserve">Цвет печати черный</w:t>
              <w:br/>
              <w:t xml:space="preserve">Назначение МФУ, принтер</w:t>
              <w:br/>
              <w:t xml:space="preserve">Ресурс 1150 стр</w:t>
              <w:br/>
              <w:t xml:space="preserve">Поддерживаемые модели принтеров HP LaserJet M211d, HP LaserJet M211dw, HP LaserJet M236d, HP LaserJet M236dw, HP LaserJet M236sdn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55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Картридж NetProduct (N-W1106A)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HP Laser 107a/107r//MFP135a/135r/135w/137, 1K (с чипом)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картридж</w:t>
              <w:br/>
              <w:t xml:space="preserve">Тип печати</w:t>
              <w:br/>
              <w:t xml:space="preserve">лазерная Совместимость</w:t>
              <w:br/>
              <w:t xml:space="preserve">107a/107w/135w/135a/137fnw</w:t>
              <w:br/>
              <w:t xml:space="preserve">Подходит для бренда HP</w:t>
              <w:br/>
              <w:t xml:space="preserve">Цвет черный</w:t>
              <w:br/>
              <w:t xml:space="preserve">Тип расходного материала</w:t>
              <w:br/>
              <w:t xml:space="preserve">совместимые</w:t>
              <w:br/>
              <w:t xml:space="preserve">Чип есть</w:t>
              <w:br/>
              <w:t xml:space="preserve">Материал пластик</w:t>
              <w:br/>
              <w:t xml:space="preserve">Количество в упаковке 1 шт</w:t>
              <w:br/>
              <w:t xml:space="preserve">Ресурс при 5% заполнении листа А4</w:t>
              <w:br/>
              <w:t xml:space="preserve">1000 страниц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56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Картридж Hi-Black (HB-CE255X)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HP LJ P3015, 12,5K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Бренд печатающего устройства</w:t>
              <w:br/>
              <w:t xml:space="preserve">HP</w:t>
              <w:br/>
              <w:t xml:space="preserve">Цвет чёрный</w:t>
              <w:br/>
              <w:t xml:space="preserve">Модель картриджа 55X</w:t>
              <w:br/>
              <w:t xml:space="preserve">Подробные характеристики</w:t>
              <w:br/>
              <w:t xml:space="preserve">Ресурс (страниц) 13700</w:t>
              <w:br/>
              <w:t xml:space="preserve">Емкость картриджа </w:t>
              <w:br/>
              <w:t xml:space="preserve">повышенная</w:t>
              <w:br/>
              <w:t xml:space="preserve">Совместимые модели печатающих устройств</w:t>
              <w:br/>
              <w:t xml:space="preserve">LaserJet Enterprise 500 MFP M525f, </w:t>
              <w:br/>
              <w:t xml:space="preserve">LaserJet Ent</w:t>
            </w:r>
            <w:r>
              <w:rPr>
                <w:sz w:val="24"/>
                <w:szCs w:val="24"/>
              </w:rPr>
              <w:t xml:space="preserve">erprise P3015dn, </w:t>
              <w:br/>
              <w:t xml:space="preserve">LaserJet Enterprise 500 MFP M525dn, </w:t>
              <w:br/>
              <w:t xml:space="preserve">LaserJet Enterprise 500 MFP M525c, </w:t>
              <w:br/>
              <w:t xml:space="preserve">LaserJet Enterprise P3015d, </w:t>
              <w:br/>
              <w:t xml:space="preserve">LaserJet Enterprise P3015x, </w:t>
              <w:br/>
              <w:t xml:space="preserve">LaserJet Enterprise Pro MFP M521dw, </w:t>
              <w:br/>
              <w:t xml:space="preserve">LaserJet Enterprise Pro MFP M521dn, </w:t>
              <w:br/>
              <w:t xml:space="preserve">LaserJet Enterprise Pro MFP M525c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57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Картридж Hi-Black (HB-Q7551X)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HP LJ P3005/M3027MFP/M3035MFP, 13K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Бренд печатающего устройства</w:t>
              <w:br/>
              <w:t xml:space="preserve">HP</w:t>
              <w:br/>
              <w:t xml:space="preserve">Цвет чёрный</w:t>
              <w:br/>
              <w:t xml:space="preserve">Модель</w:t>
            </w:r>
            <w:r>
              <w:rPr>
                <w:sz w:val="24"/>
                <w:szCs w:val="24"/>
              </w:rPr>
              <w:t xml:space="preserve"> картриджа 51X</w:t>
              <w:br/>
              <w:t xml:space="preserve">Подробные характеристики</w:t>
              <w:br/>
              <w:t xml:space="preserve">Ресурс (страниц) </w:t>
              <w:br/>
              <w:t xml:space="preserve">13000</w:t>
              <w:br/>
              <w:t xml:space="preserve">Емкость картриджа </w:t>
              <w:br/>
              <w:t xml:space="preserve">стандартная</w:t>
              <w:br/>
              <w:t xml:space="preserve">Совместимые модели печатающих устройств</w:t>
              <w:br/>
              <w:t xml:space="preserve">LaserJet P3005, </w:t>
              <w:br/>
              <w:t xml:space="preserve">LaserJet M3027, </w:t>
              <w:br/>
              <w:t xml:space="preserve">LaserJet M3035, </w:t>
              <w:br/>
              <w:t xml:space="preserve">LaserJet P3005d, </w:t>
              <w:br/>
              <w:t xml:space="preserve">LaserJet P3005dn, </w:t>
              <w:br/>
              <w:t xml:space="preserve">LaserJet P3005n, </w:t>
              <w:br/>
              <w:t xml:space="preserve">LaserJet P3005x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58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Набор картриджей NVP совместимый NV-W207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 </w:t>
            </w:r>
            <w:r>
              <w:rPr>
                <w:sz w:val="24"/>
                <w:szCs w:val="24"/>
              </w:rPr>
              <w:t xml:space="preserve">HP Color Laser 150nw/178nw SP-H-117A(W2071)C,SP-W2073M(117A), SP-W2072Y(117A), SP-W2070Bk(117A)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Совместимость с моделями</w:t>
              <w:br/>
              <w:t xml:space="preserve">HP Color LaserJet Pro M255, HP Color LaserJet Pro M282, HP Color LaserJet Pro M283</w:t>
              <w:br/>
              <w:t xml:space="preserve">Назначение</w:t>
              <w:br/>
              <w:t xml:space="preserve">Для лазерных мфу и принтеров</w:t>
              <w:br/>
              <w:t xml:space="preserve">Для устройств HP</w:t>
              <w:br/>
              <w:t xml:space="preserve">Тип комплект картриджей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59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Набор картриджей NVP совместимый NV-CB54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 </w:t>
            </w:r>
            <w:r>
              <w:rPr>
                <w:sz w:val="24"/>
                <w:szCs w:val="24"/>
              </w:rPr>
              <w:t xml:space="preserve">HP Color LaserJet CP1515n SP CB540A-CB541A-CB542A-CB543A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Совместимость с моделями</w:t>
              <w:br/>
              <w:t xml:space="preserve">Canon i-SENSYS LBP-5050, Canon i-SENSYS LBP-5050N, Canon i-SENSYS M</w:t>
            </w:r>
            <w:r>
              <w:rPr>
                <w:sz w:val="24"/>
                <w:szCs w:val="24"/>
              </w:rPr>
              <w:t xml:space="preserve">F8040Cn, Canon i-SENSYS MF8050Cn, Canon i-SENSYS MF8080CW, HP Color LaserJet CM1312, HP Color LaserJet CM1312nfi, HP Color LaserJet CP1215</w:t>
              <w:br/>
              <w:t xml:space="preserve">Назначение</w:t>
              <w:br/>
              <w:t xml:space="preserve">Для лазерных мфу и принтеров</w:t>
              <w:br/>
              <w:t xml:space="preserve">Для устройств CANON, HP</w:t>
              <w:br/>
              <w:t xml:space="preserve">Дополнительные характеристики</w:t>
              <w:br/>
              <w:t xml:space="preserve">Тип Комплект картриджей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60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Тонер-картридж C-EXV50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 Canon iR1435/1435i/1435iF/1435P, 14K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 Черный</w:t>
              <w:br/>
              <w:t xml:space="preserve">СовместимостьIR1435/1435i/1435iF</w:t>
              <w:br/>
              <w:t xml:space="preserve">Количество в упаковке1</w:t>
              <w:br/>
              <w:t xml:space="preserve">Ресурс при 5% заполнении листа А417600</w:t>
              <w:br/>
              <w:t xml:space="preserve">Тип печати для лазерной печати</w:t>
              <w:br/>
              <w:t xml:space="preserve">Тип расходного материала совместимый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61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Драм-юнит C-EXV50 (CET)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 </w:t>
            </w:r>
            <w:r>
              <w:rPr>
                <w:sz w:val="24"/>
                <w:szCs w:val="24"/>
              </w:rPr>
              <w:t xml:space="preserve">Canon iR1435/1435i/1435iF/1435P (30000 стр.) CET5674U/9437B002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драм-картридж</w:t>
              <w:br/>
              <w:t xml:space="preserve">Тип печати ла</w:t>
            </w:r>
            <w:r>
              <w:rPr>
                <w:sz w:val="24"/>
                <w:szCs w:val="24"/>
              </w:rPr>
              <w:t xml:space="preserve">зерная</w:t>
              <w:br/>
              <w:t xml:space="preserve">Совместимость imageRUNNER 1435/1435i/1435iF</w:t>
              <w:br/>
              <w:t xml:space="preserve">Подходит для бренда Canon</w:t>
              <w:br/>
              <w:t xml:space="preserve">Цвет черный</w:t>
              <w:br/>
              <w:t xml:space="preserve">Тип расходного материала</w:t>
              <w:br/>
              <w:t xml:space="preserve">совместимые</w:t>
              <w:br/>
              <w:t xml:space="preserve">Емкость картриджа стандартная</w:t>
              <w:br/>
              <w:t xml:space="preserve">Чип есть</w:t>
              <w:br/>
              <w:t xml:space="preserve">Материал пластик</w:t>
              <w:br/>
              <w:t xml:space="preserve">Количество в упаковке 1 шт</w:t>
              <w:br/>
              <w:t xml:space="preserve">Ресурс при 5% заполнении листа А4</w:t>
              <w:br/>
              <w:t xml:space="preserve">35500 страниц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62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Картридж NetProduct (N-CE505X)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 </w:t>
            </w:r>
            <w:r>
              <w:rPr>
                <w:sz w:val="24"/>
                <w:szCs w:val="24"/>
              </w:rPr>
              <w:t xml:space="preserve">HP LJ P2055/P2050/Canon №719H, 6,5K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Модель 05X</w:t>
              <w:br/>
              <w:t xml:space="preserve">PN CE505X</w:t>
              <w:br/>
              <w:t xml:space="preserve">Основные характеристики</w:t>
              <w:br/>
              <w:t xml:space="preserve">Тип Картридж</w:t>
              <w:br/>
              <w:t xml:space="preserve">Назначение для лазерной печати</w:t>
              <w:br/>
              <w:t xml:space="preserve">Цвет черный</w:t>
              <w:br/>
              <w:t xml:space="preserve">Количество в упаковке 1 шт</w:t>
              <w:br/>
              <w:t xml:space="preserve">Ресурс 6500 страниц</w:t>
              <w:br/>
              <w:t xml:space="preserve">Ёмкость повышенная</w:t>
              <w:br/>
              <w:t xml:space="preserve">Совместимые бренды HP</w:t>
              <w:br/>
              <w:t xml:space="preserve">Совместимость HP LaserJet P2035, P2055, P2055dn</w:t>
              <w:br/>
              <w:t xml:space="preserve">С чипом 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63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Ролик захвата ADF Canon iR1133/1435, MF411/416/418/6140/6180/ MF5840/5950/8050/8380 (FC7-6189) CET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Ролик подхвата ADF FC7-6189 для Canon MF411dw, MF418x, MF416dw, MF5940dn, MF6140dn, MF6180dw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64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Тормозная площадка основного лотка RM1-6454 для CANON iR1133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Тормоз</w:t>
            </w:r>
            <w:r>
              <w:rPr>
                <w:sz w:val="24"/>
                <w:szCs w:val="24"/>
              </w:rPr>
              <w:t xml:space="preserve">ная площадка основного лотка RM1-6454 для CANON iR-1133iF, iR-1133A, iR-1133, MF6880dw, MF6780dw, MF6680dn, MF6640dn, MF6180dw, MF6160dw, MF6140dn, MF5980dw, MF5960dn, MF5950dw, MF5940dn, MF419x, MF419dw, MF418x, MF416dw, MF415dw, MF414dw, MF412dw, MF411dw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65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Картридж NetProduct (N-CF259X/057H)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 </w:t>
            </w:r>
            <w:r>
              <w:rPr>
                <w:sz w:val="24"/>
                <w:szCs w:val="24"/>
              </w:rPr>
              <w:t xml:space="preserve">HP LJ Pro M304/404n/MFP M428dw/MF443/445, 10K (с чипом)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картридж</w:t>
              <w:br/>
              <w:t xml:space="preserve">Вид лазерный</w:t>
              <w:br/>
              <w:t xml:space="preserve">Модель NetProduct N-CF259X/057H</w:t>
              <w:br/>
              <w:t xml:space="preserve">Цвет печати черный</w:t>
              <w:br/>
              <w:t xml:space="preserve">Назначение МФУ, принтер</w:t>
              <w:br/>
              <w:t xml:space="preserve">Тип совместимости</w:t>
              <w:br/>
              <w:t xml:space="preserve">совместимый</w:t>
              <w:br/>
              <w:t xml:space="preserve">Доп</w:t>
            </w:r>
            <w:r>
              <w:rPr>
                <w:sz w:val="24"/>
                <w:szCs w:val="24"/>
              </w:rPr>
              <w:t xml:space="preserve">олнительная информация</w:t>
              <w:br/>
              <w:t xml:space="preserve">Количество картриджей 1 шт</w:t>
              <w:br/>
              <w:t xml:space="preserve">Ресурс 10000 стр</w:t>
              <w:br/>
              <w:t xml:space="preserve">Емкость повышенная</w:t>
              <w:br/>
              <w:t xml:space="preserve">Наличие чипа есть</w:t>
              <w:br/>
              <w:t xml:space="preserve">Совместимые бренды Canon, HP</w:t>
              <w:br/>
              <w:t xml:space="preserve">Поддерживаемые модели принтеров Canon i-SENSYS MF443dw, Canon i-SENSYS MF445dw, HP LaserJet Pro M304, HP LaserJet Pro M404n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66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Картридж NetProduct (N-C-EXV40)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 </w:t>
            </w:r>
            <w:r>
              <w:rPr>
                <w:sz w:val="24"/>
                <w:szCs w:val="24"/>
              </w:rPr>
              <w:t xml:space="preserve">Canon iR 1133/1133A/1133if, 6K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картридж</w:t>
              <w:br/>
              <w:t xml:space="preserve">Вид лазерный</w:t>
              <w:br/>
              <w:t xml:space="preserve">Модель C-EXV40</w:t>
              <w:br/>
              <w:t xml:space="preserve">Цвет печати черный</w:t>
              <w:br/>
              <w:t xml:space="preserve">Назначение МФУ</w:t>
              <w:br/>
              <w:t xml:space="preserve">Тип совместимости</w:t>
              <w:br/>
              <w:t xml:space="preserve">оригинальн</w:t>
            </w:r>
            <w:r>
              <w:rPr>
                <w:sz w:val="24"/>
                <w:szCs w:val="24"/>
              </w:rPr>
              <w:t xml:space="preserve">ый</w:t>
              <w:br/>
              <w:t xml:space="preserve">Дополнительная информация</w:t>
              <w:br/>
              <w:t xml:space="preserve">Количество картриджей 1 шт</w:t>
              <w:br/>
              <w:t xml:space="preserve">Ресурс 6000 стр</w:t>
              <w:br/>
              <w:t xml:space="preserve">Емкость стандартная</w:t>
              <w:br/>
              <w:t xml:space="preserve">Наличие чипа есть</w:t>
              <w:br/>
              <w:t xml:space="preserve">Совместимость</w:t>
              <w:br/>
              <w:t xml:space="preserve">Совместимые бренды Canon</w:t>
              <w:br/>
              <w:t xml:space="preserve">Поддерживаемые модели принтеров </w:t>
              <w:br/>
              <w:t xml:space="preserve">Canon imageRUNNER 1133, Canon imageRUNNER 1133Ai, Canon imageRUNNER 1133iF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67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Тонер-картридж 106R02310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Xerox WorkCentre 3315DN/3325DNI, 5K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картридж</w:t>
              <w:br/>
              <w:t xml:space="preserve">Вид лазерный</w:t>
              <w:br/>
              <w:t xml:space="preserve">Модель NV Print 106R02310</w:t>
              <w:br/>
              <w:t xml:space="preserve">Цвет печати черный</w:t>
              <w:br/>
              <w:t xml:space="preserve">Назначение МФУ</w:t>
              <w:br/>
              <w:t xml:space="preserve">Тип совм</w:t>
            </w:r>
            <w:r>
              <w:rPr>
                <w:sz w:val="24"/>
                <w:szCs w:val="24"/>
              </w:rPr>
              <w:t xml:space="preserve">естимости</w:t>
              <w:br/>
              <w:t xml:space="preserve">совместимый</w:t>
              <w:br/>
              <w:t xml:space="preserve">Дополнительная информация</w:t>
              <w:br/>
              <w:t xml:space="preserve">Количество картриджей 1 шт</w:t>
              <w:br/>
              <w:t xml:space="preserve">Ресурс 5000 стр</w:t>
              <w:br/>
              <w:t xml:space="preserve">Емкость повышенная, стандартная</w:t>
              <w:br/>
              <w:t xml:space="preserve">Наличие чипа есть</w:t>
              <w:br/>
              <w:t xml:space="preserve">Совместимость</w:t>
              <w:br/>
              <w:t xml:space="preserve">Совместимые бренды Xerox</w:t>
              <w:br/>
              <w:t xml:space="preserve">Поддерживаемые модели принтеров Xerox WorkCentre 3315, Xerox WorkCentre 3325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68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Драм-картридж 106R02312 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Xerox WorkCentre 3315DN/3325DNI , 11K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картридж</w:t>
              <w:br/>
              <w:t xml:space="preserve">Вид лазерный</w:t>
              <w:br/>
              <w:t xml:space="preserve">Модель NV-Print 106R02312</w:t>
              <w:br/>
              <w:t xml:space="preserve">Код производ</w:t>
            </w:r>
            <w:r>
              <w:rPr>
                <w:sz w:val="24"/>
                <w:szCs w:val="24"/>
              </w:rPr>
              <w:t xml:space="preserve">ителя [1967313]</w:t>
              <w:br/>
              <w:t xml:space="preserve">Цвет печати черный</w:t>
              <w:br/>
              <w:t xml:space="preserve">Назначение принтер</w:t>
              <w:br/>
              <w:t xml:space="preserve">Тип совместимости</w:t>
              <w:br/>
              <w:t xml:space="preserve">совместимый</w:t>
              <w:br/>
              <w:t xml:space="preserve">Дополнительная информация</w:t>
              <w:br/>
              <w:t xml:space="preserve">Количество картриджей 1 шт</w:t>
              <w:br/>
              <w:t xml:space="preserve">Ресурс 11000 стр</w:t>
              <w:br/>
              <w:t xml:space="preserve">Емкость повышенная</w:t>
              <w:br/>
              <w:t xml:space="preserve">Наличие чипа нет</w:t>
              <w:br/>
              <w:t xml:space="preserve">Совместимые бренды Xerox</w:t>
              <w:br/>
              <w:t xml:space="preserve">Поддерживаемые модели принтеров Xerox Wor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69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Тонер-картридж NetProduct (N-106R03623)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Xerox Phaser 3330/WC 3335/3345, 15K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картридж</w:t>
              <w:br/>
              <w:t xml:space="preserve">Вид лазерный</w:t>
              <w:br/>
              <w:t xml:space="preserve">Цвет печати черный</w:t>
              <w:br/>
              <w:t xml:space="preserve">Назначение МФУ, принтер</w:t>
              <w:br/>
              <w:t xml:space="preserve">Т</w:t>
            </w:r>
            <w:r>
              <w:rPr>
                <w:sz w:val="24"/>
                <w:szCs w:val="24"/>
              </w:rPr>
              <w:t xml:space="preserve">ип совместимости</w:t>
              <w:br/>
              <w:t xml:space="preserve">совместимый</w:t>
              <w:br/>
              <w:t xml:space="preserve">Дополнительная информация</w:t>
              <w:br/>
              <w:t xml:space="preserve">Количество картриджей 1 шт</w:t>
              <w:br/>
              <w:t xml:space="preserve">Ресурс 15000 стр</w:t>
              <w:br/>
              <w:t xml:space="preserve">Емкость повышенная</w:t>
              <w:br/>
              <w:t xml:space="preserve">Наличие чипа есть</w:t>
              <w:br/>
              <w:t xml:space="preserve">Совместимые бренды Xerox</w:t>
              <w:br/>
              <w:t xml:space="preserve">Поддерживаемые модели принтеров Xerox Phaser 3330, Xerox WorkCentre 3335, Xerox WorkCentre 3345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70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Тонер-картридж NetProduct (N-TN-2375/TN-2335)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Brother HL-L2300/2305/2320/2340, 2,6K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тонер-картридж</w:t>
              <w:br/>
              <w:t xml:space="preserve">Вид лазерный</w:t>
              <w:br/>
              <w:t xml:space="preserve">Код производителя [N-TN-2375]</w:t>
              <w:br/>
              <w:t xml:space="preserve">Цвет печати черный</w:t>
              <w:br/>
              <w:t xml:space="preserve">Назначение МФУ, принтер</w:t>
              <w:br/>
              <w:t xml:space="preserve">Тип совместимости</w:t>
              <w:br/>
              <w:t xml:space="preserve">совместимый</w:t>
              <w:br/>
              <w:t xml:space="preserve">Дополните</w:t>
            </w:r>
            <w:r>
              <w:rPr>
                <w:sz w:val="24"/>
                <w:szCs w:val="24"/>
              </w:rPr>
              <w:t xml:space="preserve">льная информация</w:t>
              <w:br/>
              <w:t xml:space="preserve">Количество картриджей 1 шт</w:t>
              <w:br/>
              <w:t xml:space="preserve">Ресурс 2600 стр</w:t>
              <w:br/>
              <w:t xml:space="preserve">Емкость повышенная</w:t>
              <w:br/>
              <w:t xml:space="preserve">Наличие чипа нет</w:t>
              <w:br/>
              <w:t xml:space="preserve">Совместимые бренды Brother</w:t>
              <w:br/>
              <w:t xml:space="preserve">Поддерживаемые модели принтеров Brother DCP-L2500DR, Brother DCP-L2520DWR, Brother DCP-L2540DNR, Brother HL-L2300, Brother HL-L2300DR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71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Тонер-картридж NetProduct (N-TN-1075)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Brother HL-1110R/1112R/DCP-1510R/MFC-1810R, 1K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тонер-картридж</w:t>
              <w:br/>
              <w:t xml:space="preserve">Вид лазерный</w:t>
              <w:br/>
              <w:t xml:space="preserve">Цвет печати черный</w:t>
              <w:br/>
              <w:t xml:space="preserve">Назначение МФУ, принтер</w:t>
              <w:br/>
              <w:t xml:space="preserve">Тип совместимости</w:t>
              <w:br/>
              <w:t xml:space="preserve">совместимый</w:t>
              <w:br/>
            </w:r>
            <w:r>
              <w:rPr>
                <w:sz w:val="24"/>
                <w:szCs w:val="24"/>
              </w:rPr>
              <w:t xml:space="preserve">Дополнительная информация</w:t>
              <w:br/>
              <w:t xml:space="preserve">Количество картриджей 1 шт</w:t>
              <w:br/>
              <w:t xml:space="preserve">Ресурс 1000 стр</w:t>
              <w:br/>
              <w:t xml:space="preserve">Емкость стандартная</w:t>
              <w:br/>
              <w:t xml:space="preserve">Наличие чипа нет</w:t>
              <w:br/>
              <w:t xml:space="preserve">Совместимые бренды Brother</w:t>
              <w:br/>
              <w:t xml:space="preserve">Поддерживаемые модели принтеров Brother DCP-1510R, Brother DCP-1512R, Brother HL-1110R, Brother HL-1112R, Brother MFC-1810R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72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Чип для Pantum PC-211, 1.6K, многоразовый, Grafit (8023242812)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Чип к картриджу</w:t>
              <w:br/>
              <w:t xml:space="preserve">Совместимость с брендом Pantum</w:t>
              <w:br/>
              <w:t xml:space="preserve">Совместим с моделями Pantum PC-211, 1.6K, многоразовый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73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Чип для Pantum PC-212EV, 1.6K, многоразовый, Grafit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товара Чип  PC-212EV</w:t>
              <w:br/>
              <w:t xml:space="preserve">Цвет Чёрный</w:t>
              <w:br/>
              <w:t xml:space="preserve">Ресурс, стр. 1600</w:t>
              <w:br/>
              <w:t xml:space="preserve">Для устройств Pantum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74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Тонер Static Control Универсальный для Pantum, Bk, 1 кг, флакон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тонер</w:t>
              <w:br/>
              <w:t xml:space="preserve">МодельStatic Control TRPUNIV3-1KG</w:t>
              <w:br/>
              <w:t xml:space="preserve">Назначение МФУ, принтер</w:t>
              <w:br/>
              <w:t xml:space="preserve">Тип совместимости</w:t>
              <w:br/>
              <w:t xml:space="preserve">совместимый</w:t>
              <w:br/>
              <w:t xml:space="preserve">Основные параметры</w:t>
              <w:br/>
              <w:t xml:space="preserve">Цвет тонера черный</w:t>
              <w:br/>
              <w:t xml:space="preserve">Емкость 1000 г</w:t>
              <w:br/>
              <w:t xml:space="preserve">Упаковка бутылка</w:t>
              <w:br/>
              <w:t xml:space="preserve">Ко</w:t>
            </w:r>
            <w:r>
              <w:rPr>
                <w:sz w:val="24"/>
                <w:szCs w:val="24"/>
              </w:rPr>
              <w:t xml:space="preserve">личество в упаковке 1 шт</w:t>
              <w:br/>
              <w:t xml:space="preserve">Дополнительная информация</w:t>
              <w:br/>
              <w:t xml:space="preserve">Размеры упаковки</w:t>
              <w:br/>
              <w:t xml:space="preserve">140x140x300 мм</w:t>
              <w:br/>
              <w:t xml:space="preserve">Совместимость</w:t>
              <w:br/>
              <w:t xml:space="preserve">Совместимые бренды Pantum</w:t>
              <w:br/>
              <w:t xml:space="preserve">Поддерживаемые модели принтеров Pantum M6500, Pantum M6500W, Pantum M6502, Pantum M6502W, Pantum M6506NW, Pantum M6507, Pantum M6507W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75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Тонер Static Control для Brother TN-2375, (Odyssey), Bk, 1кг, флакон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тонер для Brother TN-2375</w:t>
              <w:br/>
              <w:t xml:space="preserve">Тип совместимости</w:t>
              <w:br/>
              <w:t xml:space="preserve">совместимый</w:t>
              <w:br/>
              <w:t xml:space="preserve">Основные параметры</w:t>
              <w:br/>
              <w:t xml:space="preserve">Цвет тонера черный</w:t>
              <w:br/>
              <w:t xml:space="preserve">Емкость 1000 г</w:t>
              <w:br/>
              <w:t xml:space="preserve">Упаковка флакон</w:t>
              <w:br/>
              <w:t xml:space="preserve">Количество в упаковке 1 шт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76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Чернила G&amp;G GG-C13T03P14A 110BK черный 140мл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Epson M1100/M1120/M1140/M1170/M1180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Чернила C13T03P14A 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Ресурс: 140 мл</w:t>
              <w:br/>
              <w:t xml:space="preserve">Цвет: Черный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77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Чернила G&amp;G GG-C13T03V24A 101C голубой 70 мл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Epson L4150/L4160/L6160/L6170 1776252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Чернила C13T03V24A 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Ресурс: 70 мл</w:t>
              <w:br/>
              <w:t xml:space="preserve">Цвет: голубой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78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Чернила G&amp;G GG-C13T03V44A 101Y желтый 70 мл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Epson L4150/L4160/L6160/L6170 1776255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Чернила C13T03V44A 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Ресурс: 70 мл</w:t>
              <w:br/>
              <w:t xml:space="preserve">Цвет: желтый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79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Чернила G&amp;G GG-C13T03V34A 101M пурпурный 70 мл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Epson L4150/L4160/L6160/L6170 1776254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Чернила C13T03V34A 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Ресурс: 70 мл</w:t>
              <w:br/>
              <w:t xml:space="preserve">Цвет: пурпурный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80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Чернила Cactus CS-EPT00S14A 103BK черный 70мл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Epson L3250, L 3218, L 3210, L 3216, L3160, L3156, L1110, L3101, L3100, L3110, L3150, L3151 C13T00S14A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чернила</w:t>
              <w:br/>
              <w:t xml:space="preserve">Вид водорастворимые</w:t>
              <w:br/>
              <w:t xml:space="preserve">Тип совместимости</w:t>
              <w:br/>
              <w:t xml:space="preserve">совместимый</w:t>
              <w:br/>
              <w:t xml:space="preserve">Тип печати струйная</w:t>
              <w:br/>
              <w:t xml:space="preserve">Цвет чернил матовый черный</w:t>
              <w:br/>
              <w:t xml:space="preserve">Емкость 70 мл</w:t>
              <w:br/>
              <w:t xml:space="preserve">Количество 1 шт</w:t>
              <w:br/>
              <w:t xml:space="preserve">Модель совместимых принтеров</w:t>
              <w:br/>
              <w:t xml:space="preserve">Epson L1110, Epson L3100, Epson L3101, Epson L3110, Epson L3150, Epson L3151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81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Чернила GG GG-T6642C голубой100мл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Epson L100, L110, L120, L130, L132, L210, L222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чернила</w:t>
              <w:br/>
              <w:t xml:space="preserve">Вид водорастворимые</w:t>
              <w:br/>
              <w:t xml:space="preserve">Тип совместимости</w:t>
              <w:br/>
              <w:t xml:space="preserve">совместимый</w:t>
              <w:br/>
              <w:t xml:space="preserve">Цвет чернил голубой</w:t>
              <w:br/>
              <w:t xml:space="preserve">Модель совместимых принтеров</w:t>
              <w:br/>
              <w:t xml:space="preserve">Epson L100, Epson L110, Epson L120, Epson L121, Epson L130, Epson L132, Epson L200, Epson L210, Epson L220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82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Чернила Ecotank жёлтые Yellow 004 совместимые T00U4, водные, KeyLock, InkTron, 70 мл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Epson L11058, L3556, L3558, L5298, L3218, L3219, L3251, L3253, L3255, L3256, L3258, L3266, L3267, L3268, L3269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Модель оригинального картриджа664 BK</w:t>
              <w:br/>
              <w:t xml:space="preserve">Венд</w:t>
            </w:r>
            <w:r>
              <w:rPr>
                <w:sz w:val="24"/>
                <w:szCs w:val="24"/>
              </w:rPr>
              <w:t xml:space="preserve">ор Epson</w:t>
              <w:br/>
              <w:t xml:space="preserve">МодельC13T66444A</w:t>
              <w:br/>
              <w:t xml:space="preserve">Тип чернила</w:t>
              <w:br/>
              <w:t xml:space="preserve">Подходит к принтерам L485/L385/L380/L361/L100/L101/L110/L111/L120/L130/L200/L201/L210/L211/L220/L300/L301/L303/L310/L313/L350/L351/L353/L355/L358/L360/L363/L365/L455/L550/L551/L555/L558/L565/L1300/L386/L382/L364/L486;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EcoTank Expression ET-2500/2550/4500/14000/2650/2600</w:t>
              <w:br/>
              <w:t xml:space="preserve">Кол-во в упаковке1</w:t>
              <w:br/>
              <w:t xml:space="preserve">Тип чернил водорастворимый</w:t>
              <w:br/>
              <w:t xml:space="preserve">Емкость стандартная</w:t>
              <w:br/>
              <w:t xml:space="preserve">Объем ( мл.)70</w:t>
              <w:br/>
              <w:t xml:space="preserve">Ресурс страниц4000</w:t>
              <w:br/>
              <w:t xml:space="preserve">Вид струйный</w:t>
              <w:br/>
              <w:t xml:space="preserve">Цвет Желтый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83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Чернила Ecotank пурпурные Magenta 004 совместимые T00U3, водные, KeyLock, InkTron, 70 мл,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Epson L11058, L3556, L3558, L5298, L3218, L3219, L3251, L3253, L3255, L3256, L3258, L3266, L3267, L3268, L3269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Модель оригинального картриджа664 BK</w:t>
              <w:br/>
              <w:t xml:space="preserve">Вен</w:t>
            </w:r>
            <w:r>
              <w:rPr>
                <w:sz w:val="24"/>
                <w:szCs w:val="24"/>
              </w:rPr>
              <w:t xml:space="preserve">дор Epson</w:t>
              <w:br/>
              <w:t xml:space="preserve">МодельC13T66434A</w:t>
              <w:br/>
              <w:t xml:space="preserve">Тип чернила</w:t>
              <w:br/>
              <w:t xml:space="preserve">Подходит к принтерам L485/L385/L380/L361/L100/L101/L110/L111/L120/L130/L200/L201/L210/L211/L220/L300/L301/L303/L310/L313/L350/L351/L353/L355/L358/L360/L363/L365/L455/L550/L551/L555/L558/L565/L1300/L386/L382/L364/L486;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 w:right="0" w:firstLine="0"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EcoTank Expression ET-2500/2550/4500/14000/2650/2600</w:t>
              <w:br/>
              <w:t xml:space="preserve">Кол-во в упаковке 1</w:t>
              <w:br/>
              <w:t xml:space="preserve">Тип чернил водорастворимый</w:t>
              <w:br/>
              <w:t xml:space="preserve">Емкость стандартная</w:t>
              <w:br/>
              <w:t xml:space="preserve">Объем ( мл.)70</w:t>
              <w:br/>
              <w:t xml:space="preserve">Ресурс страниц 4000</w:t>
              <w:br/>
              <w:t xml:space="preserve">Вид струйный</w:t>
              <w:br/>
              <w:t xml:space="preserve">Цвет пурпурный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Позиция 84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Чернила G&amp;G GG-108-260g-4X6-20 черный/голубой/пурпурный/желтый/светло-голубой/светло-пурпурный набор 6x70мл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Epson Ecotank L8050/L18050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чернил водорастворимые</w:t>
              <w:br/>
              <w:t xml:space="preserve">Емкость эконом</w:t>
              <w:br/>
              <w:t xml:space="preserve">Количество цветов 6</w:t>
              <w:br/>
              <w:t xml:space="preserve">Основные характеристики</w:t>
              <w:br/>
              <w:t xml:space="preserve">Цвет черный/голубой/пурпурный/желтый/светло-голубой/светло-пурпурный</w:t>
              <w:br/>
              <w:t xml:space="preserve">Объем 70</w:t>
              <w:br/>
              <w:t xml:space="preserve">Совместимость с Epson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Ecotank L8050/L18050</w:t>
              <w:br/>
              <w:t xml:space="preserve">Кол-во флаконов (емкостей) 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numPr>
                <w:ilvl w:val="0"/>
                <w:numId w:val="6"/>
              </w:numPr>
              <w:pBdr/>
              <w:spacing w:after="120" w:before="0"/>
              <w:ind/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4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2"/>
                <w:szCs w:val="22"/>
                <w:lang w:val="ru-RU" w:eastAsia="ru-RU" w:bidi="ar-SA"/>
              </w:rPr>
              <w:t xml:space="preserve">Позиция 85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7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 чернил Inktec 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либо эквивалент совместимый с</w:t>
            </w:r>
            <w:r>
              <w:rPr>
                <w:sz w:val="24"/>
                <w:szCs w:val="24"/>
              </w:rPr>
              <w:t xml:space="preserve"> Epson EPSON L805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5" w:type="dxa"/>
            <w:vAlign w:val="center"/>
            <w:textDirection w:val="lrTb"/>
            <w:noWrap w:val="false"/>
          </w:tcPr>
          <w:p>
            <w:pPr>
              <w:pStyle w:val="1115"/>
              <w:widowControl w:val="false"/>
              <w:pBdr/>
              <w:spacing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Набор </w:t>
            </w:r>
            <w:r>
              <w:rPr>
                <w:sz w:val="24"/>
                <w:szCs w:val="24"/>
              </w:rPr>
              <w:t xml:space="preserve">цвет</w:t>
            </w:r>
            <w:r>
              <w:rPr>
                <w:sz w:val="24"/>
                <w:szCs w:val="24"/>
              </w:rPr>
              <w:t xml:space="preserve"> Голубой / Cyan, Черный / Black, Пурпурный / Magenta, Желтый / Yellow, Светло-голубой / Light Cyan, Светло-розовый / Light Magenta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расходника Чернила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Объём / Вес</w:t>
              <w:tab/>
              <w:t xml:space="preserve">100 - 190 мл /грамм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чернил Водные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15"/>
              <w:widowControl w:val="false"/>
              <w:pBdr/>
              <w:spacing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Epson L800, L805, L810, L850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99" w:type="dxa"/>
            <w:vAlign w:val="center"/>
            <w:textDirection w:val="lrTb"/>
            <w:noWrap w:val="false"/>
          </w:tcPr>
          <w:p>
            <w:pPr>
              <w:pStyle w:val="1039"/>
              <w:widowControl w:val="false"/>
              <w:pBdr/>
              <w:spacing w:after="120" w:before="0"/>
              <w:ind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</w:r>
          </w:p>
        </w:tc>
      </w:tr>
    </w:tbl>
    <w:p>
      <w:pPr>
        <w:pBdr/>
        <w:spacing/>
        <w:ind/>
        <w:rPr/>
        <w:sectPr>
          <w:headerReference w:type="default" r:id="rId11"/>
          <w:headerReference w:type="first" r:id="rId12"/>
          <w:footnotePr/>
          <w:endnotePr/>
          <w:type w:val="nextPage"/>
          <w:pgSz w:h="11906" w:orient="landscape" w:w="16838"/>
          <w:pgMar w:top="851" w:right="567" w:bottom="568" w:left="992" w:header="680" w:footer="0" w:gutter="0"/>
          <w:cols w:num="1" w:sep="0" w:space="1701" w:equalWidth="1"/>
          <w:titlePg/>
        </w:sectPr>
      </w:pPr>
      <w:r/>
      <w:r/>
    </w:p>
    <w:p>
      <w:pPr>
        <w:pStyle w:val="887"/>
        <w:pBdr/>
        <w:tabs>
          <w:tab w:val="clear" w:leader="none" w:pos="0"/>
          <w:tab w:val="clear" w:leader="none" w:pos="708"/>
        </w:tabs>
        <w:spacing/>
        <w:ind w:right="0" w:firstLine="850" w:left="0"/>
        <w:rPr/>
      </w:pPr>
      <w:r/>
      <w:bookmarkStart w:id="102" w:name="_Toc14"/>
      <w:r/>
      <w:bookmarkStart w:id="81" w:name="__RefHeading___Toc36542_2961905911"/>
      <w:r/>
      <w:bookmarkEnd w:id="81"/>
      <w:r>
        <w:t xml:space="preserve">3. </w:t>
      </w:r>
      <w:r>
        <w:t xml:space="preserve">Требования к документации по ценообразованию</w:t>
      </w:r>
      <w:r>
        <w:t xml:space="preserve"> на этапе закупки</w:t>
      </w:r>
      <w:bookmarkEnd w:id="102"/>
      <w:r/>
      <w:r/>
    </w:p>
    <w:p>
      <w:pPr>
        <w:pStyle w:val="886"/>
        <w:numPr>
          <w:ilvl w:val="1"/>
          <w:numId w:val="3"/>
        </w:numPr>
        <w:pBdr/>
        <w:tabs>
          <w:tab w:val="clear" w:leader="none" w:pos="0"/>
        </w:tabs>
        <w:spacing w:after="120" w:before="0"/>
        <w:ind w:right="0" w:firstLine="850" w:left="0"/>
        <w:jc w:val="both"/>
        <w:rPr/>
      </w:pPr>
      <w:r>
        <w:rPr>
          <w:bCs/>
          <w:iCs/>
          <w:sz w:val="24"/>
          <w:szCs w:val="24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87" w:name="_Hlk8832598511"/>
      <w:r>
        <w:rPr>
          <w:bCs/>
          <w:iCs/>
          <w:sz w:val="24"/>
          <w:szCs w:val="24"/>
        </w:rPr>
        <w:t xml:space="preserve">(с учетом прилагаемой к ней инструкции по заполнению)</w:t>
      </w:r>
      <w:bookmarkEnd w:id="87"/>
      <w:r>
        <w:rPr>
          <w:bCs/>
          <w:iCs/>
          <w:sz w:val="24"/>
          <w:szCs w:val="24"/>
        </w:rPr>
        <w:t xml:space="preserve">, приведенной в Документации о закупке.</w:t>
      </w:r>
      <w:r/>
    </w:p>
    <w:p>
      <w:pPr>
        <w:pStyle w:val="886"/>
        <w:numPr>
          <w:ilvl w:val="1"/>
          <w:numId w:val="3"/>
        </w:numPr>
        <w:pBdr/>
        <w:tabs>
          <w:tab w:val="clear" w:leader="none" w:pos="0"/>
        </w:tabs>
        <w:spacing w:after="120" w:before="0"/>
        <w:ind w:right="0" w:firstLine="850" w:left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В стоимость должны входить транспортные расходы до склада Заказчика, заработная плата, накладные расходы, подлежащие уплате налоги, сборы и пошлины (в том числе по таможенному оформлению Материально-технических ресурсов, если применимо).</w:t>
      </w:r>
      <w:r>
        <w:rPr>
          <w:bCs/>
          <w:iCs/>
          <w:sz w:val="24"/>
          <w:szCs w:val="24"/>
        </w:rPr>
      </w:r>
      <w:r>
        <w:rPr>
          <w:bCs/>
          <w:iCs/>
          <w:sz w:val="24"/>
          <w:szCs w:val="24"/>
        </w:rPr>
      </w:r>
    </w:p>
    <w:p>
      <w:pPr>
        <w:pStyle w:val="886"/>
        <w:numPr>
          <w:ilvl w:val="1"/>
          <w:numId w:val="3"/>
        </w:numPr>
        <w:pBdr/>
        <w:tabs>
          <w:tab w:val="clear" w:leader="none" w:pos="0"/>
        </w:tabs>
        <w:spacing w:after="120" w:before="0"/>
        <w:ind w:right="0" w:firstLine="850" w:left="0"/>
        <w:jc w:val="both"/>
        <w:rPr/>
      </w:pPr>
      <w:r/>
      <w:bookmarkStart w:id="88" w:name="_Hlk8832729211"/>
      <w:r>
        <w:rPr>
          <w:bCs/>
          <w:iCs/>
          <w:sz w:val="24"/>
          <w:szCs w:val="24"/>
        </w:rPr>
        <w:t xml:space="preserve">Дополнительные документы по ценообразованию</w:t>
      </w:r>
      <w:bookmarkEnd w:id="88"/>
      <w:r>
        <w:rPr>
          <w:bCs/>
          <w:iCs/>
          <w:sz w:val="24"/>
          <w:szCs w:val="24"/>
        </w:rPr>
        <w:t xml:space="preserve"> в состав заявки не включаются.</w:t>
      </w:r>
      <w:r/>
    </w:p>
    <w:p>
      <w:pPr>
        <w:pStyle w:val="886"/>
        <w:pBdr/>
        <w:spacing w:after="60" w:before="240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6"/>
        <w:pBdr/>
        <w:spacing w:after="60" w:before="240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13"/>
      <w:headerReference w:type="first" r:id="rId14"/>
      <w:footnotePr/>
      <w:endnotePr/>
      <w:type w:val="nextPage"/>
      <w:pgSz w:h="16838" w:orient="portrait" w:w="11906"/>
      <w:pgMar w:top="1134" w:right="851" w:bottom="992" w:left="1134" w:header="68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603050405020304"/>
  </w:font>
  <w:font w:name="Verdana">
    <w:panose1 w:val="020B0604030504040204"/>
  </w:font>
  <w:font w:name="Calibri Light (Заголовки)">
    <w:panose1 w:val="020F0502020204030204"/>
  </w:font>
  <w:font w:name="Symbol">
    <w:panose1 w:val="05010000000000000000"/>
  </w:font>
  <w:font w:name="Lohit Devanagari">
    <w:panose1 w:val="020B0600000000000000"/>
  </w:font>
  <w:font w:name="Courier New">
    <w:panose1 w:val="02070309020205020404"/>
  </w:font>
  <w:font w:name="Liberation Sans">
    <w:panose1 w:val="020B0604020202020204"/>
  </w:font>
  <w:font w:name="Wingdings">
    <w:panose1 w:val="05010000000000000000"/>
  </w:font>
  <w:font w:name="Tahoma">
    <w:panose1 w:val="020B0604030504040204"/>
  </w:font>
  <w:font w:name="Segoe UI">
    <w:panose1 w:val="020B0503020203020203"/>
  </w:font>
  <w:font w:name="Calibri Light">
    <w:panose1 w:val="020F0502020204030204"/>
  </w:font>
  <w:font w:name="Cambria">
    <w:panose1 w:val="02040803050406030204"/>
  </w:font>
  <w:font w:name="Calibri">
    <w:panose1 w:val="020F0502020204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4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4"/>
      <w:pBdr/>
      <w:spacing/>
      <w:ind/>
      <w:jc w:val="center"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11</w:t>
    </w:r>
    <w:r>
      <w:fldChar w:fldCharType="end"/>
    </w:r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4"/>
      <w:pBdr/>
      <w:spacing/>
      <w:ind/>
      <w:jc w:val="center"/>
      <w:rPr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4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58</w:t>
    </w:r>
    <w:r>
      <w:fldChar w:fldCharType="end"/>
    </w:r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1."/>
      <w:numFmt w:val="none"/>
      <w:pPr>
        <w:pBdr/>
        <w:tabs>
          <w:tab w:val="num" w:leader="none" w:pos="0"/>
        </w:tabs>
        <w:spacing/>
        <w:ind w:hanging="360" w:left="5038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  <w:start w:val="1"/>
      <w:suff w:val="tab"/>
    </w:lvl>
    <w:lvl w:ilvl="1">
      <w:isLgl w:val="false"/>
      <w:lvlJc w:val="left"/>
      <w:lvlText w:val="1.1"/>
      <w:numFmt w:val="none"/>
      <w:pPr>
        <w:pBdr/>
        <w:tabs>
          <w:tab w:val="num" w:leader="none" w:pos="0"/>
        </w:tabs>
        <w:spacing/>
        <w:ind w:hanging="432" w:left="432"/>
      </w:pPr>
      <w:rPr>
        <w:b/>
        <w:bCs/>
        <w:i w:val="0"/>
        <w:iCs/>
        <w:sz w:val="24"/>
        <w:szCs w:val="24"/>
      </w:rPr>
      <w:start w:val="1"/>
      <w:suff w:val="tab"/>
    </w:lvl>
    <w:lvl w:ilvl="2">
      <w:isLgl w:val="false"/>
      <w:lvlJc w:val="left"/>
      <w:lvlRestart w:val="0"/>
      <w:lvlText/>
      <w:numFmt w:val="none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80"/>
      </w:pPr>
      <w:rPr>
        <w:rFonts w:cs="Times New Roman"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20" w:left="1140"/>
      </w:pPr>
      <w:rPr>
        <w:rFonts w:cs="Times New Roman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440"/>
      </w:pPr>
      <w:rPr>
        <w:rFonts w:cs="Times New Roman"/>
        <w:b w:val="0"/>
        <w:bCs w:val="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440"/>
      </w:pPr>
      <w:rPr>
        <w:rFonts w:cs="Times New Roman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1800"/>
      </w:pPr>
      <w:rPr>
        <w:rFonts w:cs="Times New Roman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1800"/>
      </w:pPr>
      <w:rPr>
        <w:rFonts w:cs="Times New Roman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2160"/>
      </w:pPr>
      <w:rPr>
        <w:rFonts w:cs="Times New Roman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2160"/>
      </w:pPr>
      <w:rPr>
        <w:rFonts w:cs="Times New Roman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2520"/>
      </w:pPr>
      <w:rPr>
        <w:rFonts w:cs="Times New Roman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/>
        <w:bCs w:val="0"/>
        <w:sz w:val="24"/>
        <w:szCs w:val="24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>
        <w:b w:val="0"/>
        <w:b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>
        <w:sz w:val="24"/>
        <w:szCs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6">
    <w:lvl w:ilvl="0">
      <w:isLgl w:val="false"/>
      <w:lvlJc w:val="left"/>
      <w:lvlText w:val="·"/>
      <w:numFmt w:val="bullet"/>
      <w:pPr>
        <w:pBdr/>
        <w:tabs>
          <w:tab w:val="num" w:leader="none" w:pos="0"/>
        </w:tabs>
        <w:spacing/>
        <w:ind w:hanging="360" w:left="1417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13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2857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tabs>
          <w:tab w:val="num" w:leader="none" w:pos="0"/>
        </w:tabs>
        <w:spacing/>
        <w:ind w:hanging="360" w:left="3577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29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5017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tabs>
          <w:tab w:val="num" w:leader="none" w:pos="0"/>
        </w:tabs>
        <w:spacing/>
        <w:ind w:hanging="360" w:left="5737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45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7177"/>
      </w:pPr>
      <w:rPr>
        <w:rFonts w:hint="default" w:ascii="Wingdings" w:hAnsi="Wingdings" w:cs="Wingdings"/>
      </w:rPr>
      <w:start w:val="1"/>
      <w:suff w:val="tab"/>
    </w:lvl>
  </w:abstractNum>
  <w:abstractNum w:abstractNumId="7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8">
    <w:lvl w:ilvl="0">
      <w:isLgl w:val="false"/>
      <w:lvlJc w:val="left"/>
      <w:lvlText w:val="1."/>
      <w:numFmt w:val="none"/>
      <w:pPr>
        <w:pBdr/>
        <w:tabs>
          <w:tab w:val="num" w:leader="none" w:pos="0"/>
        </w:tabs>
        <w:spacing/>
        <w:ind w:hanging="360" w:left="5038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  <w:start w:val="1"/>
      <w:suff w:val="tab"/>
    </w:lvl>
    <w:lvl w:ilvl="1">
      <w:isLgl w:val="false"/>
      <w:lvlJc w:val="left"/>
      <w:lvlText w:val="1.2"/>
      <w:numFmt w:val="none"/>
      <w:pPr>
        <w:pBdr/>
        <w:tabs>
          <w:tab w:val="num" w:leader="none" w:pos="0"/>
        </w:tabs>
        <w:spacing/>
        <w:ind w:hanging="432" w:left="432"/>
      </w:pPr>
      <w:rPr>
        <w:b/>
        <w:bCs/>
        <w:i w:val="0"/>
        <w:iCs/>
        <w:sz w:val="24"/>
        <w:szCs w:val="24"/>
      </w:rPr>
      <w:start w:val="1"/>
      <w:suff w:val="tab"/>
    </w:lvl>
    <w:lvl w:ilvl="2">
      <w:isLgl w:val="false"/>
      <w:lvlJc w:val="left"/>
      <w:lvlRestart w:val="0"/>
      <w:lvlText/>
      <w:numFmt w:val="none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5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Table Grid"/>
    <w:basedOn w:val="75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Table Grid Light"/>
    <w:basedOn w:val="75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1"/>
    <w:basedOn w:val="75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2"/>
    <w:basedOn w:val="75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1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2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3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4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5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6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"/>
    <w:basedOn w:val="7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1"/>
    <w:basedOn w:val="7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2"/>
    <w:basedOn w:val="7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3"/>
    <w:basedOn w:val="7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4"/>
    <w:basedOn w:val="7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5"/>
    <w:basedOn w:val="7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6"/>
    <w:basedOn w:val="7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"/>
    <w:basedOn w:val="7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1"/>
    <w:basedOn w:val="7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2"/>
    <w:basedOn w:val="7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3"/>
    <w:basedOn w:val="7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4"/>
    <w:basedOn w:val="7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5"/>
    <w:basedOn w:val="7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6"/>
    <w:basedOn w:val="75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3" w:default="1">
    <w:name w:val="No List"/>
    <w:uiPriority w:val="99"/>
    <w:semiHidden/>
    <w:unhideWhenUsed/>
    <w:pPr>
      <w:pBdr/>
      <w:spacing/>
      <w:ind/>
    </w:pPr>
  </w:style>
  <w:style w:type="paragraph" w:styleId="884">
    <w:name w:val="Title"/>
    <w:basedOn w:val="886"/>
    <w:next w:val="886"/>
    <w:link w:val="98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85">
    <w:name w:val="FollowedHyperlink"/>
    <w:basedOn w:val="89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6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887">
    <w:name w:val="Heading 1"/>
    <w:basedOn w:val="889"/>
    <w:next w:val="886"/>
    <w:link w:val="907"/>
    <w:qFormat/>
    <w:pPr>
      <w:numPr>
        <w:ilvl w:val="0"/>
        <w:numId w:val="0"/>
      </w:numPr>
      <w:pBdr/>
      <w:spacing/>
      <w:ind w:right="0" w:hanging="504" w:left="1224"/>
      <w:outlineLvl w:val="0"/>
    </w:pPr>
    <w:rPr>
      <w:sz w:val="28"/>
      <w:szCs w:val="28"/>
    </w:rPr>
  </w:style>
  <w:style w:type="paragraph" w:styleId="888">
    <w:name w:val="Heading 2"/>
    <w:basedOn w:val="890"/>
    <w:next w:val="886"/>
    <w:link w:val="908"/>
    <w:qFormat/>
    <w:pPr>
      <w:numPr>
        <w:ilvl w:val="0"/>
        <w:numId w:val="0"/>
      </w:numPr>
      <w:pBdr/>
      <w:spacing/>
      <w:ind w:right="0" w:hanging="504" w:left="1224"/>
      <w:outlineLvl w:val="1"/>
    </w:pPr>
  </w:style>
  <w:style w:type="paragraph" w:styleId="889">
    <w:name w:val="Heading 3"/>
    <w:basedOn w:val="886"/>
    <w:next w:val="886"/>
    <w:link w:val="909"/>
    <w:qFormat/>
    <w:pPr>
      <w:keepNext w:val="true"/>
      <w:numPr>
        <w:ilvl w:val="0"/>
        <w:numId w:val="0"/>
      </w:numPr>
      <w:pBdr/>
      <w:tabs>
        <w:tab w:val="left" w:leader="none" w:pos="0"/>
        <w:tab w:val="clear" w:leader="none" w:pos="708"/>
      </w:tabs>
      <w:spacing w:after="60" w:before="120"/>
      <w:ind w:right="0" w:hanging="504" w:left="1224"/>
      <w:outlineLvl w:val="2"/>
    </w:pPr>
    <w:rPr>
      <w:rFonts w:eastAsia="Calibri"/>
      <w:b/>
      <w:sz w:val="24"/>
      <w:szCs w:val="24"/>
    </w:rPr>
  </w:style>
  <w:style w:type="paragraph" w:styleId="890">
    <w:name w:val="Heading 4"/>
    <w:basedOn w:val="889"/>
    <w:next w:val="886"/>
    <w:link w:val="910"/>
    <w:qFormat/>
    <w:pPr>
      <w:numPr>
        <w:ilvl w:val="0"/>
        <w:numId w:val="0"/>
      </w:numPr>
      <w:pBdr/>
      <w:spacing/>
      <w:ind w:right="0" w:hanging="504" w:left="1224"/>
      <w:outlineLvl w:val="3"/>
    </w:pPr>
    <w:rPr>
      <w:bCs/>
    </w:rPr>
  </w:style>
  <w:style w:type="paragraph" w:styleId="891">
    <w:name w:val="Heading 5"/>
    <w:basedOn w:val="886"/>
    <w:next w:val="886"/>
    <w:link w:val="911"/>
    <w:qFormat/>
    <w:pPr>
      <w:numPr>
        <w:ilvl w:val="0"/>
        <w:numId w:val="0"/>
      </w:numPr>
      <w:pBdr/>
      <w:spacing w:after="60" w:before="240"/>
      <w:ind/>
      <w:outlineLvl w:val="4"/>
    </w:pPr>
    <w:rPr>
      <w:b/>
      <w:bCs/>
      <w:i/>
      <w:iCs/>
      <w:sz w:val="26"/>
      <w:szCs w:val="26"/>
    </w:rPr>
  </w:style>
  <w:style w:type="paragraph" w:styleId="892">
    <w:name w:val="Heading 6"/>
    <w:basedOn w:val="886"/>
    <w:next w:val="886"/>
    <w:link w:val="904"/>
    <w:qFormat/>
    <w:pPr>
      <w:keepNext w:val="true"/>
      <w:keepLines w:val="true"/>
      <w:numPr>
        <w:ilvl w:val="0"/>
        <w:numId w:val="0"/>
      </w:numPr>
      <w:pBdr/>
      <w:spacing w:after="0" w:before="200"/>
      <w:ind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893">
    <w:name w:val="Heading 7"/>
    <w:basedOn w:val="886"/>
    <w:next w:val="886"/>
    <w:link w:val="905"/>
    <w:qFormat/>
    <w:pPr>
      <w:keepNext w:val="true"/>
      <w:keepLines w:val="true"/>
      <w:numPr>
        <w:ilvl w:val="0"/>
        <w:numId w:val="0"/>
      </w:numPr>
      <w:pBdr/>
      <w:spacing w:after="0" w:before="200"/>
      <w:ind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94">
    <w:name w:val="Heading 8"/>
    <w:basedOn w:val="886"/>
    <w:next w:val="886"/>
    <w:link w:val="906"/>
    <w:qFormat/>
    <w:pPr>
      <w:keepNext w:val="true"/>
      <w:keepLines w:val="true"/>
      <w:numPr>
        <w:ilvl w:val="0"/>
        <w:numId w:val="0"/>
      </w:numPr>
      <w:pBdr/>
      <w:spacing w:after="0" w:before="200"/>
      <w:ind/>
      <w:outlineLvl w:val="7"/>
    </w:pPr>
    <w:rPr>
      <w:rFonts w:ascii="Cambria" w:hAnsi="Cambria"/>
      <w:color w:val="4f81bd"/>
      <w:sz w:val="20"/>
      <w:szCs w:val="20"/>
    </w:rPr>
  </w:style>
  <w:style w:type="paragraph" w:styleId="895">
    <w:name w:val="Heading 9"/>
    <w:basedOn w:val="886"/>
    <w:next w:val="886"/>
    <w:link w:val="912"/>
    <w:qFormat/>
    <w:pPr>
      <w:numPr>
        <w:ilvl w:val="0"/>
        <w:numId w:val="0"/>
      </w:numPr>
      <w:pBdr/>
      <w:spacing w:after="60" w:before="240"/>
      <w:ind/>
      <w:outlineLvl w:val="8"/>
    </w:pPr>
    <w:rPr>
      <w:rFonts w:ascii="Arial" w:hAnsi="Arial"/>
      <w:sz w:val="22"/>
      <w:szCs w:val="22"/>
    </w:rPr>
  </w:style>
  <w:style w:type="character" w:styleId="896" w:default="1">
    <w:name w:val="Default Paragraph Font"/>
    <w:qFormat/>
    <w:pPr>
      <w:pBdr/>
      <w:spacing/>
      <w:ind/>
    </w:pPr>
  </w:style>
  <w:style w:type="character" w:styleId="897">
    <w:name w:val="Символ сноски"/>
    <w:qFormat/>
    <w:pPr>
      <w:pBdr/>
      <w:spacing/>
      <w:ind/>
    </w:pPr>
    <w:rPr>
      <w:vertAlign w:val="superscript"/>
    </w:rPr>
  </w:style>
  <w:style w:type="character" w:styleId="898">
    <w:name w:val="footnote reference"/>
    <w:pPr>
      <w:pBdr/>
      <w:spacing/>
      <w:ind/>
    </w:pPr>
    <w:rPr>
      <w:vertAlign w:val="superscript"/>
    </w:rPr>
  </w:style>
  <w:style w:type="character" w:styleId="899">
    <w:name w:val="Footnote Characters"/>
    <w:qFormat/>
    <w:pPr>
      <w:pBdr/>
      <w:spacing/>
      <w:ind/>
    </w:pPr>
    <w:rPr>
      <w:vertAlign w:val="superscript"/>
    </w:rPr>
  </w:style>
  <w:style w:type="character" w:styleId="900">
    <w:name w:val="page number"/>
    <w:basedOn w:val="896"/>
    <w:qFormat/>
    <w:pPr>
      <w:pBdr/>
      <w:spacing/>
      <w:ind/>
    </w:pPr>
  </w:style>
  <w:style w:type="character" w:styleId="901">
    <w:name w:val="Hyperlink"/>
    <w:basedOn w:val="896"/>
    <w:pPr>
      <w:pBdr/>
      <w:spacing/>
      <w:ind/>
    </w:pPr>
    <w:rPr>
      <w:color w:val="0563c1"/>
      <w:u w:val="single"/>
    </w:rPr>
  </w:style>
  <w:style w:type="character" w:styleId="902">
    <w:name w:val="annotation reference"/>
    <w:qFormat/>
    <w:pPr>
      <w:pBdr/>
      <w:spacing/>
      <w:ind/>
    </w:pPr>
    <w:rPr>
      <w:sz w:val="16"/>
      <w:szCs w:val="16"/>
    </w:rPr>
  </w:style>
  <w:style w:type="character" w:styleId="903">
    <w:name w:val="Strong"/>
    <w:qFormat/>
    <w:pPr>
      <w:pBdr/>
      <w:spacing/>
      <w:ind/>
    </w:pPr>
    <w:rPr>
      <w:b/>
      <w:bCs/>
    </w:rPr>
  </w:style>
  <w:style w:type="character" w:styleId="904">
    <w:name w:val="Заголовок 6 Знак"/>
    <w:qFormat/>
    <w:pPr>
      <w:pBdr/>
      <w:spacing/>
      <w:ind/>
    </w:pPr>
    <w:rPr>
      <w:rFonts w:ascii="Cambria" w:hAnsi="Cambria"/>
      <w:i/>
      <w:iCs/>
      <w:color w:val="243f60"/>
    </w:rPr>
  </w:style>
  <w:style w:type="character" w:styleId="905">
    <w:name w:val="Заголовок 7 Знак"/>
    <w:qFormat/>
    <w:pPr>
      <w:pBdr/>
      <w:spacing/>
      <w:ind/>
    </w:pPr>
    <w:rPr>
      <w:rFonts w:ascii="Cambria" w:hAnsi="Cambria"/>
      <w:i/>
      <w:iCs/>
      <w:color w:val="404040"/>
    </w:rPr>
  </w:style>
  <w:style w:type="character" w:styleId="906">
    <w:name w:val="Заголовок 8 Знак"/>
    <w:qFormat/>
    <w:pPr>
      <w:pBdr/>
      <w:spacing/>
      <w:ind/>
    </w:pPr>
    <w:rPr>
      <w:rFonts w:ascii="Cambria" w:hAnsi="Cambria"/>
      <w:color w:val="4f81bd"/>
    </w:rPr>
  </w:style>
  <w:style w:type="character" w:styleId="907">
    <w:name w:val="Заголовок 1 Знак"/>
    <w:qFormat/>
    <w:pPr>
      <w:pBdr/>
      <w:spacing/>
      <w:ind/>
    </w:pPr>
    <w:rPr>
      <w:rFonts w:eastAsia="Calibri"/>
      <w:b/>
      <w:sz w:val="28"/>
      <w:szCs w:val="28"/>
    </w:rPr>
  </w:style>
  <w:style w:type="character" w:styleId="908">
    <w:name w:val="Заголовок 2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909">
    <w:name w:val="Заголовок 3 Знак"/>
    <w:qFormat/>
    <w:pPr>
      <w:pBdr/>
      <w:spacing/>
      <w:ind/>
    </w:pPr>
    <w:rPr>
      <w:rFonts w:eastAsia="Calibri"/>
      <w:b/>
      <w:sz w:val="24"/>
      <w:szCs w:val="24"/>
    </w:rPr>
  </w:style>
  <w:style w:type="character" w:styleId="910">
    <w:name w:val="Заголовок 4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911">
    <w:name w:val="Заголовок 5 Знак"/>
    <w:qFormat/>
    <w:pPr>
      <w:pBdr/>
      <w:spacing/>
      <w:ind/>
    </w:pPr>
    <w:rPr>
      <w:b/>
      <w:bCs/>
      <w:i/>
      <w:iCs/>
      <w:sz w:val="26"/>
      <w:szCs w:val="26"/>
    </w:rPr>
  </w:style>
  <w:style w:type="character" w:styleId="912">
    <w:name w:val="Заголовок 9 Знак"/>
    <w:qFormat/>
    <w:pPr>
      <w:pBdr/>
      <w:spacing/>
      <w:ind/>
    </w:pPr>
    <w:rPr>
      <w:rFonts w:ascii="Arial" w:hAnsi="Arial" w:cs="Arial"/>
      <w:sz w:val="22"/>
      <w:szCs w:val="22"/>
    </w:rPr>
  </w:style>
  <w:style w:type="character" w:styleId="913">
    <w:name w:val="Название Знак"/>
    <w:link w:val="1052"/>
    <w:qFormat/>
    <w:pPr>
      <w:pBdr/>
      <w:spacing/>
      <w:ind/>
    </w:pPr>
    <w:rPr>
      <w:sz w:val="28"/>
    </w:rPr>
  </w:style>
  <w:style w:type="character" w:styleId="914">
    <w:name w:val="Подзаголовок Знак"/>
    <w:qFormat/>
    <w:pPr>
      <w:pBdr/>
      <w:spacing/>
      <w:ind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styleId="915">
    <w:name w:val="Emphasis"/>
    <w:qFormat/>
    <w:pPr>
      <w:pBdr/>
      <w:spacing/>
      <w:ind/>
    </w:pPr>
    <w:rPr>
      <w:i/>
      <w:iCs/>
    </w:rPr>
  </w:style>
  <w:style w:type="character" w:styleId="916">
    <w:name w:val="Цитата 2 Знак"/>
    <w:link w:val="1081"/>
    <w:qFormat/>
    <w:pPr>
      <w:pBdr/>
      <w:spacing/>
      <w:ind/>
    </w:pPr>
    <w:rPr>
      <w:rFonts w:ascii="Calibri" w:hAnsi="Calibri" w:eastAsia="Calibri"/>
      <w:i/>
      <w:iCs/>
      <w:color w:val="000000"/>
    </w:rPr>
  </w:style>
  <w:style w:type="character" w:styleId="917">
    <w:name w:val="Выделенная цитата Знак"/>
    <w:link w:val="1082"/>
    <w:qFormat/>
    <w:pPr>
      <w:pBdr/>
      <w:spacing/>
      <w:ind/>
    </w:pPr>
    <w:rPr>
      <w:rFonts w:ascii="Calibri" w:hAnsi="Calibri" w:eastAsia="Calibri"/>
      <w:b/>
      <w:bCs/>
      <w:i/>
      <w:iCs/>
      <w:color w:val="4f81bd"/>
    </w:rPr>
  </w:style>
  <w:style w:type="character" w:styleId="918">
    <w:name w:val="Subtle Emphasis"/>
    <w:qFormat/>
    <w:pPr>
      <w:pBdr/>
      <w:spacing/>
      <w:ind/>
    </w:pPr>
    <w:rPr>
      <w:i/>
      <w:iCs/>
      <w:color w:val="808080"/>
    </w:rPr>
  </w:style>
  <w:style w:type="character" w:styleId="919">
    <w:name w:val="Intense Emphasis"/>
    <w:qFormat/>
    <w:pPr>
      <w:pBdr/>
      <w:spacing/>
      <w:ind/>
    </w:pPr>
    <w:rPr>
      <w:b/>
      <w:bCs/>
      <w:i/>
      <w:iCs/>
      <w:color w:val="4f81bd"/>
    </w:rPr>
  </w:style>
  <w:style w:type="character" w:styleId="920">
    <w:name w:val="Subtle Reference"/>
    <w:qFormat/>
    <w:pPr>
      <w:pBdr/>
      <w:spacing/>
      <w:ind/>
    </w:pPr>
    <w:rPr>
      <w:smallCaps/>
      <w:color w:val="c0504d"/>
      <w:u w:val="single"/>
    </w:rPr>
  </w:style>
  <w:style w:type="character" w:styleId="921">
    <w:name w:val="Intense Reference"/>
    <w:qFormat/>
    <w:pPr>
      <w:pBdr/>
      <w:spacing/>
      <w:ind/>
    </w:pPr>
    <w:rPr>
      <w:b/>
      <w:bCs/>
      <w:smallCaps/>
      <w:color w:val="c0504d"/>
      <w:spacing w:val="5"/>
      <w:u w:val="single"/>
    </w:rPr>
  </w:style>
  <w:style w:type="character" w:styleId="922">
    <w:name w:val="Book Title"/>
    <w:qFormat/>
    <w:pPr>
      <w:pBdr/>
      <w:spacing/>
      <w:ind/>
    </w:pPr>
    <w:rPr>
      <w:b/>
      <w:bCs/>
      <w:smallCaps/>
      <w:spacing w:val="5"/>
    </w:rPr>
  </w:style>
  <w:style w:type="character" w:styleId="923">
    <w:name w:val="Электронная подпись Знак"/>
    <w:link w:val="1085"/>
    <w:qFormat/>
    <w:pPr>
      <w:pBdr/>
      <w:spacing/>
      <w:ind/>
    </w:pPr>
    <w:rPr>
      <w:rFonts w:eastAsia="Calibri"/>
      <w:sz w:val="24"/>
      <w:szCs w:val="24"/>
    </w:rPr>
  </w:style>
  <w:style w:type="character" w:styleId="924">
    <w:name w:val="Подпункт Знак1"/>
    <w:link w:val="1062"/>
    <w:qFormat/>
    <w:pPr>
      <w:pBdr/>
      <w:spacing/>
      <w:ind/>
    </w:pPr>
    <w:rPr>
      <w:sz w:val="28"/>
    </w:rPr>
  </w:style>
  <w:style w:type="character" w:styleId="925">
    <w:name w:val="Текст сноски Знак"/>
    <w:qFormat/>
    <w:pPr>
      <w:pBdr/>
      <w:spacing/>
      <w:ind/>
    </w:pPr>
  </w:style>
  <w:style w:type="character" w:styleId="926">
    <w:name w:val="Основной текст Знак"/>
    <w:qFormat/>
    <w:pPr>
      <w:pBdr/>
      <w:spacing/>
      <w:ind/>
    </w:pPr>
    <w:rPr>
      <w:sz w:val="28"/>
      <w:szCs w:val="28"/>
    </w:rPr>
  </w:style>
  <w:style w:type="character" w:styleId="927">
    <w:name w:val="blk"/>
    <w:qFormat/>
    <w:pPr>
      <w:pBdr/>
      <w:spacing/>
      <w:ind/>
    </w:pPr>
  </w:style>
  <w:style w:type="character" w:styleId="928">
    <w:name w:val="Абзац списка Знак"/>
    <w:link w:val="1080"/>
    <w:qFormat/>
    <w:pPr>
      <w:pBdr/>
      <w:spacing/>
      <w:ind/>
    </w:pPr>
    <w:rPr>
      <w:rFonts w:eastAsia="Calibri"/>
      <w:sz w:val="24"/>
      <w:szCs w:val="24"/>
    </w:rPr>
  </w:style>
  <w:style w:type="character" w:styleId="929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character" w:styleId="930">
    <w:name w:val="Подподпункт Знак"/>
    <w:link w:val="1097"/>
    <w:qFormat/>
    <w:pPr>
      <w:pBdr/>
      <w:spacing/>
      <w:ind/>
    </w:pPr>
    <w:rPr>
      <w:sz w:val="26"/>
      <w:szCs w:val="26"/>
    </w:rPr>
  </w:style>
  <w:style w:type="character" w:styleId="931">
    <w:name w:val="УРОВЕНЬ_Абзац_тип3 Знак"/>
    <w:link w:val="1101"/>
    <w:qFormat/>
    <w:pPr>
      <w:pBdr/>
      <w:spacing/>
      <w:ind/>
    </w:pPr>
    <w:rPr>
      <w:rFonts w:eastAsia="Calibri"/>
      <w:sz w:val="26"/>
      <w:szCs w:val="28"/>
      <w:lang w:eastAsia="en-US"/>
    </w:rPr>
  </w:style>
  <w:style w:type="character" w:styleId="932">
    <w:name w:val="Верхний колонтитул Знак"/>
    <w:qFormat/>
    <w:pPr>
      <w:pBdr/>
      <w:spacing/>
      <w:ind/>
    </w:pPr>
    <w:rPr>
      <w:sz w:val="24"/>
      <w:szCs w:val="24"/>
    </w:rPr>
  </w:style>
  <w:style w:type="character" w:styleId="933">
    <w:name w:val="Текст примечания Знак"/>
    <w:link w:val="1070"/>
    <w:qFormat/>
    <w:pPr>
      <w:pBdr/>
      <w:spacing/>
      <w:ind/>
    </w:pPr>
  </w:style>
  <w:style w:type="character" w:styleId="934">
    <w:name w:val="Текст концевой сноски Знак"/>
    <w:basedOn w:val="896"/>
    <w:qFormat/>
    <w:pPr>
      <w:pBdr/>
      <w:spacing/>
      <w:ind/>
    </w:pPr>
  </w:style>
  <w:style w:type="character" w:styleId="935">
    <w:name w:val="Символ концевой сноски"/>
    <w:qFormat/>
    <w:pPr>
      <w:pBdr/>
      <w:spacing/>
      <w:ind/>
    </w:pPr>
    <w:rPr>
      <w:vertAlign w:val="superscript"/>
    </w:rPr>
  </w:style>
  <w:style w:type="character" w:styleId="936">
    <w:name w:val="endnote reference"/>
    <w:pPr>
      <w:pBdr/>
      <w:spacing/>
      <w:ind/>
    </w:pPr>
    <w:rPr>
      <w:vertAlign w:val="superscript"/>
    </w:rPr>
  </w:style>
  <w:style w:type="character" w:styleId="937">
    <w:name w:val="Endnote Characters"/>
    <w:basedOn w:val="896"/>
    <w:qFormat/>
    <w:pPr>
      <w:pBdr/>
      <w:spacing/>
      <w:ind/>
    </w:pPr>
    <w:rPr>
      <w:vertAlign w:val="superscript"/>
    </w:rPr>
  </w:style>
  <w:style w:type="character" w:styleId="938">
    <w:name w:val="Пункт2 Знак"/>
    <w:link w:val="1063"/>
    <w:qFormat/>
    <w:pPr>
      <w:pBdr/>
      <w:spacing/>
      <w:ind/>
    </w:pPr>
    <w:rPr>
      <w:b/>
      <w:sz w:val="28"/>
    </w:rPr>
  </w:style>
  <w:style w:type="character" w:styleId="939">
    <w:name w:val="УРОВЕНЬ_1. Знак"/>
    <w:link w:val="1108"/>
    <w:qFormat/>
    <w:pPr>
      <w:pBdr/>
      <w:spacing/>
      <w:ind/>
    </w:pPr>
    <w:rPr>
      <w:rFonts w:eastAsia="Calibri"/>
      <w:caps/>
      <w:sz w:val="28"/>
      <w:szCs w:val="28"/>
      <w:lang w:eastAsia="en-US"/>
    </w:rPr>
  </w:style>
  <w:style w:type="character" w:styleId="940">
    <w:name w:val="Неразрешенное упоминание1"/>
    <w:basedOn w:val="896"/>
    <w:qFormat/>
    <w:pPr>
      <w:pBdr/>
      <w:spacing/>
      <w:ind/>
    </w:pPr>
    <w:rPr>
      <w:color w:val="605e5c"/>
      <w:shd w:val="clear" w:color="auto" w:fill="e1dfdd"/>
    </w:rPr>
  </w:style>
  <w:style w:type="character" w:styleId="941">
    <w:name w:val="Основной текст с отступом 3 Знак"/>
    <w:link w:val="1059"/>
    <w:qFormat/>
    <w:pPr>
      <w:pBdr/>
      <w:spacing/>
      <w:ind/>
    </w:pPr>
    <w:rPr>
      <w:sz w:val="16"/>
      <w:szCs w:val="16"/>
    </w:rPr>
  </w:style>
  <w:style w:type="character" w:styleId="942">
    <w:name w:val="Ссылка указателя"/>
    <w:qFormat/>
    <w:pPr>
      <w:pBdr/>
      <w:spacing/>
      <w:ind/>
    </w:pPr>
  </w:style>
  <w:style w:type="character" w:styleId="943">
    <w:name w:val="e1ckvoeh1"/>
    <w:basedOn w:val="896"/>
    <w:qFormat/>
    <w:pPr>
      <w:pBdr/>
      <w:spacing/>
      <w:ind/>
    </w:pPr>
  </w:style>
  <w:style w:type="character" w:styleId="944">
    <w:name w:val="e1ckvoeh0"/>
    <w:basedOn w:val="896"/>
    <w:qFormat/>
    <w:pPr>
      <w:pBdr/>
      <w:spacing/>
      <w:ind/>
    </w:pPr>
  </w:style>
  <w:style w:type="character" w:styleId="945">
    <w:name w:val="app-catalog-1baulvz"/>
    <w:basedOn w:val="896"/>
    <w:qFormat/>
    <w:pPr>
      <w:pBdr/>
      <w:spacing/>
      <w:ind/>
    </w:pPr>
  </w:style>
  <w:style w:type="character" w:styleId="946">
    <w:name w:val="jss452"/>
    <w:basedOn w:val="896"/>
    <w:qFormat/>
    <w:pPr>
      <w:pBdr/>
      <w:spacing/>
      <w:ind/>
    </w:pPr>
  </w:style>
  <w:style w:type="character" w:styleId="947">
    <w:name w:val="Символ нумерации"/>
    <w:qFormat/>
    <w:pPr>
      <w:pBdr/>
      <w:spacing/>
      <w:ind/>
    </w:pPr>
  </w:style>
  <w:style w:type="character" w:styleId="948">
    <w:name w:val="Unresolved Mention"/>
    <w:qFormat/>
    <w:pPr>
      <w:pBdr/>
      <w:spacing/>
      <w:ind/>
    </w:pPr>
    <w:rPr>
      <w:rFonts w:ascii="Times New Roman" w:hAnsi="Times New Roman" w:eastAsia="Times New Roman" w:cs="Times New Roman"/>
      <w:color w:val="605e5c"/>
      <w:sz w:val="24"/>
      <w:szCs w:val="24"/>
      <w:shd w:val="clear" w:color="auto" w:fill="e1dfdd"/>
    </w:rPr>
  </w:style>
  <w:style w:type="character" w:styleId="949">
    <w:name w:val="line number"/>
    <w:qFormat/>
    <w:pPr>
      <w:pBdr/>
      <w:spacing/>
      <w:ind/>
    </w:pPr>
  </w:style>
  <w:style w:type="character" w:styleId="950">
    <w:name w:val="Текст концевой сноски Знак1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951">
    <w:name w:val="Электронная подпись Знак1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952">
    <w:name w:val="Выделенная цитата Знак1"/>
    <w:qFormat/>
    <w:pPr>
      <w:pBdr/>
      <w:spacing/>
      <w:ind/>
    </w:pPr>
    <w:rPr>
      <w:rFonts w:ascii="Times New Roman" w:hAnsi="Times New Roman" w:eastAsia="Times New Roman" w:cs="Times New Roman"/>
      <w:i/>
      <w:iCs/>
      <w:color w:val="2e74b5"/>
      <w:sz w:val="24"/>
      <w:szCs w:val="24"/>
    </w:rPr>
  </w:style>
  <w:style w:type="character" w:styleId="953">
    <w:name w:val="Цитата 2 Знак1"/>
    <w:qFormat/>
    <w:pPr>
      <w:pBdr/>
      <w:spacing/>
      <w:ind/>
    </w:pPr>
    <w:rPr>
      <w:rFonts w:ascii="Times New Roman" w:hAnsi="Times New Roman" w:eastAsia="Times New Roman" w:cs="Times New Roman"/>
      <w:i/>
      <w:iCs/>
      <w:color w:val="404040"/>
      <w:sz w:val="24"/>
      <w:szCs w:val="24"/>
    </w:rPr>
  </w:style>
  <w:style w:type="character" w:styleId="954">
    <w:name w:val="Подзаголовок Знак1"/>
    <w:qFormat/>
    <w:pPr>
      <w:pBdr/>
      <w:spacing/>
      <w:ind/>
    </w:pPr>
    <w:rPr>
      <w:rFonts w:ascii="Calibri Light" w:hAnsi="Calibri Light" w:eastAsia="Calibri Light" w:cs="Calibri Light"/>
      <w:color w:val="595959"/>
      <w:spacing w:val="15"/>
      <w:sz w:val="28"/>
      <w:szCs w:val="28"/>
    </w:rPr>
  </w:style>
  <w:style w:type="character" w:styleId="955">
    <w:name w:val="Тема примечания Знак1"/>
    <w:qFormat/>
    <w:pPr>
      <w:pBdr/>
      <w:spacing/>
      <w:ind/>
    </w:pPr>
    <w:rPr>
      <w:rFonts w:ascii="Times New Roman" w:hAnsi="Times New Roman" w:eastAsia="Times New Roman" w:cs="Times New Roman"/>
      <w:b/>
      <w:bCs/>
      <w:color w:val="000000"/>
      <w:sz w:val="20"/>
      <w:szCs w:val="20"/>
    </w:rPr>
  </w:style>
  <w:style w:type="character" w:styleId="956">
    <w:name w:val="Текст примечания Знак1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957">
    <w:name w:val="Текст выноски Знак1"/>
    <w:qFormat/>
    <w:pPr>
      <w:pBdr/>
      <w:spacing/>
      <w:ind/>
    </w:pPr>
    <w:rPr>
      <w:rFonts w:ascii="Segoe UI" w:hAnsi="Segoe UI" w:eastAsia="Times New Roman" w:cs="Segoe UI"/>
      <w:color w:val="000000"/>
      <w:sz w:val="18"/>
      <w:szCs w:val="18"/>
    </w:rPr>
  </w:style>
  <w:style w:type="character" w:styleId="958">
    <w:name w:val="Основной текст 2 Знак1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959">
    <w:name w:val="Основной текст с отступом 3 Знак1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960">
    <w:name w:val="Основной текст 3 Знак1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961">
    <w:name w:val="Основной текст с отступом 2 Знак1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962">
    <w:name w:val="Нижний колонтитул Знак1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963">
    <w:name w:val="Основной текст с отступом Знак1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964">
    <w:name w:val="Верхний колонтитул Знак1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965">
    <w:name w:val="Текст сноски Знак1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966">
    <w:name w:val="Основной текст Знак1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967">
    <w:name w:val="Заголовок Знак1"/>
    <w:qFormat/>
    <w:pPr>
      <w:pBdr/>
      <w:spacing/>
      <w:ind/>
    </w:pPr>
    <w:rPr>
      <w:rFonts w:ascii="Calibri Light" w:hAnsi="Calibri Light" w:eastAsia="Calibri Light" w:cs="Calibri Light"/>
      <w:color w:val="000000"/>
      <w:spacing w:val="-10"/>
      <w:sz w:val="56"/>
      <w:szCs w:val="56"/>
    </w:rPr>
  </w:style>
  <w:style w:type="character" w:styleId="968">
    <w:name w:val="line number1"/>
    <w:qFormat/>
    <w:pPr>
      <w:pBdr/>
      <w:spacing/>
      <w:ind/>
    </w:pPr>
  </w:style>
  <w:style w:type="character" w:styleId="969">
    <w:name w:val="Неразрешенное упоминание2"/>
    <w:qFormat/>
    <w:pPr>
      <w:pBdr/>
      <w:spacing/>
      <w:ind/>
    </w:pPr>
    <w:rPr>
      <w:rFonts w:ascii="Times New Roman" w:hAnsi="Times New Roman" w:eastAsia="Times New Roman" w:cs="Times New Roman"/>
      <w:color w:val="605e5c"/>
      <w:sz w:val="24"/>
      <w:szCs w:val="24"/>
      <w:shd w:val="clear" w:color="auto" w:fill="e1dfdd"/>
    </w:rPr>
  </w:style>
  <w:style w:type="character" w:styleId="970">
    <w:name w:val="Название Знак1"/>
    <w:qFormat/>
    <w:pPr>
      <w:pBdr/>
      <w:spacing/>
      <w:ind/>
    </w:pPr>
    <w:rPr>
      <w:rFonts w:ascii="Calibri Light" w:hAnsi="Calibri Light" w:eastAsia="Arial"/>
      <w:color w:val="000000"/>
      <w:spacing w:val="-10"/>
      <w:sz w:val="56"/>
      <w:szCs w:val="56"/>
    </w:rPr>
  </w:style>
  <w:style w:type="character" w:styleId="971">
    <w:name w:val="Endnote Reference1"/>
    <w:qFormat/>
    <w:pPr>
      <w:pBdr/>
      <w:spacing/>
      <w:ind/>
    </w:pPr>
    <w:rPr>
      <w:vertAlign w:val="superscript"/>
    </w:rPr>
  </w:style>
  <w:style w:type="character" w:styleId="972">
    <w:name w:val="Strong1"/>
    <w:qFormat/>
    <w:pPr>
      <w:pBdr/>
      <w:spacing/>
      <w:ind/>
    </w:pPr>
    <w:rPr>
      <w:rFonts w:ascii="Times New Roman" w:hAnsi="Times New Roman" w:eastAsia="Times New Roman" w:cs="Times New Roman"/>
      <w:b/>
      <w:bCs/>
      <w:color w:val="000000"/>
      <w:sz w:val="24"/>
      <w:szCs w:val="24"/>
    </w:rPr>
  </w:style>
  <w:style w:type="character" w:styleId="973">
    <w:name w:val="Тема примечания Знак"/>
    <w:qFormat/>
    <w:pPr>
      <w:pBdr/>
      <w:spacing/>
      <w:ind/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character" w:styleId="974">
    <w:name w:val="Текст выноски Знак"/>
    <w:qFormat/>
    <w:pPr>
      <w:pBdr/>
      <w:spacing/>
      <w:ind/>
    </w:pPr>
    <w:rPr>
      <w:rFonts w:ascii="Tahoma" w:hAnsi="Tahoma" w:eastAsia="Times New Roman" w:cs="Tahoma"/>
      <w:color w:val="000000"/>
      <w:sz w:val="16"/>
      <w:szCs w:val="16"/>
      <w:lang w:eastAsia="ru-RU"/>
    </w:rPr>
  </w:style>
  <w:style w:type="character" w:styleId="975">
    <w:name w:val="Основной текст 2 Знак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character" w:styleId="976">
    <w:name w:val="Основной текст 3 Знак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character" w:styleId="977">
    <w:name w:val="Основной текст с отступом 2 Знак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character" w:styleId="978">
    <w:name w:val="Нижний колонтитул Знак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character" w:styleId="979">
    <w:name w:val="Основной текст с отступом Знак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980">
    <w:name w:val="Footnote Reference1"/>
    <w:qFormat/>
    <w:pPr>
      <w:pBdr/>
      <w:spacing/>
      <w:ind/>
    </w:pPr>
    <w:rPr>
      <w:vertAlign w:val="superscript"/>
    </w:rPr>
  </w:style>
  <w:style w:type="character" w:styleId="981">
    <w:name w:val="Endnote Text Char"/>
    <w:qFormat/>
    <w:pPr>
      <w:pBdr/>
      <w:spacing/>
      <w:ind/>
    </w:pPr>
    <w:rPr>
      <w:sz w:val="20"/>
    </w:rPr>
  </w:style>
  <w:style w:type="character" w:styleId="982">
    <w:name w:val="Footnote Text Char"/>
    <w:qFormat/>
    <w:pPr>
      <w:pBdr/>
      <w:spacing/>
      <w:ind/>
    </w:pPr>
    <w:rPr>
      <w:sz w:val="18"/>
    </w:rPr>
  </w:style>
  <w:style w:type="character" w:styleId="983">
    <w:name w:val="Caption Char"/>
    <w:qFormat/>
    <w:pPr>
      <w:pBdr/>
      <w:spacing/>
      <w:ind/>
    </w:pPr>
  </w:style>
  <w:style w:type="character" w:styleId="984">
    <w:name w:val="Footer Char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985">
    <w:name w:val="Header Char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986">
    <w:name w:val="Intense Quote Char"/>
    <w:qFormat/>
    <w:pPr>
      <w:pBdr/>
      <w:spacing/>
      <w:ind/>
    </w:pPr>
    <w:rPr>
      <w:i/>
    </w:rPr>
  </w:style>
  <w:style w:type="character" w:styleId="987">
    <w:name w:val="Quote Char"/>
    <w:qFormat/>
    <w:pPr>
      <w:pBdr/>
      <w:spacing/>
      <w:ind/>
    </w:pPr>
    <w:rPr>
      <w:i/>
    </w:rPr>
  </w:style>
  <w:style w:type="character" w:styleId="988">
    <w:name w:val="Subtitle Char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989">
    <w:name w:val="Title Char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48"/>
      <w:szCs w:val="48"/>
    </w:rPr>
  </w:style>
  <w:style w:type="character" w:styleId="990">
    <w:name w:val="Heading 9 Char"/>
    <w:qFormat/>
    <w:pPr>
      <w:pBdr/>
      <w:spacing/>
      <w:ind/>
    </w:pPr>
    <w:rPr>
      <w:rFonts w:ascii="Arial" w:hAnsi="Arial" w:eastAsia="Arial"/>
      <w:i/>
      <w:iCs/>
      <w:color w:val="000000"/>
      <w:sz w:val="21"/>
      <w:szCs w:val="21"/>
    </w:rPr>
  </w:style>
  <w:style w:type="character" w:styleId="991">
    <w:name w:val="Heading 8 Char"/>
    <w:qFormat/>
    <w:pPr>
      <w:pBdr/>
      <w:spacing/>
      <w:ind/>
    </w:pPr>
    <w:rPr>
      <w:rFonts w:ascii="Arial" w:hAnsi="Arial" w:eastAsia="Arial"/>
      <w:i/>
      <w:iCs/>
      <w:color w:val="000000"/>
    </w:rPr>
  </w:style>
  <w:style w:type="character" w:styleId="992">
    <w:name w:val="Heading 7 Char"/>
    <w:qFormat/>
    <w:pPr>
      <w:pBdr/>
      <w:spacing/>
      <w:ind/>
    </w:pPr>
    <w:rPr>
      <w:rFonts w:ascii="Arial" w:hAnsi="Arial" w:eastAsia="Arial"/>
      <w:b/>
      <w:bCs/>
      <w:i/>
      <w:iCs/>
      <w:color w:val="000000"/>
    </w:rPr>
  </w:style>
  <w:style w:type="character" w:styleId="993">
    <w:name w:val="Heading 6 Char"/>
    <w:qFormat/>
    <w:pPr>
      <w:pBdr/>
      <w:spacing/>
      <w:ind/>
    </w:pPr>
    <w:rPr>
      <w:rFonts w:ascii="Arial" w:hAnsi="Arial" w:eastAsia="Arial"/>
      <w:b/>
      <w:bCs/>
      <w:color w:val="000000"/>
    </w:rPr>
  </w:style>
  <w:style w:type="character" w:styleId="994">
    <w:name w:val="Heading 5 Char"/>
    <w:qFormat/>
    <w:pPr>
      <w:pBdr/>
      <w:spacing/>
      <w:ind/>
    </w:pPr>
    <w:rPr>
      <w:rFonts w:ascii="Arial" w:hAnsi="Arial" w:eastAsia="Arial"/>
      <w:b/>
      <w:bCs/>
      <w:color w:val="000000"/>
      <w:sz w:val="24"/>
      <w:szCs w:val="24"/>
    </w:rPr>
  </w:style>
  <w:style w:type="character" w:styleId="995">
    <w:name w:val="Heading 4 Char"/>
    <w:qFormat/>
    <w:pPr>
      <w:pBdr/>
      <w:spacing/>
      <w:ind/>
    </w:pPr>
    <w:rPr>
      <w:rFonts w:ascii="Arial" w:hAnsi="Arial" w:eastAsia="Arial"/>
      <w:b/>
      <w:bCs/>
      <w:color w:val="000000"/>
      <w:sz w:val="26"/>
      <w:szCs w:val="26"/>
    </w:rPr>
  </w:style>
  <w:style w:type="character" w:styleId="996">
    <w:name w:val="Heading 3 Char"/>
    <w:qFormat/>
    <w:pPr>
      <w:pBdr/>
      <w:spacing/>
      <w:ind/>
    </w:pPr>
    <w:rPr>
      <w:rFonts w:ascii="Arial" w:hAnsi="Arial" w:eastAsia="Arial"/>
      <w:color w:val="000000"/>
      <w:sz w:val="30"/>
      <w:szCs w:val="30"/>
    </w:rPr>
  </w:style>
  <w:style w:type="character" w:styleId="997">
    <w:name w:val="Heading 2 Char"/>
    <w:qFormat/>
    <w:pPr>
      <w:pBdr/>
      <w:spacing/>
      <w:ind/>
    </w:pPr>
    <w:rPr>
      <w:rFonts w:ascii="Arial" w:hAnsi="Arial" w:eastAsia="Arial"/>
      <w:color w:val="000000"/>
      <w:sz w:val="34"/>
      <w:szCs w:val="24"/>
    </w:rPr>
  </w:style>
  <w:style w:type="character" w:styleId="998">
    <w:name w:val="Heading 1 Char"/>
    <w:qFormat/>
    <w:pPr>
      <w:pBdr/>
      <w:spacing/>
      <w:ind/>
    </w:pPr>
    <w:rPr>
      <w:rFonts w:ascii="Arial" w:hAnsi="Arial" w:eastAsia="Arial"/>
      <w:color w:val="000000"/>
      <w:sz w:val="40"/>
      <w:szCs w:val="40"/>
    </w:rPr>
  </w:style>
  <w:style w:type="character" w:styleId="999">
    <w:name w:val="WW8Num19z2"/>
    <w:qFormat/>
    <w:pPr>
      <w:pBdr/>
      <w:spacing/>
      <w:ind/>
    </w:pPr>
    <w:rPr>
      <w:color w:val="000000"/>
      <w:sz w:val="20"/>
      <w:szCs w:val="20"/>
    </w:rPr>
  </w:style>
  <w:style w:type="character" w:styleId="1000">
    <w:name w:val="WW8Num19z1"/>
    <w:qFormat/>
    <w:pPr>
      <w:pBdr/>
      <w:spacing/>
      <w:ind/>
    </w:pPr>
    <w:rPr>
      <w:b/>
      <w:bCs/>
      <w:color w:val="000000"/>
      <w:sz w:val="20"/>
      <w:szCs w:val="24"/>
    </w:rPr>
  </w:style>
  <w:style w:type="character" w:styleId="1001">
    <w:name w:val="WW8Num19z0"/>
    <w:qFormat/>
    <w:pPr>
      <w:pBdr/>
      <w:spacing/>
      <w:ind/>
    </w:pPr>
    <w:rPr>
      <w:b/>
      <w:bCs w:val="0"/>
      <w:sz w:val="24"/>
      <w:szCs w:val="24"/>
    </w:rPr>
  </w:style>
  <w:style w:type="character" w:styleId="1002">
    <w:name w:val="WW8Num18z2"/>
    <w:qFormat/>
    <w:pPr>
      <w:pBdr/>
      <w:spacing/>
      <w:ind/>
    </w:pPr>
    <w:rPr>
      <w:color w:val="000000"/>
      <w:sz w:val="20"/>
      <w:szCs w:val="20"/>
    </w:rPr>
  </w:style>
  <w:style w:type="character" w:styleId="1003">
    <w:name w:val="WW8Num18z1"/>
    <w:qFormat/>
    <w:pPr>
      <w:pBdr/>
      <w:spacing/>
      <w:ind/>
    </w:pPr>
    <w:rPr>
      <w:b/>
      <w:bCs/>
      <w:color w:val="000000"/>
      <w:sz w:val="20"/>
      <w:szCs w:val="24"/>
    </w:rPr>
  </w:style>
  <w:style w:type="character" w:styleId="1004">
    <w:name w:val="WW8Num18z0"/>
    <w:qFormat/>
    <w:pPr>
      <w:pBdr/>
      <w:spacing/>
      <w:ind/>
    </w:pPr>
    <w:rPr>
      <w:b/>
      <w:bCs w:val="0"/>
      <w:sz w:val="24"/>
      <w:szCs w:val="24"/>
    </w:rPr>
  </w:style>
  <w:style w:type="character" w:styleId="1005">
    <w:name w:val="WW8Num17z2"/>
    <w:qFormat/>
    <w:pPr>
      <w:pBdr/>
      <w:spacing/>
      <w:ind/>
    </w:pPr>
    <w:rPr>
      <w:color w:val="000000"/>
      <w:sz w:val="20"/>
      <w:szCs w:val="20"/>
    </w:rPr>
  </w:style>
  <w:style w:type="character" w:styleId="1006">
    <w:name w:val="WW8Num17z1"/>
    <w:qFormat/>
    <w:pPr>
      <w:pBdr/>
      <w:spacing/>
      <w:ind/>
    </w:pPr>
    <w:rPr>
      <w:b/>
      <w:bCs/>
      <w:color w:val="000000"/>
      <w:sz w:val="20"/>
      <w:szCs w:val="24"/>
    </w:rPr>
  </w:style>
  <w:style w:type="character" w:styleId="1007">
    <w:name w:val="WW8Num17z0"/>
    <w:qFormat/>
    <w:pPr>
      <w:pBdr/>
      <w:spacing/>
      <w:ind/>
    </w:pPr>
    <w:rPr>
      <w:b/>
      <w:bCs w:val="0"/>
      <w:sz w:val="24"/>
      <w:szCs w:val="24"/>
    </w:rPr>
  </w:style>
  <w:style w:type="character" w:styleId="1008">
    <w:name w:val="WW8Num16z2"/>
    <w:qFormat/>
    <w:pPr>
      <w:pBdr/>
      <w:spacing/>
      <w:ind/>
    </w:pPr>
    <w:rPr>
      <w:color w:val="000000"/>
      <w:sz w:val="20"/>
      <w:szCs w:val="20"/>
    </w:rPr>
  </w:style>
  <w:style w:type="character" w:styleId="1009">
    <w:name w:val="WW8Num16z1"/>
    <w:qFormat/>
    <w:pPr>
      <w:pBdr/>
      <w:spacing/>
      <w:ind/>
    </w:pPr>
    <w:rPr>
      <w:b/>
      <w:bCs/>
      <w:color w:val="000000"/>
      <w:sz w:val="20"/>
      <w:szCs w:val="24"/>
    </w:rPr>
  </w:style>
  <w:style w:type="character" w:styleId="1010">
    <w:name w:val="WW8Num16z0"/>
    <w:qFormat/>
    <w:pPr>
      <w:pBdr/>
      <w:spacing/>
      <w:ind/>
    </w:pPr>
    <w:rPr>
      <w:b/>
      <w:bCs w:val="0"/>
      <w:sz w:val="24"/>
      <w:szCs w:val="24"/>
    </w:rPr>
  </w:style>
  <w:style w:type="character" w:styleId="1011">
    <w:name w:val="WW8Num15z2"/>
    <w:qFormat/>
    <w:pPr>
      <w:pBdr/>
      <w:spacing/>
      <w:ind/>
    </w:pPr>
    <w:rPr>
      <w:color w:val="000000"/>
      <w:sz w:val="20"/>
      <w:szCs w:val="20"/>
    </w:rPr>
  </w:style>
  <w:style w:type="character" w:styleId="1012">
    <w:name w:val="WW8Num15z1"/>
    <w:qFormat/>
    <w:pPr>
      <w:pBdr/>
      <w:spacing/>
      <w:ind/>
    </w:pPr>
    <w:rPr>
      <w:b/>
      <w:bCs/>
      <w:color w:val="000000"/>
      <w:sz w:val="20"/>
      <w:szCs w:val="24"/>
    </w:rPr>
  </w:style>
  <w:style w:type="character" w:styleId="1013">
    <w:name w:val="WW8Num15z0"/>
    <w:qFormat/>
    <w:pPr>
      <w:pBdr/>
      <w:spacing/>
      <w:ind/>
    </w:pPr>
    <w:rPr>
      <w:b/>
      <w:bCs w:val="0"/>
      <w:sz w:val="24"/>
      <w:szCs w:val="24"/>
    </w:rPr>
  </w:style>
  <w:style w:type="character" w:styleId="1014">
    <w:name w:val="WW8Num14z2"/>
    <w:qFormat/>
    <w:pPr>
      <w:pBdr/>
      <w:spacing/>
      <w:ind/>
    </w:pPr>
    <w:rPr>
      <w:color w:val="000000"/>
      <w:sz w:val="20"/>
      <w:szCs w:val="20"/>
    </w:rPr>
  </w:style>
  <w:style w:type="character" w:styleId="1015">
    <w:name w:val="WW8Num14z1"/>
    <w:qFormat/>
    <w:pPr>
      <w:pBdr/>
      <w:spacing/>
      <w:ind/>
    </w:pPr>
    <w:rPr>
      <w:b/>
      <w:bCs/>
      <w:color w:val="000000"/>
      <w:sz w:val="20"/>
      <w:szCs w:val="24"/>
    </w:rPr>
  </w:style>
  <w:style w:type="character" w:styleId="1016">
    <w:name w:val="WW8Num14z0"/>
    <w:qFormat/>
    <w:pPr>
      <w:pBdr/>
      <w:spacing/>
      <w:ind/>
    </w:pPr>
    <w:rPr>
      <w:b/>
      <w:bCs w:val="0"/>
      <w:sz w:val="24"/>
      <w:szCs w:val="24"/>
    </w:rPr>
  </w:style>
  <w:style w:type="character" w:styleId="1017">
    <w:name w:val="WW8Num13z2"/>
    <w:qFormat/>
    <w:pPr>
      <w:pBdr/>
      <w:spacing/>
      <w:ind/>
    </w:pPr>
    <w:rPr>
      <w:color w:val="000000"/>
      <w:sz w:val="20"/>
      <w:szCs w:val="20"/>
    </w:rPr>
  </w:style>
  <w:style w:type="character" w:styleId="1018">
    <w:name w:val="WW8Num13z1"/>
    <w:qFormat/>
    <w:pPr>
      <w:pBdr/>
      <w:spacing/>
      <w:ind/>
    </w:pPr>
    <w:rPr>
      <w:b/>
      <w:bCs/>
      <w:color w:val="000000"/>
      <w:sz w:val="20"/>
      <w:szCs w:val="24"/>
    </w:rPr>
  </w:style>
  <w:style w:type="character" w:styleId="1019">
    <w:name w:val="WW8Num13z0"/>
    <w:qFormat/>
    <w:pPr>
      <w:pBdr/>
      <w:spacing/>
      <w:ind/>
    </w:pPr>
    <w:rPr>
      <w:b/>
      <w:bCs w:val="0"/>
      <w:sz w:val="24"/>
      <w:szCs w:val="24"/>
    </w:rPr>
  </w:style>
  <w:style w:type="character" w:styleId="1020">
    <w:name w:val="WW8Num12z2"/>
    <w:qFormat/>
    <w:pPr>
      <w:pBdr/>
      <w:spacing/>
      <w:ind/>
    </w:pPr>
    <w:rPr>
      <w:color w:val="000000"/>
      <w:sz w:val="20"/>
      <w:szCs w:val="20"/>
    </w:rPr>
  </w:style>
  <w:style w:type="character" w:styleId="1021">
    <w:name w:val="WW8Num12z1"/>
    <w:qFormat/>
    <w:pPr>
      <w:pBdr/>
      <w:spacing/>
      <w:ind/>
    </w:pPr>
    <w:rPr>
      <w:b/>
      <w:bCs/>
      <w:color w:val="000000"/>
      <w:sz w:val="20"/>
      <w:szCs w:val="24"/>
    </w:rPr>
  </w:style>
  <w:style w:type="character" w:styleId="1022">
    <w:name w:val="WW8Num12z0"/>
    <w:qFormat/>
    <w:pPr>
      <w:pBdr/>
      <w:spacing/>
      <w:ind/>
    </w:pPr>
    <w:rPr>
      <w:b/>
      <w:bCs w:val="0"/>
      <w:sz w:val="24"/>
      <w:szCs w:val="24"/>
    </w:rPr>
  </w:style>
  <w:style w:type="character" w:styleId="1023">
    <w:name w:val="WW8Num11z2"/>
    <w:qFormat/>
    <w:pPr>
      <w:pBdr/>
      <w:spacing/>
      <w:ind/>
    </w:pPr>
    <w:rPr>
      <w:color w:val="000000"/>
      <w:sz w:val="20"/>
      <w:szCs w:val="20"/>
    </w:rPr>
  </w:style>
  <w:style w:type="character" w:styleId="1024">
    <w:name w:val="WW8Num11z1"/>
    <w:qFormat/>
    <w:pPr>
      <w:pBdr/>
      <w:spacing/>
      <w:ind/>
    </w:pPr>
    <w:rPr>
      <w:b/>
      <w:bCs/>
      <w:color w:val="000000"/>
      <w:sz w:val="20"/>
      <w:szCs w:val="24"/>
    </w:rPr>
  </w:style>
  <w:style w:type="character" w:styleId="1025">
    <w:name w:val="WW8Num11z0"/>
    <w:qFormat/>
    <w:pPr>
      <w:pBdr/>
      <w:spacing/>
      <w:ind/>
    </w:pPr>
    <w:rPr>
      <w:b/>
      <w:bCs w:val="0"/>
      <w:sz w:val="24"/>
      <w:szCs w:val="24"/>
    </w:rPr>
  </w:style>
  <w:style w:type="character" w:styleId="1026">
    <w:name w:val="WW8Num10z2"/>
    <w:qFormat/>
    <w:pPr>
      <w:pBdr/>
      <w:spacing/>
      <w:ind/>
    </w:pPr>
    <w:rPr>
      <w:color w:val="000000"/>
      <w:sz w:val="20"/>
      <w:szCs w:val="20"/>
    </w:rPr>
  </w:style>
  <w:style w:type="character" w:styleId="1027">
    <w:name w:val="WW8Num10z1"/>
    <w:qFormat/>
    <w:pPr>
      <w:pBdr/>
      <w:spacing/>
      <w:ind/>
    </w:pPr>
    <w:rPr>
      <w:b/>
      <w:bCs/>
      <w:color w:val="000000"/>
      <w:sz w:val="20"/>
      <w:szCs w:val="24"/>
    </w:rPr>
  </w:style>
  <w:style w:type="character" w:styleId="1028">
    <w:name w:val="WW8Num10z0"/>
    <w:qFormat/>
    <w:pPr>
      <w:pBdr/>
      <w:spacing/>
      <w:ind/>
    </w:pPr>
    <w:rPr>
      <w:b/>
      <w:bCs w:val="0"/>
      <w:sz w:val="24"/>
      <w:szCs w:val="24"/>
    </w:rPr>
  </w:style>
  <w:style w:type="character" w:styleId="1029">
    <w:name w:val="WW8Num6z2"/>
    <w:qFormat/>
    <w:pPr>
      <w:pBdr/>
      <w:spacing/>
      <w:ind/>
    </w:pPr>
    <w:rPr>
      <w:rFonts w:ascii="Wingdings" w:hAnsi="Wingdings" w:cs="Wingdings"/>
    </w:rPr>
  </w:style>
  <w:style w:type="character" w:styleId="1030">
    <w:name w:val="WW8Num6z1"/>
    <w:qFormat/>
    <w:pPr>
      <w:pBdr/>
      <w:spacing/>
      <w:ind/>
    </w:pPr>
    <w:rPr>
      <w:rFonts w:ascii="Courier New" w:hAnsi="Courier New" w:cs="Courier New"/>
    </w:rPr>
  </w:style>
  <w:style w:type="character" w:styleId="1031">
    <w:name w:val="WW8Num6z0"/>
    <w:qFormat/>
    <w:pPr>
      <w:pBdr/>
      <w:spacing/>
      <w:ind/>
    </w:pPr>
    <w:rPr>
      <w:rFonts w:ascii="Symbol" w:hAnsi="Symbol" w:cs="Symbol"/>
    </w:rPr>
  </w:style>
  <w:style w:type="character" w:styleId="1032">
    <w:name w:val="WW8Num5z1"/>
    <w:qFormat/>
    <w:pPr>
      <w:pBdr/>
      <w:spacing/>
      <w:ind/>
    </w:pPr>
    <w:rPr>
      <w:rFonts w:ascii="Times New Roman" w:hAnsi="Times New Roman"/>
      <w:b/>
      <w:bCs/>
      <w:i w:val="0"/>
      <w:iCs w:val="0"/>
      <w:sz w:val="22"/>
      <w:szCs w:val="22"/>
    </w:rPr>
  </w:style>
  <w:style w:type="character" w:styleId="1033">
    <w:name w:val="WW8Num3z4"/>
    <w:qFormat/>
    <w:pPr>
      <w:pBdr/>
      <w:spacing/>
      <w:ind/>
    </w:pPr>
    <w:rPr>
      <w:rFonts w:ascii="Times New Roman" w:hAnsi="Times New Roman" w:cs="Times New Roman"/>
    </w:rPr>
  </w:style>
  <w:style w:type="character" w:styleId="1034">
    <w:name w:val="WW8Num2z3"/>
    <w:qFormat/>
    <w:pPr>
      <w:pBdr/>
      <w:spacing/>
      <w:ind/>
    </w:pPr>
    <w:rPr>
      <w:rFonts w:ascii="Symbol" w:hAnsi="Symbol" w:cs="Symbol"/>
    </w:rPr>
  </w:style>
  <w:style w:type="character" w:styleId="1035">
    <w:name w:val="WW8Num2z2"/>
    <w:qFormat/>
    <w:pPr>
      <w:pBdr/>
      <w:spacing/>
      <w:ind/>
    </w:pPr>
    <w:rPr>
      <w:rFonts w:ascii="Wingdings" w:hAnsi="Wingdings" w:cs="Wingdings"/>
    </w:rPr>
  </w:style>
  <w:style w:type="character" w:styleId="1036">
    <w:name w:val="WW8Num2z1"/>
    <w:qFormat/>
    <w:pPr>
      <w:pBdr/>
      <w:spacing/>
      <w:ind/>
    </w:pPr>
    <w:rPr>
      <w:rFonts w:ascii="Courier New" w:hAnsi="Courier New" w:cs="Courier New"/>
    </w:rPr>
  </w:style>
  <w:style w:type="character" w:styleId="1037">
    <w:name w:val="WW8Num2z0"/>
    <w:qFormat/>
    <w:pPr>
      <w:pBdr/>
      <w:spacing/>
      <w:ind/>
    </w:pPr>
    <w:rPr>
      <w:rFonts w:ascii="Times New Roman" w:hAnsi="Times New Roman" w:cs="Times New Roman"/>
    </w:rPr>
  </w:style>
  <w:style w:type="paragraph" w:styleId="1038">
    <w:name w:val="Заголовок"/>
    <w:basedOn w:val="886"/>
    <w:next w:val="1039"/>
    <w:qFormat/>
    <w:pPr>
      <w:keepNext w:val="true"/>
      <w:pBdr/>
      <w:spacing w:after="120" w:before="240"/>
      <w:ind/>
    </w:pPr>
    <w:rPr>
      <w:rFonts w:ascii="Liberation Sans" w:hAnsi="Liberation Sans" w:eastAsia="Tahoma" w:cs="Lohit Devanagari"/>
    </w:rPr>
  </w:style>
  <w:style w:type="paragraph" w:styleId="1039">
    <w:name w:val="Body Text"/>
    <w:basedOn w:val="886"/>
    <w:link w:val="926"/>
    <w:pPr>
      <w:pBdr/>
      <w:spacing w:after="120" w:before="0" w:line="11" w:lineRule="atLeast"/>
      <w:ind/>
    </w:pPr>
  </w:style>
  <w:style w:type="paragraph" w:styleId="1040">
    <w:name w:val="List"/>
    <w:basedOn w:val="1039"/>
    <w:pPr>
      <w:pBdr/>
      <w:spacing/>
      <w:ind/>
    </w:pPr>
    <w:rPr>
      <w:rFonts w:cs="Lohit Devanagari"/>
    </w:rPr>
  </w:style>
  <w:style w:type="paragraph" w:styleId="1041">
    <w:name w:val="Caption"/>
    <w:basedOn w:val="886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1042">
    <w:name w:val="Указатель"/>
    <w:basedOn w:val="886"/>
    <w:qFormat/>
    <w:pPr>
      <w:suppressLineNumbers w:val="true"/>
      <w:pBdr/>
      <w:spacing/>
      <w:ind/>
    </w:pPr>
    <w:rPr>
      <w:rFonts w:cs="Lohit Devanagari"/>
    </w:rPr>
  </w:style>
  <w:style w:type="paragraph" w:styleId="1043">
    <w:name w:val="caption1"/>
    <w:basedOn w:val="886"/>
    <w:next w:val="886"/>
    <w:qFormat/>
    <w:pPr>
      <w:pBdr/>
      <w:spacing/>
      <w:ind/>
    </w:pPr>
    <w:rPr>
      <w:rFonts w:eastAsia="Calibri"/>
      <w:b/>
      <w:bCs/>
      <w:color w:val="4f81bd"/>
      <w:sz w:val="18"/>
      <w:szCs w:val="18"/>
    </w:rPr>
  </w:style>
  <w:style w:type="paragraph" w:styleId="1044">
    <w:name w:val="index heading1"/>
    <w:basedOn w:val="1038"/>
    <w:qFormat/>
    <w:pPr>
      <w:pBdr/>
      <w:spacing/>
      <w:ind/>
    </w:pPr>
  </w:style>
  <w:style w:type="paragraph" w:styleId="1045">
    <w:name w:val="Название раздела инструкции"/>
    <w:basedOn w:val="886"/>
    <w:qFormat/>
    <w:pPr>
      <w:pBdr/>
      <w:spacing/>
      <w:ind/>
      <w:jc w:val="center"/>
    </w:pPr>
    <w:rPr>
      <w:b/>
    </w:rPr>
  </w:style>
  <w:style w:type="paragraph" w:styleId="1046">
    <w:name w:val="Раздел положения"/>
    <w:basedOn w:val="886"/>
    <w:qFormat/>
    <w:pPr>
      <w:pBdr/>
      <w:tabs>
        <w:tab w:val="left" w:leader="none" w:pos="360"/>
        <w:tab w:val="clear" w:leader="none" w:pos="708"/>
      </w:tabs>
      <w:spacing w:after="80" w:before="80"/>
      <w:ind w:right="0" w:hanging="360" w:left="360"/>
      <w:jc w:val="center"/>
    </w:pPr>
    <w:rPr>
      <w:b/>
      <w:sz w:val="32"/>
      <w:szCs w:val="32"/>
    </w:rPr>
  </w:style>
  <w:style w:type="paragraph" w:styleId="1047">
    <w:name w:val="Подраздел раздела положения"/>
    <w:basedOn w:val="886"/>
    <w:qFormat/>
    <w:pPr>
      <w:pBdr/>
      <w:tabs>
        <w:tab w:val="left" w:leader="none" w:pos="357"/>
        <w:tab w:val="clear" w:leader="none" w:pos="708"/>
      </w:tabs>
      <w:spacing w:after="80" w:before="80"/>
      <w:ind/>
      <w:jc w:val="both"/>
    </w:pPr>
  </w:style>
  <w:style w:type="paragraph" w:styleId="1048">
    <w:name w:val="footnote text"/>
    <w:basedOn w:val="886"/>
    <w:link w:val="925"/>
    <w:pPr>
      <w:pBdr/>
      <w:spacing/>
      <w:ind/>
    </w:pPr>
    <w:rPr>
      <w:sz w:val="20"/>
      <w:szCs w:val="20"/>
    </w:rPr>
  </w:style>
  <w:style w:type="paragraph" w:styleId="1049">
    <w:name w:val="Шапка 1"/>
    <w:basedOn w:val="886"/>
    <w:qFormat/>
    <w:pPr>
      <w:pBdr>
        <w:bottom w:val="single" w:color="000000" w:sz="24" w:space="1"/>
      </w:pBdr>
      <w:spacing w:after="240" w:before="0"/>
      <w:ind/>
      <w:jc w:val="center"/>
    </w:pPr>
    <w:rPr>
      <w:sz w:val="22"/>
      <w:szCs w:val="22"/>
    </w:rPr>
  </w:style>
  <w:style w:type="paragraph" w:styleId="1050">
    <w:name w:val="Шапка 2"/>
    <w:basedOn w:val="886"/>
    <w:qFormat/>
    <w:pPr>
      <w:pBdr>
        <w:bottom w:val="single" w:color="000000" w:sz="24" w:space="1"/>
      </w:pBdr>
      <w:spacing w:after="120" w:before="0"/>
      <w:ind/>
      <w:jc w:val="center"/>
    </w:pPr>
    <w:rPr>
      <w:b/>
      <w:sz w:val="22"/>
      <w:szCs w:val="22"/>
    </w:rPr>
  </w:style>
  <w:style w:type="paragraph" w:styleId="1051">
    <w:name w:val="Шапка 3"/>
    <w:basedOn w:val="886"/>
    <w:qFormat/>
    <w:pPr>
      <w:pBdr>
        <w:bottom w:val="single" w:color="000000" w:sz="24" w:space="1"/>
      </w:pBdr>
      <w:spacing w:after="360" w:before="240"/>
      <w:ind/>
      <w:jc w:val="center"/>
    </w:pPr>
    <w:rPr>
      <w:b/>
      <w:sz w:val="24"/>
      <w:szCs w:val="24"/>
    </w:rPr>
  </w:style>
  <w:style w:type="paragraph" w:styleId="1052">
    <w:name w:val="Название1"/>
    <w:basedOn w:val="886"/>
    <w:link w:val="913"/>
    <w:qFormat/>
    <w:pPr>
      <w:pBdr/>
      <w:spacing/>
      <w:ind/>
      <w:jc w:val="center"/>
    </w:pPr>
    <w:rPr>
      <w:szCs w:val="20"/>
    </w:rPr>
  </w:style>
  <w:style w:type="paragraph" w:styleId="1053">
    <w:name w:val="Колонтитул"/>
    <w:basedOn w:val="886"/>
    <w:qFormat/>
    <w:pPr>
      <w:pBdr/>
      <w:spacing/>
      <w:ind/>
    </w:pPr>
  </w:style>
  <w:style w:type="paragraph" w:styleId="1054">
    <w:name w:val="Header"/>
    <w:basedOn w:val="886"/>
    <w:link w:val="932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sz w:val="24"/>
      <w:szCs w:val="24"/>
    </w:rPr>
  </w:style>
  <w:style w:type="paragraph" w:styleId="1055">
    <w:name w:val="Body Text Indent"/>
    <w:basedOn w:val="886"/>
    <w:pPr>
      <w:pBdr/>
      <w:spacing/>
      <w:ind w:right="0" w:firstLine="0" w:left="360"/>
    </w:pPr>
    <w:rPr>
      <w:sz w:val="24"/>
      <w:szCs w:val="24"/>
    </w:rPr>
  </w:style>
  <w:style w:type="paragraph" w:styleId="1056">
    <w:name w:val="Footer"/>
    <w:basedOn w:val="886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1057">
    <w:name w:val="Body Text Indent 2"/>
    <w:basedOn w:val="886"/>
    <w:qFormat/>
    <w:pPr>
      <w:pBdr/>
      <w:spacing w:after="120" w:before="0" w:line="480" w:lineRule="auto"/>
      <w:ind w:right="0" w:firstLine="0" w:left="283"/>
    </w:pPr>
  </w:style>
  <w:style w:type="paragraph" w:styleId="1058">
    <w:name w:val="Body Text 3"/>
    <w:basedOn w:val="886"/>
    <w:qFormat/>
    <w:pPr>
      <w:pBdr/>
      <w:spacing w:after="120" w:before="0"/>
      <w:ind/>
    </w:pPr>
    <w:rPr>
      <w:sz w:val="16"/>
      <w:szCs w:val="16"/>
    </w:rPr>
  </w:style>
  <w:style w:type="paragraph" w:styleId="1059">
    <w:name w:val="Body Text Indent 3"/>
    <w:basedOn w:val="886"/>
    <w:link w:val="941"/>
    <w:qFormat/>
    <w:pPr>
      <w:pBdr/>
      <w:spacing w:after="120" w:before="0"/>
      <w:ind w:right="0" w:firstLine="0" w:left="283"/>
    </w:pPr>
    <w:rPr>
      <w:sz w:val="16"/>
      <w:szCs w:val="16"/>
    </w:rPr>
  </w:style>
  <w:style w:type="paragraph" w:styleId="1060">
    <w:name w:val="Body Text 2"/>
    <w:basedOn w:val="886"/>
    <w:qFormat/>
    <w:pPr>
      <w:pBdr/>
      <w:spacing w:after="120" w:before="0" w:line="480" w:lineRule="auto"/>
      <w:ind/>
    </w:pPr>
  </w:style>
  <w:style w:type="paragraph" w:styleId="1061">
    <w:name w:val="Block Text"/>
    <w:basedOn w:val="886"/>
    <w:qFormat/>
    <w:pPr>
      <w:pBdr/>
      <w:spacing/>
      <w:ind w:right="-766" w:firstLine="0" w:left="-567"/>
      <w:jc w:val="center"/>
    </w:pPr>
    <w:rPr>
      <w:b/>
      <w:bCs/>
      <w:sz w:val="24"/>
      <w:szCs w:val="20"/>
    </w:rPr>
  </w:style>
  <w:style w:type="paragraph" w:styleId="1062">
    <w:name w:val="Подпункт"/>
    <w:basedOn w:val="886"/>
    <w:link w:val="924"/>
    <w:qFormat/>
    <w:pPr>
      <w:pBdr/>
      <w:tabs>
        <w:tab w:val="clear" w:leader="none" w:pos="708"/>
        <w:tab w:val="left" w:leader="none" w:pos="1134"/>
      </w:tabs>
      <w:spacing w:line="360" w:lineRule="auto"/>
      <w:ind w:right="0" w:hanging="1134" w:left="1134"/>
      <w:jc w:val="both"/>
    </w:pPr>
    <w:rPr>
      <w:szCs w:val="20"/>
    </w:rPr>
  </w:style>
  <w:style w:type="paragraph" w:styleId="1063">
    <w:name w:val="Пункт2"/>
    <w:basedOn w:val="886"/>
    <w:link w:val="938"/>
    <w:qFormat/>
    <w:pPr>
      <w:keepNext w:val="true"/>
      <w:numPr>
        <w:ilvl w:val="0"/>
        <w:numId w:val="0"/>
      </w:numPr>
      <w:pBdr/>
      <w:tabs>
        <w:tab w:val="clear" w:leader="none" w:pos="708"/>
        <w:tab w:val="left" w:leader="none" w:pos="1134"/>
      </w:tabs>
      <w:spacing w:after="120" w:before="240"/>
      <w:ind w:right="0" w:hanging="1134" w:left="1134"/>
      <w:outlineLvl w:val="2"/>
    </w:pPr>
    <w:rPr>
      <w:b/>
      <w:szCs w:val="20"/>
    </w:rPr>
  </w:style>
  <w:style w:type="paragraph" w:styleId="1064">
    <w:name w:val="TOC 1"/>
    <w:basedOn w:val="886"/>
    <w:next w:val="886"/>
    <w:pPr>
      <w:pBdr/>
      <w:spacing w:after="0" w:before="120"/>
      <w:ind/>
    </w:pPr>
    <w:rPr>
      <w:rFonts w:cs="Calibri Light (Заголовки)"/>
      <w:b/>
      <w:bCs/>
      <w:sz w:val="24"/>
      <w:szCs w:val="24"/>
    </w:rPr>
  </w:style>
  <w:style w:type="paragraph" w:styleId="1065">
    <w:name w:val="TOC 3"/>
    <w:basedOn w:val="886"/>
    <w:next w:val="886"/>
    <w:pPr>
      <w:pBdr/>
      <w:spacing/>
      <w:ind w:right="0" w:firstLine="0" w:left="280"/>
    </w:pPr>
    <w:rPr>
      <w:rFonts w:cs="Calibri"/>
      <w:sz w:val="20"/>
      <w:szCs w:val="20"/>
    </w:rPr>
  </w:style>
  <w:style w:type="paragraph" w:styleId="1066">
    <w:name w:val="Раздел регламента"/>
    <w:basedOn w:val="886"/>
    <w:qFormat/>
    <w:pPr>
      <w:pBdr/>
      <w:spacing/>
      <w:ind/>
    </w:pPr>
  </w:style>
  <w:style w:type="paragraph" w:styleId="1067">
    <w:name w:val="Приложение к регламенту"/>
    <w:basedOn w:val="886"/>
    <w:qFormat/>
    <w:pPr>
      <w:pBdr/>
      <w:spacing/>
      <w:ind/>
      <w:jc w:val="right"/>
    </w:pPr>
  </w:style>
  <w:style w:type="paragraph" w:styleId="1068">
    <w:name w:val="TOC 2"/>
    <w:basedOn w:val="886"/>
    <w:next w:val="886"/>
    <w:pPr>
      <w:pBdr/>
      <w:spacing w:after="0" w:before="240"/>
      <w:ind/>
    </w:pPr>
    <w:rPr>
      <w:rFonts w:cs="Calibri"/>
      <w:b/>
      <w:bCs/>
      <w:sz w:val="20"/>
      <w:szCs w:val="20"/>
    </w:rPr>
  </w:style>
  <w:style w:type="paragraph" w:styleId="1069">
    <w:name w:val="Balloon Text"/>
    <w:basedOn w:val="886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70">
    <w:name w:val="annotation text"/>
    <w:basedOn w:val="886"/>
    <w:link w:val="933"/>
    <w:qFormat/>
    <w:pPr>
      <w:pBdr/>
      <w:spacing/>
      <w:ind/>
    </w:pPr>
    <w:rPr>
      <w:sz w:val="20"/>
      <w:szCs w:val="20"/>
    </w:rPr>
  </w:style>
  <w:style w:type="paragraph" w:styleId="1071">
    <w:name w:val="annotation subject"/>
    <w:basedOn w:val="1070"/>
    <w:next w:val="1070"/>
    <w:qFormat/>
    <w:pPr>
      <w:pBdr/>
      <w:spacing/>
      <w:ind/>
    </w:pPr>
    <w:rPr>
      <w:b/>
      <w:bCs/>
    </w:rPr>
  </w:style>
  <w:style w:type="paragraph" w:styleId="1072">
    <w:name w:val="Обычный (веб)1"/>
    <w:basedOn w:val="886"/>
    <w:qFormat/>
    <w:pPr>
      <w:pBdr/>
      <w:spacing w:after="280" w:before="280"/>
      <w:ind/>
    </w:pPr>
    <w:rPr>
      <w:rFonts w:ascii="Arial Unicode MS" w:hAnsi="Arial Unicode MS" w:eastAsia="Arial Unicode MS" w:cs="Arial Unicode MS"/>
      <w:sz w:val="24"/>
      <w:szCs w:val="24"/>
    </w:rPr>
  </w:style>
  <w:style w:type="paragraph" w:styleId="1073">
    <w:name w:val="TOC 9"/>
    <w:basedOn w:val="886"/>
    <w:next w:val="886"/>
    <w:pPr>
      <w:pBdr/>
      <w:spacing/>
      <w:ind w:right="0" w:firstLine="0" w:left="1960"/>
    </w:pPr>
    <w:rPr>
      <w:rFonts w:ascii="Calibri" w:hAnsi="Calibri" w:cs="Calibri"/>
      <w:sz w:val="20"/>
      <w:szCs w:val="20"/>
    </w:rPr>
  </w:style>
  <w:style w:type="paragraph" w:styleId="1074">
    <w:name w:val="TOC 5"/>
    <w:basedOn w:val="886"/>
    <w:next w:val="886"/>
    <w:pPr>
      <w:pBdr/>
      <w:spacing/>
      <w:ind w:right="0" w:firstLine="0" w:left="840"/>
    </w:pPr>
    <w:rPr>
      <w:rFonts w:ascii="Calibri" w:hAnsi="Calibri" w:cs="Calibri"/>
      <w:sz w:val="20"/>
      <w:szCs w:val="20"/>
    </w:rPr>
  </w:style>
  <w:style w:type="paragraph" w:styleId="1075">
    <w:name w:val="TOC 4"/>
    <w:basedOn w:val="886"/>
    <w:next w:val="886"/>
    <w:pPr>
      <w:pBdr/>
      <w:spacing/>
      <w:ind w:right="0" w:firstLine="0" w:left="560"/>
    </w:pPr>
    <w:rPr>
      <w:rFonts w:cs="Calibri"/>
      <w:sz w:val="20"/>
      <w:szCs w:val="20"/>
    </w:rPr>
  </w:style>
  <w:style w:type="paragraph" w:styleId="1076">
    <w:name w:val="Раздел положения 2"/>
    <w:basedOn w:val="886"/>
    <w:qFormat/>
    <w:pPr>
      <w:pageBreakBefore w:val="true"/>
      <w:numPr>
        <w:ilvl w:val="0"/>
        <w:numId w:val="0"/>
      </w:numPr>
      <w:pBdr/>
      <w:spacing/>
      <w:ind/>
      <w:jc w:val="both"/>
      <w:outlineLvl w:val="0"/>
    </w:pPr>
    <w:rPr>
      <w:b/>
    </w:rPr>
  </w:style>
  <w:style w:type="paragraph" w:styleId="1077">
    <w:name w:val="Знак Знак Знак Знак Знак Знак Знак Знак Знак"/>
    <w:basedOn w:val="886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1078">
    <w:name w:val="No Spacing"/>
    <w:basedOn w:val="886"/>
    <w:qFormat/>
    <w:pPr>
      <w:pBdr/>
      <w:spacing w:line="360" w:lineRule="auto"/>
      <w:ind/>
    </w:pPr>
    <w:rPr>
      <w:rFonts w:eastAsia="Calibri"/>
      <w:sz w:val="24"/>
      <w:szCs w:val="24"/>
    </w:rPr>
  </w:style>
  <w:style w:type="paragraph" w:styleId="1079">
    <w:name w:val="Subtitle"/>
    <w:basedOn w:val="886"/>
    <w:next w:val="886"/>
    <w:link w:val="914"/>
    <w:qFormat/>
    <w:pPr>
      <w:pBdr/>
      <w:spacing/>
      <w:ind w:right="0" w:firstLine="709" w:left="1066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1080">
    <w:name w:val="List Paragraph"/>
    <w:basedOn w:val="886"/>
    <w:link w:val="928"/>
    <w:qFormat/>
    <w:pPr>
      <w:pBdr/>
      <w:spacing w:after="0" w:before="0"/>
      <w:ind w:right="0" w:firstLine="0" w:left="720"/>
      <w:contextualSpacing w:val="true"/>
    </w:pPr>
    <w:rPr>
      <w:rFonts w:eastAsia="Calibri"/>
      <w:sz w:val="24"/>
      <w:szCs w:val="24"/>
    </w:rPr>
  </w:style>
  <w:style w:type="paragraph" w:styleId="1081">
    <w:name w:val="Quote"/>
    <w:basedOn w:val="886"/>
    <w:next w:val="886"/>
    <w:link w:val="916"/>
    <w:qFormat/>
    <w:pPr>
      <w:pBdr/>
      <w:spacing/>
      <w:ind/>
    </w:pPr>
    <w:rPr>
      <w:rFonts w:ascii="Calibri" w:hAnsi="Calibri" w:eastAsia="Calibri"/>
      <w:i/>
      <w:iCs/>
      <w:color w:val="000000"/>
      <w:sz w:val="20"/>
      <w:szCs w:val="20"/>
    </w:rPr>
  </w:style>
  <w:style w:type="paragraph" w:styleId="1082">
    <w:name w:val="Intense Quote"/>
    <w:basedOn w:val="886"/>
    <w:next w:val="886"/>
    <w:link w:val="917"/>
    <w:qFormat/>
    <w:pPr>
      <w:pBdr>
        <w:bottom w:val="single" w:color="4f81bd" w:sz="4" w:space="4"/>
      </w:pBdr>
      <w:spacing w:after="280" w:before="200"/>
      <w:ind w:right="936" w:firstLine="0" w:left="936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1083">
    <w:name w:val="Index Heading"/>
    <w:basedOn w:val="1038"/>
    <w:pPr>
      <w:pBdr/>
      <w:spacing/>
      <w:ind/>
    </w:pPr>
  </w:style>
  <w:style w:type="paragraph" w:styleId="1084">
    <w:name w:val="TOC Heading"/>
    <w:basedOn w:val="887"/>
    <w:next w:val="886"/>
    <w:qFormat/>
    <w:pPr>
      <w:keepLines w:val="true"/>
      <w:pBdr/>
      <w:spacing w:after="60" w:before="480"/>
      <w:ind/>
      <w:outlineLvl w:val="9"/>
    </w:pPr>
    <w:rPr>
      <w:rFonts w:ascii="Cambria" w:hAnsi="Cambria"/>
      <w:bCs/>
      <w:color w:val="365f91"/>
    </w:rPr>
  </w:style>
  <w:style w:type="paragraph" w:styleId="1085">
    <w:name w:val="E-mail Signature"/>
    <w:basedOn w:val="886"/>
    <w:link w:val="923"/>
    <w:qFormat/>
    <w:pPr>
      <w:pBdr/>
      <w:spacing/>
      <w:ind/>
    </w:pPr>
    <w:rPr>
      <w:rFonts w:eastAsia="Calibri"/>
      <w:sz w:val="24"/>
      <w:szCs w:val="24"/>
    </w:rPr>
  </w:style>
  <w:style w:type="paragraph" w:styleId="1086">
    <w:name w:val="Знак"/>
    <w:basedOn w:val="886"/>
    <w:qFormat/>
    <w:pPr>
      <w:pBdr/>
      <w:spacing w:after="160" w:before="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1087">
    <w:name w:val="Нумерованный список ур3"/>
    <w:basedOn w:val="886"/>
    <w:qFormat/>
    <w:pPr>
      <w:pBdr/>
      <w:tabs>
        <w:tab w:val="clear" w:leader="none" w:pos="708"/>
        <w:tab w:val="left" w:leader="none" w:pos="1233"/>
      </w:tabs>
      <w:spacing/>
      <w:ind w:right="0" w:hanging="360" w:left="1233"/>
      <w:jc w:val="both"/>
    </w:pPr>
    <w:rPr>
      <w:rFonts w:ascii="Garamond" w:hAnsi="Garamond"/>
      <w:sz w:val="24"/>
      <w:szCs w:val="20"/>
    </w:rPr>
  </w:style>
  <w:style w:type="paragraph" w:styleId="1088">
    <w:name w:val="Маркированный список 41"/>
    <w:basedOn w:val="886"/>
    <w:qFormat/>
    <w:pPr>
      <w:pBdr/>
      <w:tabs>
        <w:tab w:val="left" w:leader="none" w:pos="0"/>
        <w:tab w:val="clear" w:leader="none" w:pos="708"/>
      </w:tabs>
      <w:spacing w:after="0" w:before="120"/>
      <w:ind w:right="0" w:hanging="360" w:left="-207"/>
      <w:jc w:val="both"/>
    </w:pPr>
    <w:rPr>
      <w:rFonts w:ascii="Garamond" w:hAnsi="Garamond"/>
      <w:sz w:val="24"/>
      <w:szCs w:val="20"/>
    </w:rPr>
  </w:style>
  <w:style w:type="paragraph" w:styleId="1089">
    <w:name w:val="Нумерованный список ур2"/>
    <w:basedOn w:val="886"/>
    <w:qFormat/>
    <w:pPr>
      <w:pBdr/>
      <w:tabs>
        <w:tab w:val="left" w:leader="none" w:pos="513"/>
        <w:tab w:val="clear" w:leader="none" w:pos="708"/>
      </w:tabs>
      <w:spacing w:after="0" w:before="120"/>
      <w:ind w:right="0" w:hanging="360" w:left="513"/>
      <w:jc w:val="both"/>
    </w:pPr>
    <w:rPr>
      <w:rFonts w:ascii="Garamond" w:hAnsi="Garamond"/>
      <w:sz w:val="24"/>
      <w:szCs w:val="20"/>
    </w:rPr>
  </w:style>
  <w:style w:type="paragraph" w:styleId="1090">
    <w:name w:val="Revision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Calibri" w:cs="Times New Roman"/>
      <w:color w:val="auto"/>
      <w:sz w:val="24"/>
      <w:szCs w:val="24"/>
      <w:lang w:val="ru-RU" w:eastAsia="ru-RU" w:bidi="ar-SA"/>
    </w:rPr>
  </w:style>
  <w:style w:type="paragraph" w:styleId="1091">
    <w:name w:val="ConsPlusNormal"/>
    <w:qFormat/>
    <w:pPr>
      <w:widowControl w:val="false"/>
      <w:pBdr/>
      <w:bidi w:val="false"/>
      <w:spacing w:after="0" w:before="0"/>
      <w:ind w:right="0" w:firstLine="720" w:left="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1092">
    <w:name w:val="Знак Знак3 Знак Знак"/>
    <w:basedOn w:val="886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1093">
    <w:name w:val="Пункт"/>
    <w:basedOn w:val="886"/>
    <w:qFormat/>
    <w:pPr>
      <w:widowControl w:val="false"/>
      <w:pBdr/>
      <w:tabs>
        <w:tab w:val="clear" w:leader="none" w:pos="708"/>
        <w:tab w:val="left" w:leader="none" w:pos="1134"/>
      </w:tabs>
      <w:spacing w:after="0" w:before="120" w:line="360" w:lineRule="auto"/>
      <w:ind w:right="800" w:hanging="1134" w:left="1134"/>
      <w:jc w:val="both"/>
    </w:pPr>
    <w:rPr>
      <w:rFonts w:ascii="Arial" w:hAnsi="Arial"/>
      <w:b/>
      <w:i/>
      <w:szCs w:val="20"/>
    </w:rPr>
  </w:style>
  <w:style w:type="paragraph" w:styleId="1094">
    <w:name w:val="Абзац списка1"/>
    <w:basedOn w:val="886"/>
    <w:qFormat/>
    <w:pPr>
      <w:pBdr/>
      <w:spacing w:after="200" w:before="0" w:line="276" w:lineRule="auto"/>
      <w:ind w:right="0" w:firstLine="0" w:left="720"/>
      <w:contextualSpacing w:val="true"/>
    </w:pPr>
    <w:rPr>
      <w:rFonts w:ascii="Calibri" w:hAnsi="Calibri"/>
      <w:sz w:val="22"/>
      <w:szCs w:val="22"/>
      <w:lang w:eastAsia="en-US"/>
    </w:rPr>
  </w:style>
  <w:style w:type="paragraph" w:styleId="1095">
    <w:name w:val="Таблица"/>
    <w:basedOn w:val="886"/>
    <w:qFormat/>
    <w:pPr>
      <w:keepNext w:val="true"/>
      <w:pBdr/>
      <w:spacing w:after="60" w:before="60"/>
      <w:ind/>
      <w:jc w:val="center"/>
    </w:pPr>
    <w:rPr>
      <w:rFonts w:eastAsia="Calibri"/>
      <w:b/>
      <w:sz w:val="24"/>
      <w:szCs w:val="24"/>
    </w:rPr>
  </w:style>
  <w:style w:type="paragraph" w:styleId="1096">
    <w:name w:val="Таблица шапка"/>
    <w:basedOn w:val="886"/>
    <w:qFormat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1097">
    <w:name w:val="Подподпункт"/>
    <w:basedOn w:val="1062"/>
    <w:link w:val="930"/>
    <w:qFormat/>
    <w:pPr>
      <w:pBdr/>
      <w:tabs>
        <w:tab w:val="clear" w:leader="none" w:pos="1134"/>
        <w:tab w:val="left" w:leader="none" w:pos="5104"/>
      </w:tabs>
      <w:spacing w:after="0" w:before="120" w:line="240" w:lineRule="auto"/>
      <w:ind w:right="0" w:hanging="567" w:left="5104"/>
    </w:pPr>
    <w:rPr>
      <w:sz w:val="26"/>
      <w:szCs w:val="26"/>
      <w:lang w:val="ru-RU" w:eastAsia="ru-RU"/>
    </w:rPr>
  </w:style>
  <w:style w:type="paragraph" w:styleId="1098">
    <w:name w:val="УРОВЕНЬ_(а)"/>
    <w:basedOn w:val="1080"/>
    <w:qFormat/>
    <w:pPr>
      <w:numPr>
        <w:ilvl w:val="0"/>
        <w:numId w:val="0"/>
      </w:numPr>
      <w:pBdr/>
      <w:tabs>
        <w:tab w:val="left" w:leader="none" w:pos="0"/>
        <w:tab w:val="clear" w:leader="none" w:pos="708"/>
      </w:tabs>
      <w:spacing w:after="0" w:before="120" w:line="360" w:lineRule="exact"/>
      <w:ind w:right="0" w:hanging="567" w:left="1985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1099">
    <w:name w:val="УРОВЕНЬ_-"/>
    <w:basedOn w:val="1080"/>
    <w:qFormat/>
    <w:pPr>
      <w:numPr>
        <w:ilvl w:val="0"/>
        <w:numId w:val="0"/>
      </w:numPr>
      <w:pBdr/>
      <w:tabs>
        <w:tab w:val="left" w:leader="none" w:pos="0"/>
        <w:tab w:val="clear" w:leader="none" w:pos="708"/>
      </w:tabs>
      <w:spacing w:after="0" w:before="120" w:line="360" w:lineRule="exact"/>
      <w:ind w:right="0" w:hanging="567" w:left="2268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1100">
    <w:name w:val="УРОВЕНЬ_Абзац_тип2"/>
    <w:basedOn w:val="1080"/>
    <w:qFormat/>
    <w:pPr>
      <w:pBdr/>
      <w:tabs>
        <w:tab w:val="left" w:leader="none" w:pos="0"/>
        <w:tab w:val="clear" w:leader="none" w:pos="708"/>
      </w:tabs>
      <w:spacing w:after="0" w:before="120" w:line="360" w:lineRule="exact"/>
      <w:ind w:right="0" w:firstLine="0" w:left="1701"/>
      <w:contextualSpacing w:val="false"/>
      <w:jc w:val="both"/>
    </w:pPr>
    <w:rPr>
      <w:sz w:val="26"/>
      <w:szCs w:val="28"/>
      <w:lang w:eastAsia="en-US"/>
    </w:rPr>
  </w:style>
  <w:style w:type="paragraph" w:styleId="1101">
    <w:name w:val="УРОВЕНЬ_Абзац_тип3"/>
    <w:basedOn w:val="1080"/>
    <w:link w:val="931"/>
    <w:qFormat/>
    <w:pPr>
      <w:pBdr/>
      <w:tabs>
        <w:tab w:val="left" w:leader="none" w:pos="0"/>
        <w:tab w:val="clear" w:leader="none" w:pos="708"/>
      </w:tabs>
      <w:spacing w:after="0" w:before="120" w:line="360" w:lineRule="exact"/>
      <w:ind w:right="0" w:firstLine="0" w:left="0"/>
      <w:contextualSpacing w:val="false"/>
      <w:jc w:val="both"/>
    </w:pPr>
    <w:rPr>
      <w:sz w:val="26"/>
      <w:szCs w:val="28"/>
      <w:lang w:eastAsia="en-US"/>
    </w:rPr>
  </w:style>
  <w:style w:type="paragraph" w:styleId="1102">
    <w:name w:val="УРОВЕНЬ_Подпись"/>
    <w:basedOn w:val="1080"/>
    <w:qFormat/>
    <w:pPr>
      <w:keepNext w:val="true"/>
      <w:numPr>
        <w:ilvl w:val="0"/>
        <w:numId w:val="0"/>
      </w:numPr>
      <w:pBdr/>
      <w:tabs>
        <w:tab w:val="left" w:leader="none" w:pos="0"/>
        <w:tab w:val="clear" w:leader="none" w:pos="708"/>
      </w:tabs>
      <w:spacing w:after="120" w:before="120" w:line="360" w:lineRule="exact"/>
      <w:ind w:right="0" w:firstLine="0" w:left="1134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03">
    <w:name w:val="Стиль Заголовок 1 + по ширине"/>
    <w:basedOn w:val="887"/>
    <w:qFormat/>
    <w:pPr>
      <w:keepLines w:val="true"/>
      <w:pBdr/>
      <w:tabs>
        <w:tab w:val="clear" w:leader="none" w:pos="0"/>
        <w:tab w:val="left" w:leader="none" w:pos="567"/>
      </w:tabs>
      <w:spacing w:after="240" w:before="480"/>
      <w:ind w:right="0" w:hanging="567" w:left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1104">
    <w:name w:val="endnote text"/>
    <w:basedOn w:val="886"/>
    <w:link w:val="934"/>
    <w:pPr>
      <w:pBdr/>
      <w:spacing/>
      <w:ind/>
    </w:pPr>
    <w:rPr>
      <w:sz w:val="20"/>
      <w:szCs w:val="20"/>
    </w:rPr>
  </w:style>
  <w:style w:type="paragraph" w:styleId="1105">
    <w:name w:val="Заголовок 2 КВВ"/>
    <w:basedOn w:val="886"/>
    <w:qFormat/>
    <w:pPr>
      <w:keepNext w:val="true"/>
      <w:numPr>
        <w:ilvl w:val="0"/>
        <w:numId w:val="0"/>
      </w:numPr>
      <w:pBdr/>
      <w:tabs>
        <w:tab w:val="left" w:leader="none" w:pos="0"/>
        <w:tab w:val="clear" w:leader="none" w:pos="708"/>
      </w:tabs>
      <w:spacing w:after="120" w:before="120"/>
      <w:ind w:right="0" w:hanging="360" w:left="1429"/>
      <w:jc w:val="both"/>
      <w:outlineLvl w:val="0"/>
    </w:pPr>
    <w:rPr>
      <w:b/>
      <w:sz w:val="24"/>
      <w:szCs w:val="20"/>
    </w:rPr>
  </w:style>
  <w:style w:type="paragraph" w:styleId="1106">
    <w:name w:val="Таблица текст"/>
    <w:basedOn w:val="886"/>
    <w:qFormat/>
    <w:pPr>
      <w:pBdr/>
      <w:spacing w:after="40" w:before="40"/>
      <w:ind w:right="57" w:firstLine="0" w:left="57"/>
    </w:pPr>
    <w:rPr>
      <w:sz w:val="24"/>
      <w:szCs w:val="26"/>
    </w:rPr>
  </w:style>
  <w:style w:type="paragraph" w:styleId="1107">
    <w:name w:val="Normal (Web)"/>
    <w:basedOn w:val="886"/>
    <w:qFormat/>
    <w:pPr>
      <w:pBdr/>
      <w:spacing w:after="280" w:before="280"/>
      <w:ind/>
    </w:pPr>
    <w:rPr>
      <w:sz w:val="24"/>
      <w:szCs w:val="24"/>
    </w:rPr>
  </w:style>
  <w:style w:type="paragraph" w:styleId="1108">
    <w:name w:val="УРОВЕНЬ_1."/>
    <w:basedOn w:val="1080"/>
    <w:link w:val="939"/>
    <w:qFormat/>
    <w:pPr>
      <w:keepNext w:val="true"/>
      <w:keepLines w:val="true"/>
      <w:numPr>
        <w:ilvl w:val="0"/>
        <w:numId w:val="0"/>
      </w:numPr>
      <w:pBdr/>
      <w:spacing w:after="120" w:before="240" w:line="276" w:lineRule="auto"/>
      <w:ind w:right="0" w:firstLine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1109">
    <w:name w:val="TOC 6"/>
    <w:basedOn w:val="886"/>
    <w:next w:val="886"/>
    <w:pPr>
      <w:pBdr/>
      <w:spacing/>
      <w:ind w:right="0" w:firstLine="0" w:left="1120"/>
    </w:pPr>
    <w:rPr>
      <w:rFonts w:ascii="Calibri" w:hAnsi="Calibri" w:cs="Calibri"/>
      <w:sz w:val="20"/>
      <w:szCs w:val="20"/>
    </w:rPr>
  </w:style>
  <w:style w:type="paragraph" w:styleId="1110">
    <w:name w:val="TOC 7"/>
    <w:basedOn w:val="886"/>
    <w:next w:val="886"/>
    <w:pPr>
      <w:pBdr/>
      <w:spacing/>
      <w:ind w:right="0" w:firstLine="0" w:left="1400"/>
    </w:pPr>
    <w:rPr>
      <w:rFonts w:ascii="Calibri" w:hAnsi="Calibri" w:cs="Calibri"/>
      <w:sz w:val="20"/>
      <w:szCs w:val="20"/>
    </w:rPr>
  </w:style>
  <w:style w:type="paragraph" w:styleId="1111">
    <w:name w:val="TOC 8"/>
    <w:basedOn w:val="886"/>
    <w:next w:val="886"/>
    <w:pPr>
      <w:pBdr/>
      <w:spacing/>
      <w:ind w:right="0" w:firstLine="0" w:left="1680"/>
    </w:pPr>
    <w:rPr>
      <w:rFonts w:ascii="Calibri" w:hAnsi="Calibri" w:cs="Calibri"/>
      <w:sz w:val="20"/>
      <w:szCs w:val="20"/>
    </w:rPr>
  </w:style>
  <w:style w:type="paragraph" w:styleId="1112">
    <w:name w:val="Содержимое врезки"/>
    <w:basedOn w:val="886"/>
    <w:qFormat/>
    <w:pPr>
      <w:pBdr/>
      <w:spacing/>
      <w:ind/>
    </w:pPr>
  </w:style>
  <w:style w:type="paragraph" w:styleId="1113">
    <w:name w:val="jss457"/>
    <w:basedOn w:val="886"/>
    <w:qFormat/>
    <w:pPr>
      <w:pBdr/>
      <w:spacing w:after="280" w:before="280"/>
      <w:ind/>
    </w:pPr>
    <w:rPr>
      <w:sz w:val="24"/>
      <w:szCs w:val="24"/>
    </w:rPr>
  </w:style>
  <w:style w:type="paragraph" w:styleId="1114">
    <w:name w:val="app-catalog-10ib5jr"/>
    <w:basedOn w:val="886"/>
    <w:qFormat/>
    <w:pPr>
      <w:pBdr/>
      <w:spacing w:after="280" w:before="280"/>
      <w:ind/>
    </w:pPr>
    <w:rPr>
      <w:sz w:val="24"/>
      <w:szCs w:val="24"/>
    </w:rPr>
  </w:style>
  <w:style w:type="paragraph" w:styleId="1115">
    <w:name w:val="Содержимое таблицы"/>
    <w:basedOn w:val="886"/>
    <w:qFormat/>
    <w:pPr>
      <w:widowControl w:val="false"/>
      <w:suppressLineNumbers w:val="true"/>
      <w:pBdr/>
      <w:spacing/>
      <w:ind/>
    </w:pPr>
  </w:style>
  <w:style w:type="paragraph" w:styleId="1116">
    <w:name w:val="Заголовок таблицы"/>
    <w:basedOn w:val="1115"/>
    <w:qFormat/>
    <w:pPr>
      <w:suppressLineNumbers w:val="true"/>
      <w:pBdr/>
      <w:spacing/>
      <w:ind/>
      <w:jc w:val="center"/>
    </w:pPr>
    <w:rPr>
      <w:b/>
      <w:bCs/>
    </w:rPr>
  </w:style>
  <w:style w:type="paragraph" w:styleId="1117">
    <w:name w:val="msonormal"/>
    <w:basedOn w:val="886"/>
    <w:qFormat/>
    <w:pPr>
      <w:pBdr/>
      <w:spacing w:after="280" w:before="280" w:line="252" w:lineRule="exact"/>
      <w:ind/>
    </w:pPr>
    <w:rPr>
      <w:rFonts w:ascii="Times New Roman" w:hAnsi="Times New Roman" w:eastAsia="Times New Roman" w:cs="Times New Roman"/>
      <w:lang w:eastAsia="ru-RU"/>
    </w:rPr>
  </w:style>
  <w:style w:type="paragraph" w:styleId="1118">
    <w:name w:val="Список 31"/>
    <w:basedOn w:val="886"/>
    <w:qFormat/>
    <w:pPr>
      <w:pBdr/>
      <w:tabs>
        <w:tab w:val="left" w:leader="none" w:pos="0"/>
        <w:tab w:val="clear" w:leader="none" w:pos="708"/>
      </w:tabs>
      <w:spacing w:after="0" w:before="120"/>
      <w:ind w:hanging="360" w:left="-207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1119">
    <w:name w:val="caption111"/>
    <w:basedOn w:val="886"/>
    <w:next w:val="886"/>
    <w:qFormat/>
    <w:pPr>
      <w:pBdr/>
      <w:spacing w:after="200" w:before="0" w:line="240" w:lineRule="exact"/>
      <w:ind/>
    </w:pPr>
    <w:rPr>
      <w:i/>
      <w:iCs/>
      <w:color w:val="44546a"/>
      <w:sz w:val="18"/>
      <w:szCs w:val="18"/>
    </w:rPr>
  </w:style>
  <w:style w:type="paragraph" w:styleId="1120">
    <w:name w:val="index heading11"/>
    <w:qFormat/>
    <w:pPr>
      <w:widowControl w:val="false"/>
      <w:pBdr/>
      <w:bidi w:val="false"/>
      <w:spacing w:after="0" w:before="0" w:line="240" w:lineRule="exact"/>
      <w:ind/>
      <w:contextualSpacing w:val="true"/>
      <w:jc w:val="left"/>
    </w:pPr>
    <w:rPr>
      <w:rFonts w:ascii="Calibri Light" w:hAnsi="Calibri Light" w:eastAsia="Arial" w:cs="Times New Roman"/>
      <w:color w:val="auto"/>
      <w:spacing w:val="-10"/>
      <w:sz w:val="56"/>
      <w:szCs w:val="56"/>
      <w:lang w:val="ru-RU" w:eastAsia="ru-RU" w:bidi="ar-SA"/>
    </w:rPr>
  </w:style>
  <w:style w:type="paragraph" w:styleId="1121">
    <w:name w:val="index 1"/>
    <w:basedOn w:val="886"/>
    <w:next w:val="886"/>
    <w:qFormat/>
    <w:pPr>
      <w:pBdr/>
      <w:spacing w:after="0" w:before="0" w:line="240" w:lineRule="exact"/>
      <w:ind w:hanging="220" w:left="220"/>
    </w:pPr>
  </w:style>
  <w:style w:type="paragraph" w:styleId="1122">
    <w:name w:val="Default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Calibri" w:cs="Times New Roman"/>
      <w:color w:val="000000"/>
      <w:sz w:val="22"/>
      <w:szCs w:val="22"/>
      <w:lang w:val="ru-RU" w:eastAsia="en-US" w:bidi="ar-SA"/>
    </w:rPr>
  </w:style>
  <w:style w:type="paragraph" w:styleId="1123">
    <w:name w:val="caption11"/>
    <w:basedOn w:val="886"/>
    <w:next w:val="886"/>
    <w:qFormat/>
    <w:pPr>
      <w:pBdr/>
      <w:spacing w:after="200" w:before="0" w:line="240" w:lineRule="exact"/>
      <w:ind/>
    </w:pPr>
    <w:rPr>
      <w:i/>
      <w:iCs/>
      <w:color w:val="44546a"/>
      <w:sz w:val="18"/>
      <w:szCs w:val="18"/>
    </w:rPr>
  </w:style>
  <w:style w:type="paragraph" w:styleId="1124">
    <w:name w:val="table of figures"/>
    <w:basedOn w:val="886"/>
    <w:next w:val="886"/>
    <w:qFormat/>
    <w:pPr>
      <w:pBdr/>
      <w:spacing w:after="0" w:before="0"/>
      <w:ind/>
    </w:pPr>
  </w:style>
  <w:style w:type="paragraph" w:styleId="1125">
    <w:name w:val="Title1"/>
    <w:basedOn w:val="886"/>
    <w:qFormat/>
    <w:pPr>
      <w:pBdr/>
      <w:spacing w:after="0" w:before="0" w:line="240" w:lineRule="exact"/>
      <w:ind/>
      <w:contextualSpacing w:val="true"/>
    </w:pPr>
    <w:rPr>
      <w:rFonts w:ascii="Calibri Light" w:hAnsi="Calibri Light" w:eastAsia="Arial"/>
      <w:spacing w:val="-10"/>
      <w:sz w:val="56"/>
      <w:szCs w:val="56"/>
    </w:rPr>
  </w:style>
  <w:style w:type="paragraph" w:styleId="1126">
    <w:name w:val="Caption12"/>
    <w:basedOn w:val="886"/>
    <w:qFormat/>
    <w:pPr>
      <w:pBdr/>
      <w:spacing w:after="120" w:before="120"/>
      <w:ind/>
    </w:pPr>
    <w:rPr>
      <w:i/>
      <w:iCs/>
      <w:sz w:val="24"/>
      <w:szCs w:val="24"/>
    </w:rPr>
  </w:style>
  <w:style w:type="numbering" w:styleId="1127">
    <w:name w:val="Стиль1"/>
    <w:qFormat/>
    <w:pPr>
      <w:pBdr/>
      <w:spacing/>
      <w:ind/>
    </w:pPr>
  </w:style>
  <w:style w:type="numbering" w:styleId="1128">
    <w:name w:val="Стиль2"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Microsoft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dc:language>ru-RU</dc:language>
  <cp:revision>107</cp:revision>
  <dcterms:created xsi:type="dcterms:W3CDTF">2024-02-06T02:14:00Z</dcterms:created>
  <dcterms:modified xsi:type="dcterms:W3CDTF">2026-08-31T06:45:42Z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