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.xml" ContentType="application/vnd.openxmlformats-officedocument.wordprocessingml.header+xml"/>
  <Override PartName="/word/header18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.xml" ContentType="application/vnd.openxmlformats-officedocument.wordprocessingml.footer+xml"/>
  <Override PartName="/word/header19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header15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settings.xml" ContentType="application/vnd.openxmlformats-officedocument.wordprocessingml.settings+xml"/>
  <Override PartName="/word/header12.xml" ContentType="application/vnd.openxmlformats-officedocument.wordprocessingml.header+xml"/>
  <Override PartName="/word/header9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</w:rPr>
      </w:pPr>
      <w:r>
        <w:rPr>
          <w:rFonts w:eastAsia="Calibri"/>
          <w:b/>
          <w:color w:val="auto"/>
          <w:sz w:val="28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color w:val="auto"/>
        </w:rPr>
      </w:pPr>
      <w:r>
        <w:rPr>
          <w:rFonts w:eastAsia="Calibri"/>
          <w:b/>
          <w:color w:val="auto"/>
          <w:sz w:val="28"/>
        </w:rPr>
        <w:t>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color w:val="auto"/>
          <w:sz w:val="28"/>
        </w:rPr>
      </w:pPr>
      <w:r>
        <w:rPr>
          <w:rFonts w:eastAsia="Calibri"/>
          <w:color w:val="auto"/>
          <w:sz w:val="28"/>
        </w:rPr>
      </w:r>
    </w:p>
    <w:p>
      <w:pPr>
        <w:pStyle w:val="Normal"/>
        <w:keepNext w:val="true"/>
        <w:keepLines/>
        <w:jc w:val="center"/>
        <w:rPr>
          <w:color w:val="auto"/>
        </w:rPr>
      </w:pPr>
      <w:r>
        <w:rPr>
          <w:rFonts w:eastAsia="Calibri"/>
          <w:color w:val="auto"/>
          <w:sz w:val="28"/>
        </w:rPr>
        <w:t>ОКПД2 62.02.30.000. Оказание услуги по поддержке ИС АСВКиУР – Автоматизированная система внутреннего контроля и управления рисками энергетического холдинга</w:t>
      </w:r>
    </w:p>
    <w:p>
      <w:pPr>
        <w:pStyle w:val="Normal"/>
        <w:keepNext w:val="true"/>
        <w:keepLines/>
        <w:jc w:val="center"/>
        <w:rPr>
          <w:rFonts w:eastAsia="Calibri"/>
          <w:color w:val="auto"/>
          <w:sz w:val="28"/>
        </w:rPr>
      </w:pPr>
      <w:r>
        <w:rPr>
          <w:rFonts w:eastAsia="Calibri"/>
          <w:color w:val="auto"/>
          <w:sz w:val="28"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8192"/>
        </w:sectPr>
        <w:pStyle w:val="Normal"/>
        <w:keepNext w:val="true"/>
        <w:keepLines/>
        <w:jc w:val="center"/>
        <w:rPr>
          <w:color w:val="auto"/>
        </w:rPr>
      </w:pPr>
      <w:r>
        <w:rPr>
          <w:rFonts w:eastAsia="Calibri"/>
          <w:b/>
          <w:color w:val="auto"/>
          <w:sz w:val="28"/>
        </w:rPr>
        <w:t xml:space="preserve">ЛОТ № </w:t>
      </w:r>
    </w:p>
    <w:p>
      <w:pPr>
        <w:pStyle w:val="Normal"/>
        <w:jc w:val="center"/>
        <w:rPr>
          <w:color w:val="auto"/>
        </w:rPr>
      </w:pPr>
      <w:r>
        <w:rPr>
          <w:b/>
          <w:color w:val="auto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  <w:color w:val="auto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  <w:color w:val="auto"/>
            </w:rPr>
            <w:fldChar w:fldCharType="separate"/>
          </w:r>
          <w:hyperlink w:anchor="__RefHeading___Toc62227_3104815314">
            <w:r>
              <w:rPr>
                <w:webHidden/>
                <w:rStyle w:val="Style14"/>
                <w:vanish w:val="false"/>
                <w:color w:val="auto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62229_3104815314">
            <w:r>
              <w:rPr>
                <w:webHidden/>
                <w:rStyle w:val="Style14"/>
                <w:vanish w:val="false"/>
                <w:color w:val="auto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62231_3104815314">
            <w:r>
              <w:rPr>
                <w:webHidden/>
                <w:rStyle w:val="Style14"/>
                <w:vanish w:val="false"/>
                <w:color w:val="auto"/>
              </w:rPr>
              <w:t>1.2. Наименование закупаемой продукции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62233_3104815314">
            <w:r>
              <w:rPr>
                <w:webHidden/>
                <w:rStyle w:val="Style14"/>
                <w:vanish w:val="false"/>
                <w:color w:val="auto"/>
              </w:rPr>
              <w:t>1.3. Цель оказания услуг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62235_3104815314">
            <w:r>
              <w:rPr>
                <w:webHidden/>
                <w:rStyle w:val="Style14"/>
                <w:vanish w:val="false"/>
                <w:color w:val="auto"/>
              </w:rPr>
              <w:t>1.4. Существующее положение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62235_3104815314_%D0%9A%D0%BE%D0%BF%D0%B8%D1%8F">
            <w:r>
              <w:rPr>
                <w:webHidden/>
                <w:rStyle w:val="Style14"/>
                <w:vanish w:val="false"/>
                <w:color w:val="auto"/>
              </w:rPr>
              <w:t>1.4.1. Автоматизируемые процессы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62235_3104815314_%D0%9A%D0%BE%D0%BF%D0%B8%D1%8F_%D0%9A%D0%BE%D0%BF%D0%B8%D1%8F_1">
            <w:r>
              <w:rPr>
                <w:webHidden/>
                <w:rStyle w:val="Style14"/>
                <w:vanish w:val="false"/>
                <w:color w:val="auto"/>
              </w:rPr>
              <w:t>1.4.2. Организационный охват (типы организаций – пользователей Услуги)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0737_3455020820">
            <w:r>
              <w:rPr>
                <w:webHidden/>
                <w:rStyle w:val="Style14"/>
                <w:vanish w:val="false"/>
                <w:color w:val="auto"/>
              </w:rPr>
              <w:t>1.4.3. Количество и виды пользователей и особенности работы пользователей с Системой</w:t>
              <w:tab/>
              <w:t>6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0739_3455020820">
            <w:r>
              <w:rPr>
                <w:webHidden/>
                <w:rStyle w:val="Style14"/>
                <w:vanish w:val="false"/>
                <w:color w:val="auto"/>
              </w:rPr>
              <w:t>1.4.4. Состав и описание Системы</w:t>
              <w:tab/>
              <w:t>7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0741_3455020820">
            <w:r>
              <w:rPr>
                <w:webHidden/>
                <w:rStyle w:val="Style14"/>
                <w:vanish w:val="false"/>
                <w:color w:val="auto"/>
              </w:rPr>
              <w:t>1.4.5. Интеграция с другими системами</w:t>
              <w:tab/>
              <w:t>10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0743_3455020820">
            <w:r>
              <w:rPr>
                <w:webHidden/>
                <w:rStyle w:val="Style14"/>
                <w:vanish w:val="false"/>
                <w:color w:val="auto"/>
              </w:rPr>
              <w:t>1.4.6. Использование Системой существующих информационных сервисов</w:t>
              <w:tab/>
              <w:t>11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0745_3455020820">
            <w:r>
              <w:rPr>
                <w:webHidden/>
                <w:rStyle w:val="Style14"/>
                <w:vanish w:val="false"/>
                <w:color w:val="auto"/>
              </w:rPr>
              <w:t>1.4.7. Особенности реализации Системы</w:t>
              <w:tab/>
              <w:t>11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62237_3104815314">
            <w:r>
              <w:rPr>
                <w:webHidden/>
                <w:rStyle w:val="Style14"/>
                <w:vanish w:val="false"/>
                <w:color w:val="auto"/>
              </w:rPr>
              <w:t>Таблица 1. Перечень объектов Заказчика</w:t>
              <w:tab/>
              <w:t>11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62239_3104815314">
            <w:r>
              <w:rPr>
                <w:webHidden/>
                <w:rStyle w:val="Style14"/>
                <w:vanish w:val="false"/>
                <w:color w:val="auto"/>
              </w:rPr>
              <w:t>1.5. Иные требования и сведения общего характера</w:t>
              <w:tab/>
              <w:t>11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62241_3104815314">
            <w:r>
              <w:rPr>
                <w:webHidden/>
                <w:rStyle w:val="Style14"/>
                <w:vanish w:val="false"/>
                <w:color w:val="auto"/>
              </w:rPr>
              <w:t xml:space="preserve">2. </w:t>
            </w:r>
            <w:r>
              <w:rPr>
                <w:rStyle w:val="Style14"/>
                <w:iCs/>
                <w:color w:val="auto"/>
              </w:rPr>
              <w:t>Требования к услугам</w:t>
            </w:r>
            <w:r>
              <w:rPr>
                <w:rStyle w:val="Style14"/>
                <w:color w:val="auto"/>
              </w:rPr>
              <w:tab/>
              <w:t>12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62243_3104815314">
            <w:r>
              <w:rPr>
                <w:webHidden/>
                <w:rStyle w:val="Style14"/>
                <w:vanish w:val="false"/>
                <w:color w:val="auto"/>
              </w:rPr>
              <w:t>2.1. Требования к объемам и срокам оказания услуг</w:t>
              <w:tab/>
              <w:t>12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62243_3104815314_%D0%9A%D0%BE%D0%BF%D0%B8%D1%8F">
            <w:r>
              <w:rPr>
                <w:webHidden/>
                <w:rStyle w:val="Style14"/>
                <w:vanish w:val="false"/>
                <w:color w:val="auto"/>
              </w:rPr>
              <w:t>2.1.1. Требования к перечню и объёму</w:t>
              <w:tab/>
              <w:t>12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62245_3104815314">
            <w:r>
              <w:rPr>
                <w:webHidden/>
                <w:rStyle w:val="Style14"/>
                <w:vanish w:val="false"/>
                <w:color w:val="auto"/>
              </w:rPr>
              <w:t>Таблица 2. Перечень оказываемых услуг</w:t>
              <w:tab/>
              <w:t>12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62247_3104815314">
            <w:r>
              <w:rPr>
                <w:webHidden/>
                <w:rStyle w:val="Style14"/>
                <w:vanish w:val="false"/>
                <w:color w:val="auto"/>
              </w:rPr>
              <w:t>2.1.2. Требования к срокам оказания услуг</w:t>
              <w:tab/>
              <w:t>13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62249_3104815314">
            <w:r>
              <w:rPr>
                <w:webHidden/>
                <w:rStyle w:val="Style14"/>
                <w:vanish w:val="false"/>
                <w:color w:val="auto"/>
              </w:rPr>
              <w:t>Таблица 3. Требования к срокам оказания услуг</w:t>
              <w:tab/>
              <w:t>14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62251_3104815314">
            <w:r>
              <w:rPr>
                <w:webHidden/>
                <w:rStyle w:val="Style14"/>
                <w:vanish w:val="false"/>
                <w:color w:val="auto"/>
              </w:rPr>
              <w:t>2.2. Требования к качеству услуги</w:t>
              <w:tab/>
              <w:t>15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62253_3104815314">
            <w:r>
              <w:rPr>
                <w:webHidden/>
                <w:rStyle w:val="Style14"/>
                <w:vanish w:val="false"/>
                <w:color w:val="auto"/>
              </w:rPr>
              <w:t>Таблица 4. Требования к качеству услуги</w:t>
              <w:tab/>
              <w:t>15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62259_3104815314">
            <w:r>
              <w:rPr>
                <w:webHidden/>
                <w:rStyle w:val="Style14"/>
                <w:vanish w:val="false"/>
                <w:color w:val="auto"/>
              </w:rPr>
              <w:t>2.3. Соглашение об уровне предоставления услуги (SLA)</w:t>
              <w:tab/>
              <w:t>25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42797_1244722962">
            <w:r>
              <w:rPr>
                <w:webHidden/>
                <w:rStyle w:val="Style14"/>
                <w:vanish w:val="false"/>
                <w:color w:val="auto"/>
              </w:rPr>
              <w:t>3. Требования к документации по ценообразованию на этапе закупки</w:t>
              <w:tab/>
              <w:t>27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62263_3104815314">
            <w:r>
              <w:rPr>
                <w:webHidden/>
                <w:rStyle w:val="Style14"/>
                <w:vanish w:val="false"/>
                <w:color w:val="auto"/>
              </w:rPr>
              <w:t>4. Требования к документации по ценообразованию на этапе заключения (исполнения) договора</w:t>
              <w:tab/>
              <w:t>27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62265_3104815314">
            <w:r>
              <w:rPr>
                <w:webHidden/>
                <w:rStyle w:val="Style14"/>
                <w:vanish w:val="false"/>
                <w:color w:val="auto"/>
              </w:rPr>
              <w:t xml:space="preserve">5. </w:t>
            </w:r>
            <w:r>
              <w:rPr>
                <w:rStyle w:val="Style14"/>
                <w:iCs/>
                <w:color w:val="auto"/>
              </w:rPr>
              <w:t>Приложения</w:t>
            </w:r>
            <w:r>
              <w:rPr>
                <w:rStyle w:val="Style14"/>
                <w:color w:val="auto"/>
              </w:rPr>
              <w:tab/>
              <w:t>27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62267_3104815314">
            <w:r>
              <w:rPr>
                <w:webHidden/>
                <w:rStyle w:val="Style14"/>
                <w:vanish w:val="false"/>
                <w:color w:val="auto"/>
              </w:rPr>
              <w:t>ПРИЛОЖЕНИЕ № 1</w:t>
              <w:tab/>
              <w:t>28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62269_3104815314">
            <w:r>
              <w:rPr>
                <w:webHidden/>
                <w:rStyle w:val="Style14"/>
                <w:vanish w:val="false"/>
                <w:color w:val="auto"/>
              </w:rPr>
              <w:t>ПРИЛОЖЕНИЕ № 2</w:t>
              <w:tab/>
              <w:t>38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62271_3104815314">
            <w:r>
              <w:rPr>
                <w:webHidden/>
                <w:rStyle w:val="Style14"/>
                <w:vanish w:val="false"/>
                <w:color w:val="auto"/>
              </w:rPr>
              <w:t>ПРИЛОЖЕНИЕ № 3</w:t>
              <w:tab/>
              <w:t>40</w:t>
            </w:r>
          </w:hyperlink>
          <w:r>
            <w:rPr>
              <w:rStyle w:val="Style14"/>
              <w:vanish w:val="false"/>
              <w:color w:val="auto"/>
            </w:rPr>
            <w:fldChar w:fldCharType="end"/>
          </w:r>
        </w:p>
      </w:sdtContent>
    </w:sdt>
    <w:p>
      <w:pPr>
        <w:pStyle w:val="Heading2"/>
        <w:numPr>
          <w:ilvl w:val="0"/>
        </w:numPr>
        <w:tabs>
          <w:tab w:val="clear" w:pos="0"/>
        </w:tabs>
        <w:ind w:hanging="0" w:left="0"/>
        <w:rPr>
          <w:b w:val="false"/>
          <w:i/>
          <w:i/>
          <w:color w:val="auto"/>
          <w:lang w:val="ru-RU"/>
        </w:rPr>
      </w:pPr>
      <w:r>
        <w:rPr>
          <w:b w:val="false"/>
          <w:i/>
          <w:color w:val="auto"/>
          <w:lang w:val="ru-RU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hanging="357" w:left="357"/>
        <w:jc w:val="center"/>
        <w:rPr>
          <w:color w:val="auto"/>
        </w:rPr>
      </w:pPr>
      <w:bookmarkStart w:id="0" w:name="__RefHeading___Toc62227_3104815314"/>
      <w:bookmarkEnd w:id="0"/>
      <w:r>
        <w:rPr>
          <w:color w:val="auto"/>
          <w:lang w:val="ru-RU"/>
        </w:rPr>
        <w:t>Общие сведения</w:t>
      </w:r>
    </w:p>
    <w:p>
      <w:pPr>
        <w:pStyle w:val="Heading4"/>
        <w:numPr>
          <w:ilvl w:val="1"/>
          <w:numId w:val="3"/>
        </w:numPr>
        <w:spacing w:before="113" w:after="113"/>
        <w:rPr>
          <w:color w:val="auto"/>
        </w:rPr>
      </w:pPr>
      <w:bookmarkStart w:id="1" w:name="__RefHeading___Toc62229_3104815314"/>
      <w:bookmarkEnd w:id="1"/>
      <w:r>
        <w:rPr>
          <w:color w:val="auto"/>
          <w:lang w:val="ru-RU"/>
        </w:rPr>
        <w:t>Обозначения и сокращения</w:t>
      </w:r>
    </w:p>
    <w:tbl>
      <w:tblPr>
        <w:tblW w:w="946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60"/>
        <w:gridCol w:w="7203"/>
      </w:tblGrid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ind w:firstLine="57"/>
              <w:rPr>
                <w:color w:val="auto"/>
              </w:rPr>
            </w:pPr>
            <w:r>
              <w:rPr>
                <w:rFonts w:eastAsia="Calibri"/>
                <w:b/>
                <w:color w:val="auto"/>
                <w:lang w:eastAsia="en-US"/>
              </w:rPr>
              <w:t xml:space="preserve">Термин 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ind w:firstLine="57"/>
              <w:rPr>
                <w:color w:val="auto"/>
              </w:rPr>
            </w:pPr>
            <w:r>
              <w:rPr>
                <w:rFonts w:eastAsia="Calibri"/>
                <w:b/>
                <w:color w:val="auto"/>
                <w:lang w:eastAsia="en-US"/>
              </w:rPr>
              <w:t xml:space="preserve">Определение 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lang w:eastAsia="en-US"/>
              </w:rPr>
              <w:t>АСВКиУР, Система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Автоматизированная система внутреннего контроля и управления рисками.</w:t>
            </w:r>
          </w:p>
        </w:tc>
      </w:tr>
      <w:tr>
        <w:trPr/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АСУР</w:t>
            </w:r>
          </w:p>
        </w:tc>
        <w:tc>
          <w:tcPr>
            <w:tcW w:w="7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Подсистема АСВКиУР отвечающая за автоматизацию интеграции исходных данных для последующего анализа и управления рисками Общества.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АИСА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Подсистема АСВКиУР отвечающая за проверку и хранение сведений о доходах, проверку сведений о аффилированности физических лиц к Обществу, в том числе через участие в юридических лицах.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lang w:eastAsia="en-US"/>
              </w:rPr>
              <w:t>БД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База данных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ДКиУР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Департамент контроля и управления рисками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ДБ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Департамент безопасности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 xml:space="preserve">ДО 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Подконтрольное дочернее общество ПАО «РусГидро»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Запрос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Запись в КСА СПП, созданная на основании Обращения, события, потребности и содержащая ключевую информацию, необходимую для их обработки в соответствии с регламентами Процессов.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Запрос на обслуживание, ЗНО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Запрос от Пользователя на поддержку функционирования Услуги, информацию, консультации или документацию, не являющийся Инцидентом или Запросом на изменение.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Запрос на изменение, ЗНИ, RFC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Запрос с предложением внесения изменений в Услугу (изменение функционала, конфигурации или состава КЕ, связанных с Услугой, а также параметров предоставления Услуги). К запросам на изменение не относятся Запросы на обслуживание.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</w:rPr>
              <w:t>Изменение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</w:rPr>
              <w:t>Добавление, модификация или удаление компонентов Услуги или связанных с Услугой КЕ, способных оказать влияние на работу, функционал или доступность Услуги.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 xml:space="preserve">Инцидент 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Любое событие, которое не является частью стандартного функционирования ИТ-услуги и которое приводит или может приводить к прерыванию, ухудшению её качества.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lang w:eastAsia="en-US"/>
              </w:rPr>
              <w:t>Исполнитель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lang w:eastAsia="en-US"/>
              </w:rPr>
              <w:t>Организация, заключившая договор с Заказчиком на предоставление услуги.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ИТ-услуга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Услуга, позволяющая Заказчику использовать информационные технологии в ходе реализации технологических процессов. Может представлять собой комбинацию результатов взаимодействия организационных объектов, автоматизированных систем, ИТ-процессов и технологий.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Информационная система, ИС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Консолидированный набор технологических компонентов, сервисов, интеграций и ресурсов, реализующих функции, необходимые для предоставления ИТ-услуг .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ККУ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Комитет качества услуг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Конфигурационная единица (КЕ)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Компонент услуги по поддержке ИС, находящийся под контролем процесса управления конфигурациями и подлежащий обязательному учету в Базе конфигураций. Например, активное сетевое оборудование (LAN, SAN), серверы, системы хранения данных, системные блоки, лицензии программного обеспечения, информационные системы, сервисные договоры. Связь между КЕ и соответствующей услугой по поддержке ИС определяется в КСА СПП.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</w:rPr>
              <w:t>КСД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</w:rPr>
              <w:t>Корпоративная система документооборота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КСА СПП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Комплекс средств автоматизации Службы поддержки пользователей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Линия поддержки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Уровень в иерархии групп поддержки, вовлеченных в разрешение инцидентов. Каждый последующий уровень включает в себя более высокую квалификацию специалистов, либо большее количество времени и прочих ресурсов.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НШС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Инцидент, вызвавший недоступность или критическое снижение качества Услуги в целом или отдельной КЕ услуги. Разделяют НШС 1 уровня – недоступность Услуги и НШС 2 уровня – недоступность КЕ.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НСИ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Нормативно-справочная информация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</w:rPr>
              <w:t>Обращение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</w:rPr>
              <w:t>Информация, поступающая от пользователя ИТ-услуги в службу поддержки пользователей. После регистрации в КСА СПП каждое обращение классифицируется и принадлежит к одной из категорий: инцидент, запрос на обслуживание (ЗНО), запрос на изменение функциональности (ЗНИФ), запрос на информацию, отзыв о работе СПП, жалоба.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lang w:eastAsia="en-US"/>
              </w:rPr>
              <w:t>Обходное решение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lang w:eastAsia="en-US"/>
              </w:rPr>
              <w:t>Процедура, позволяющая пользователю продолжить получение информационных услуг в случае возникновения инцидентов.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0" w:after="20"/>
              <w:rPr>
                <w:color w:val="auto"/>
              </w:rPr>
            </w:pPr>
            <w:r>
              <w:rPr>
                <w:color w:val="auto"/>
              </w:rPr>
              <w:t>ПКМ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0" w:after="20"/>
              <w:rPr>
                <w:color w:val="auto"/>
              </w:rPr>
            </w:pPr>
            <w:r>
              <w:rPr>
                <w:color w:val="auto"/>
              </w:rPr>
              <w:t>План корректирующих мероприятий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ПКПУ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Показатель качества предоставления услуг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ПО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Подконтрольное общество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Проблема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Причина одного или нескольких инцидентов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Релиз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Одно или более изменений, построение, тестирование и развертывание которых выполняется совместно.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СПП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Служба поддержки пользователей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СУПД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Система управления проверочной деятельностью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ТТ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Технические требования</w:t>
            </w:r>
          </w:p>
        </w:tc>
      </w:tr>
      <w:tr>
        <w:trPr/>
        <w:tc>
          <w:tcPr>
            <w:tcW w:w="2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ЧТЗ</w:t>
            </w:r>
          </w:p>
        </w:tc>
        <w:tc>
          <w:tcPr>
            <w:tcW w:w="7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Частное техническое задание</w:t>
            </w:r>
          </w:p>
        </w:tc>
      </w:tr>
      <w:tr>
        <w:trPr/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0" w:after="20"/>
              <w:rPr>
                <w:color w:val="auto"/>
              </w:rPr>
            </w:pPr>
            <w:r>
              <w:rPr>
                <w:color w:val="auto"/>
              </w:rPr>
              <w:t>SLA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0" w:after="20"/>
              <w:rPr>
                <w:color w:val="auto"/>
              </w:rPr>
            </w:pPr>
            <w:r>
              <w:rPr>
                <w:color w:val="auto"/>
              </w:rPr>
              <w:t>Service Level Agreement, Соглашение об уровне услуги</w:t>
            </w:r>
          </w:p>
        </w:tc>
      </w:tr>
    </w:tbl>
    <w:p>
      <w:pPr>
        <w:pStyle w:val="Heading4"/>
        <w:numPr>
          <w:ilvl w:val="1"/>
          <w:numId w:val="3"/>
        </w:numPr>
        <w:spacing w:before="113" w:after="113"/>
        <w:ind w:hanging="0" w:left="0"/>
        <w:rPr>
          <w:color w:val="auto"/>
        </w:rPr>
      </w:pPr>
      <w:r>
        <w:br w:type="page"/>
      </w:r>
      <w:bookmarkStart w:id="2" w:name="__RefHeading___Toc62231_3104815314"/>
      <w:bookmarkEnd w:id="2"/>
      <w:r>
        <w:rPr>
          <w:color w:val="auto"/>
          <w:lang w:val="ru-RU"/>
        </w:rPr>
        <w:t>Наименование закупаемой продукции</w:t>
      </w:r>
    </w:p>
    <w:p>
      <w:pPr>
        <w:pStyle w:val="Normal"/>
        <w:keepNext w:val="true"/>
        <w:keepLines/>
        <w:spacing w:lineRule="auto" w:line="276" w:before="113" w:after="113"/>
        <w:ind w:firstLine="567"/>
        <w:jc w:val="both"/>
        <w:rPr/>
      </w:pPr>
      <w:r>
        <w:rPr>
          <w:rStyle w:val="Style8"/>
          <w:rFonts w:eastAsia="Calibri"/>
          <w:b w:val="false"/>
          <w:i w:val="false"/>
          <w:color w:val="000000"/>
          <w:spacing w:val="-2"/>
          <w:szCs w:val="26"/>
          <w:shd w:fill="auto" w:val="clear"/>
        </w:rPr>
        <w:t>ОКПД2 62.02.30.000. Оказание услуги по поддержке ИС АСВКиУР – Автоматизированная система внутреннего контроля и управления рисками энергетического холдинга.</w:t>
      </w:r>
    </w:p>
    <w:p>
      <w:pPr>
        <w:pStyle w:val="Heading4"/>
        <w:numPr>
          <w:ilvl w:val="1"/>
          <w:numId w:val="3"/>
        </w:numPr>
        <w:spacing w:before="113" w:after="113"/>
        <w:ind w:hanging="0" w:left="0"/>
        <w:rPr>
          <w:color w:val="auto"/>
        </w:rPr>
      </w:pPr>
      <w:bookmarkStart w:id="3" w:name="__RefHeading___Toc62233_3104815314"/>
      <w:bookmarkEnd w:id="3"/>
      <w:r>
        <w:rPr>
          <w:color w:val="auto"/>
          <w:lang w:val="ru-RU"/>
        </w:rPr>
        <w:t>Цель оказания услуг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</w:rPr>
        <w:t>Целью оказания услуг по поддержке Системы является обеспечение её функционирования в соответствии с заданными показателями качества (п 2.3).</w:t>
      </w:r>
    </w:p>
    <w:p>
      <w:pPr>
        <w:pStyle w:val="Heading4"/>
        <w:numPr>
          <w:ilvl w:val="1"/>
          <w:numId w:val="3"/>
        </w:numPr>
        <w:spacing w:before="113" w:after="113"/>
        <w:ind w:hanging="0" w:left="0"/>
        <w:rPr>
          <w:color w:val="auto"/>
        </w:rPr>
      </w:pPr>
      <w:bookmarkStart w:id="4" w:name="__RefHeading___Toc62235_3104815314"/>
      <w:bookmarkEnd w:id="4"/>
      <w:r>
        <w:rPr>
          <w:color w:val="auto"/>
          <w:lang w:val="ru-RU"/>
        </w:rPr>
        <w:t>Существующее положение</w:t>
      </w:r>
    </w:p>
    <w:p>
      <w:pPr>
        <w:pStyle w:val="Heading4"/>
        <w:numPr>
          <w:ilvl w:val="2"/>
          <w:numId w:val="3"/>
        </w:numPr>
        <w:spacing w:before="113" w:after="113"/>
        <w:rPr>
          <w:color w:val="auto"/>
        </w:rPr>
      </w:pPr>
      <w:r>
        <w:rPr>
          <w:color w:val="auto"/>
          <w:lang w:val="ru-RU"/>
        </w:rPr>
        <w:t>Автоматизируемые процессы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</w:rPr>
        <w:t>Объектами автоматизации Системы являются следующие процессы:</w:t>
      </w:r>
    </w:p>
    <w:p>
      <w:pPr>
        <w:pStyle w:val="Normal"/>
        <w:numPr>
          <w:ilvl w:val="0"/>
          <w:numId w:val="23"/>
        </w:numPr>
        <w:jc w:val="both"/>
        <w:rPr>
          <w:color w:val="auto"/>
        </w:rPr>
      </w:pPr>
      <w:r>
        <w:rPr>
          <w:color w:val="auto"/>
          <w:szCs w:val="24"/>
        </w:rPr>
        <w:t xml:space="preserve">Ведение, расчет и управление рисками Группы РусГидро; </w:t>
      </w:r>
    </w:p>
    <w:p>
      <w:pPr>
        <w:pStyle w:val="Normal"/>
        <w:numPr>
          <w:ilvl w:val="0"/>
          <w:numId w:val="23"/>
        </w:numPr>
        <w:jc w:val="both"/>
        <w:rPr>
          <w:color w:val="auto"/>
        </w:rPr>
      </w:pPr>
      <w:r>
        <w:rPr>
          <w:color w:val="auto"/>
          <w:szCs w:val="24"/>
        </w:rPr>
        <w:t>Формирование списка декларантов;</w:t>
      </w:r>
    </w:p>
    <w:p>
      <w:pPr>
        <w:pStyle w:val="Normal"/>
        <w:numPr>
          <w:ilvl w:val="0"/>
          <w:numId w:val="23"/>
        </w:numPr>
        <w:jc w:val="both"/>
        <w:rPr>
          <w:color w:val="auto"/>
        </w:rPr>
      </w:pPr>
      <w:r>
        <w:rPr>
          <w:color w:val="auto"/>
          <w:szCs w:val="24"/>
        </w:rPr>
        <w:t xml:space="preserve">Внутренняя проверка аффилированности сотрудников, включая сбор сведений о доходах с декларируемых сотрудников, согласно Приказу № 641 от 05.08.2019; </w:t>
      </w:r>
    </w:p>
    <w:p>
      <w:pPr>
        <w:pStyle w:val="Normal"/>
        <w:numPr>
          <w:ilvl w:val="0"/>
          <w:numId w:val="23"/>
        </w:numPr>
        <w:jc w:val="both"/>
        <w:rPr>
          <w:color w:val="auto"/>
        </w:rPr>
      </w:pPr>
      <w:r>
        <w:rPr>
          <w:color w:val="auto"/>
          <w:szCs w:val="24"/>
        </w:rPr>
        <w:t>Внутренняя проверка аффилированности кандидатов на должности (в том числе управляющие), включая сбор Справок о доходах, согласно Приказу № 641 от 05.08.2019;</w:t>
      </w:r>
    </w:p>
    <w:p>
      <w:pPr>
        <w:pStyle w:val="Normal"/>
        <w:numPr>
          <w:ilvl w:val="0"/>
          <w:numId w:val="23"/>
        </w:numPr>
        <w:jc w:val="both"/>
        <w:rPr>
          <w:color w:val="auto"/>
        </w:rPr>
      </w:pPr>
      <w:r>
        <w:rPr>
          <w:color w:val="auto"/>
          <w:szCs w:val="24"/>
        </w:rPr>
        <w:t>Планирование и проведение аудиторских проверок, формирование ПКМ и мониторинг их исполнения согласно Положению о планировании контрольных мероприятий и их проведении Службой внутреннего аудита (Приказ ПАО «РусГидро» от 08.04.2019 №291) и Положению об организации взаимодействия при проведении проверок Группы РусГидро с контрольными органами (Приказ ПАО «РусГидро» от 29.07.2021 №917).</w:t>
      </w:r>
    </w:p>
    <w:p>
      <w:pPr>
        <w:pStyle w:val="Heading4"/>
        <w:numPr>
          <w:ilvl w:val="2"/>
          <w:numId w:val="3"/>
        </w:numPr>
        <w:spacing w:before="113" w:after="113"/>
        <w:rPr>
          <w:color w:val="auto"/>
        </w:rPr>
      </w:pPr>
      <w:bookmarkStart w:id="5" w:name="__RefHeading___Toc62235_3104815314_Копия"/>
      <w:bookmarkEnd w:id="5"/>
      <w:r>
        <w:rPr>
          <w:color w:val="auto"/>
          <w:lang w:val="ru-RU"/>
        </w:rPr>
        <w:t>Организационный охват (типы организаций – пользователей Услуги)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  <w:lang w:eastAsia="x-none"/>
        </w:rPr>
        <w:t>Пользователями системы являются:</w:t>
      </w:r>
    </w:p>
    <w:p>
      <w:pPr>
        <w:pStyle w:val="Normal"/>
        <w:numPr>
          <w:ilvl w:val="0"/>
          <w:numId w:val="26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Директора (по направлениям), руководители структурных подразделений, указанных в утвержденной организационной структуре ИА (вне зависимости от наименования должности);</w:t>
      </w:r>
    </w:p>
    <w:p>
      <w:pPr>
        <w:pStyle w:val="Normal"/>
        <w:numPr>
          <w:ilvl w:val="0"/>
          <w:numId w:val="26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Руководители филиалов Общества;</w:t>
      </w:r>
    </w:p>
    <w:p>
      <w:pPr>
        <w:pStyle w:val="Normal"/>
        <w:numPr>
          <w:ilvl w:val="0"/>
          <w:numId w:val="26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Заместители руководителей филиалов Общества (вне зависимости от наименования должности);</w:t>
      </w:r>
    </w:p>
    <w:p>
      <w:pPr>
        <w:pStyle w:val="Normal"/>
        <w:numPr>
          <w:ilvl w:val="0"/>
          <w:numId w:val="26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Руководители ПО;</w:t>
      </w:r>
    </w:p>
    <w:p>
      <w:pPr>
        <w:pStyle w:val="Normal"/>
        <w:numPr>
          <w:ilvl w:val="0"/>
          <w:numId w:val="26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Заместители руководителей ПО (вне зависимости от наименования должности);</w:t>
      </w:r>
    </w:p>
    <w:p>
      <w:pPr>
        <w:pStyle w:val="Normal"/>
        <w:numPr>
          <w:ilvl w:val="0"/>
          <w:numId w:val="26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Главные инженеры, директора (по направлениям), находящиеся в прямом подчинении руководителей ПО (вне зависимости от наименования должности);</w:t>
      </w:r>
    </w:p>
    <w:p>
      <w:pPr>
        <w:pStyle w:val="Normal"/>
        <w:numPr>
          <w:ilvl w:val="0"/>
          <w:numId w:val="26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Советники Председателя Правления – Генерального директора Общества;</w:t>
      </w:r>
    </w:p>
    <w:p>
      <w:pPr>
        <w:pStyle w:val="Normal"/>
        <w:numPr>
          <w:ilvl w:val="0"/>
          <w:numId w:val="26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Советники руководителя ПО;</w:t>
      </w:r>
    </w:p>
    <w:p>
      <w:pPr>
        <w:pStyle w:val="Normal"/>
        <w:numPr>
          <w:ilvl w:val="0"/>
          <w:numId w:val="26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Руководители структурных подразделений, находящиеся в прямом подчинении руководителя ПО (вне зависимости от наименования должности);</w:t>
      </w:r>
    </w:p>
    <w:p>
      <w:pPr>
        <w:pStyle w:val="Normal"/>
        <w:numPr>
          <w:ilvl w:val="0"/>
          <w:numId w:val="26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Сотрудники исполнительного аппарата ДКиУР;</w:t>
      </w:r>
    </w:p>
    <w:p>
      <w:pPr>
        <w:pStyle w:val="Normal"/>
        <w:numPr>
          <w:ilvl w:val="0"/>
          <w:numId w:val="26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Сотрудники ДО Общества, в чьи должностные обязанности входит предоставление сведений по сотрудникам и контрагентам в ДКиУР;</w:t>
      </w:r>
    </w:p>
    <w:p>
      <w:pPr>
        <w:pStyle w:val="Normal"/>
        <w:numPr>
          <w:ilvl w:val="0"/>
          <w:numId w:val="26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Сотрудники Блока безопасности Группы РусГидро;</w:t>
      </w:r>
    </w:p>
    <w:p>
      <w:pPr>
        <w:pStyle w:val="Normal"/>
        <w:numPr>
          <w:ilvl w:val="0"/>
          <w:numId w:val="26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Сотрудники исполнительного аппарата ДУП;</w:t>
      </w:r>
    </w:p>
    <w:p>
      <w:pPr>
        <w:pStyle w:val="Normal"/>
        <w:numPr>
          <w:ilvl w:val="0"/>
          <w:numId w:val="26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Сотрудники филиалов и ДО Общества, в чьи должностные обязанности входит представление сведений по декларирующимся сотрудникам и их родственникам в целях формирования списка декларантов;</w:t>
      </w:r>
    </w:p>
    <w:p>
      <w:pPr>
        <w:pStyle w:val="Normal"/>
        <w:numPr>
          <w:ilvl w:val="0"/>
          <w:numId w:val="26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Сотрудники исполнительного аппарата ДВА;</w:t>
      </w:r>
    </w:p>
    <w:p>
      <w:pPr>
        <w:pStyle w:val="Normal"/>
        <w:numPr>
          <w:ilvl w:val="0"/>
          <w:numId w:val="26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Сотрудники исполнительного аппарата, филиалов и ДО, назначенные ответственными за формирование и исполнение ПКМ от Объекта аудиторской проверки;</w:t>
      </w:r>
    </w:p>
    <w:p>
      <w:pPr>
        <w:pStyle w:val="Normal"/>
        <w:numPr>
          <w:ilvl w:val="0"/>
          <w:numId w:val="26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Сотрудники исполнительного аппарата, ДО Общества и филиалов, в чьи должностные обязанности входят процедуры по ведению, расчету и управлению рисками.</w:t>
      </w:r>
    </w:p>
    <w:p>
      <w:pPr>
        <w:pStyle w:val="Heading4"/>
        <w:numPr>
          <w:ilvl w:val="2"/>
          <w:numId w:val="3"/>
        </w:numPr>
        <w:spacing w:before="113" w:after="113"/>
        <w:rPr>
          <w:color w:val="auto"/>
        </w:rPr>
      </w:pPr>
      <w:bookmarkStart w:id="6" w:name="__RefHeading___Toc10737_3455020820"/>
      <w:bookmarkEnd w:id="6"/>
      <w:r>
        <w:rPr>
          <w:color w:val="auto"/>
          <w:lang w:val="ru-RU"/>
        </w:rPr>
        <w:t>Количество и виды пользователей и особенности работы пользователей с Системой</w:t>
      </w:r>
    </w:p>
    <w:tbl>
      <w:tblPr>
        <w:tblW w:w="991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49"/>
        <w:gridCol w:w="6335"/>
        <w:gridCol w:w="1831"/>
      </w:tblGrid>
      <w:tr>
        <w:trPr>
          <w:tblHeader w:val="true"/>
        </w:trPr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iCs/>
                <w:color w:val="auto"/>
                <w:sz w:val="22"/>
                <w:szCs w:val="22"/>
              </w:rPr>
              <w:t>Подсистема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iCs/>
                <w:color w:val="auto"/>
                <w:sz w:val="22"/>
                <w:szCs w:val="22"/>
              </w:rPr>
              <w:t>Организационная единица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iCs/>
                <w:color w:val="auto"/>
                <w:sz w:val="22"/>
                <w:szCs w:val="22"/>
              </w:rPr>
              <w:t>Количество пользователей</w:t>
            </w:r>
          </w:p>
        </w:tc>
      </w:tr>
      <w:tr>
        <w:trPr/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АСУР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Сотрудники исполнительного аппарата ДКиУР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Не более 250</w:t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Сотрудники исполнительного аппарата, ДО Общества и филиалов, в чьи должностные обязанности входят процедуры по ведению, расчету и управлению рисками</w:t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 xml:space="preserve">Клиент аффилированных лиц 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Сотрудники исполнительного аппарата ДКиУР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Не более 200</w:t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Сотрудники исполнительного аппарата Службы внутреннего аудита</w:t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Сотрудники исполнительного аппарата ДБ</w:t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Сотрудники исполнительного аппарата ДУП</w:t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Портал для ввода деклараций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Директора (по направлениям), руководители структурных подразделений, указанных в утвержденной организационной структуре ИА (вне зависимости от наименования должности)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Не более 1000</w:t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Руководители филиалов Общества</w:t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Заместители руководителей филиалов Общества (вне зависимости от наименования должности)</w:t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Руководители ПО</w:t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Заместители руководителей ПО (вне зависимости от наименования должности)</w:t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Главные инженеры, директора (по направлениям), находящиеся в прямом подчинении руководителей ПО (вне зависимости от наименования должности)</w:t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Советники Председателя Правления – Генерального директора Общества</w:t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Советники руководителя ПО</w:t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Руководители структурных подразделений, находящиеся в прямом подчинении руководителя ПО (вне зависимости от наименования должности)</w:t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Портал для формирования списка декларантов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Сотрудники филиалов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Не более 120</w:t>
            </w:r>
          </w:p>
        </w:tc>
      </w:tr>
      <w:tr>
        <w:trPr>
          <w:trHeight w:val="340" w:hRule="atLeast"/>
        </w:trPr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Сотрудники ДО</w:t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13" w:after="113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Портал для сбора сведений о кандидатах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Кандидаты (декларирующиеся и недекларирующиеся)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Не более 250</w:t>
            </w:r>
          </w:p>
        </w:tc>
      </w:tr>
      <w:tr>
        <w:trPr/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СУПД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Сотрудники исполнительного аппарата Департамента внутреннего аудита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Не более 250</w:t>
            </w:r>
          </w:p>
        </w:tc>
      </w:tr>
      <w:tr>
        <w:trPr/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Сотрудники исполнительного аппарата, ДО Общества и филиалов, в чьи должностные обязанности входят процедуры по формированию и исполнению ПКМ</w:t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Cs/>
                <w:color w:val="auto"/>
                <w:sz w:val="22"/>
                <w:szCs w:val="22"/>
              </w:rPr>
            </w:pPr>
            <w:r>
              <w:rPr>
                <w:iCs/>
                <w:color w:val="auto"/>
                <w:sz w:val="22"/>
                <w:szCs w:val="22"/>
              </w:rPr>
            </w:r>
          </w:p>
        </w:tc>
      </w:tr>
    </w:tbl>
    <w:p>
      <w:pPr>
        <w:pStyle w:val="Heading4"/>
        <w:numPr>
          <w:ilvl w:val="2"/>
          <w:numId w:val="3"/>
        </w:numPr>
        <w:spacing w:before="113" w:after="113"/>
        <w:rPr>
          <w:color w:val="auto"/>
        </w:rPr>
      </w:pPr>
      <w:bookmarkStart w:id="7" w:name="__RefHeading___Toc10739_3455020820"/>
      <w:bookmarkEnd w:id="7"/>
      <w:r>
        <w:rPr>
          <w:color w:val="auto"/>
          <w:lang w:val="ru-RU"/>
        </w:rPr>
        <w:t>Состав и описание Системы</w:t>
      </w:r>
    </w:p>
    <w:p>
      <w:pPr>
        <w:pStyle w:val="Normal"/>
        <w:spacing w:lineRule="auto" w:line="276" w:before="113" w:after="113"/>
        <w:ind w:firstLine="567"/>
        <w:jc w:val="both"/>
        <w:rPr/>
      </w:pPr>
      <w:r>
        <w:rPr>
          <w:color w:val="auto"/>
          <w:szCs w:val="24"/>
          <w:lang w:eastAsia="x-none"/>
        </w:rPr>
        <w:t>Система представляет собой решение, разработанное на платформе «Вектор Плюс» и предназначена для автоматизации деятельности по организации и выполнению процессов внутреннего контроля и управлению рисками, предоставляющая возможности:</w:t>
      </w:r>
    </w:p>
    <w:p>
      <w:pPr>
        <w:pStyle w:val="Normal"/>
        <w:spacing w:lineRule="auto" w:line="276" w:before="113" w:after="113"/>
        <w:ind w:firstLine="567"/>
        <w:jc w:val="both"/>
        <w:rPr/>
      </w:pPr>
      <w:r>
        <w:rPr>
          <w:color w:val="auto"/>
          <w:szCs w:val="24"/>
          <w:u w:val="single"/>
          <w:lang w:eastAsia="x-none"/>
        </w:rPr>
        <w:t>В части модулей «Управление рисками» и «Управление валютными и процентными рисками» подсистемы АСУР:</w:t>
      </w:r>
    </w:p>
    <w:p>
      <w:pPr>
        <w:pStyle w:val="Normal"/>
        <w:numPr>
          <w:ilvl w:val="0"/>
          <w:numId w:val="28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ведение справочной базы (в том числе глобальных справочников);</w:t>
      </w:r>
    </w:p>
    <w:p>
      <w:pPr>
        <w:pStyle w:val="Normal"/>
        <w:numPr>
          <w:ilvl w:val="0"/>
          <w:numId w:val="28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формирование актуального перечня рисков по процессным и проектным Планам управления рисками;</w:t>
      </w:r>
    </w:p>
    <w:p>
      <w:pPr>
        <w:pStyle w:val="Normal"/>
        <w:numPr>
          <w:ilvl w:val="0"/>
          <w:numId w:val="28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формирование и мониторинг исполнения плана мероприятий по управлению рисками;</w:t>
      </w:r>
    </w:p>
    <w:p>
      <w:pPr>
        <w:pStyle w:val="Normal"/>
        <w:numPr>
          <w:ilvl w:val="0"/>
          <w:numId w:val="28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заполнение информации об исполнении плана мероприятий по управлению риском;</w:t>
      </w:r>
    </w:p>
    <w:p>
      <w:pPr>
        <w:pStyle w:val="Normal"/>
        <w:numPr>
          <w:ilvl w:val="0"/>
          <w:numId w:val="28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внесение фактов реализации рисков;</w:t>
      </w:r>
    </w:p>
    <w:p>
      <w:pPr>
        <w:pStyle w:val="Normal"/>
        <w:numPr>
          <w:ilvl w:val="0"/>
          <w:numId w:val="28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ведение базы статистических данных;</w:t>
      </w:r>
    </w:p>
    <w:p>
      <w:pPr>
        <w:pStyle w:val="Normal"/>
        <w:numPr>
          <w:ilvl w:val="0"/>
          <w:numId w:val="28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расчёт значений показателей валютного риска:</w:t>
      </w:r>
    </w:p>
    <w:p>
      <w:pPr>
        <w:pStyle w:val="Normal"/>
        <w:spacing w:lineRule="auto" w:line="276" w:before="57" w:after="57"/>
        <w:ind w:firstLine="680"/>
        <w:rPr/>
      </w:pPr>
      <w:r>
        <w:rPr>
          <w:color w:val="auto"/>
          <w:szCs w:val="24"/>
          <w:lang w:eastAsia="x-none"/>
        </w:rPr>
        <w:t>- осуществление расчета валютных и процентных рисков в автоматизированном режиме;</w:t>
      </w:r>
    </w:p>
    <w:p>
      <w:pPr>
        <w:pStyle w:val="Normal"/>
        <w:spacing w:lineRule="auto" w:line="276" w:before="57" w:after="57"/>
        <w:ind w:firstLine="680"/>
        <w:rPr/>
      </w:pPr>
      <w:r>
        <w:rPr>
          <w:color w:val="auto"/>
          <w:szCs w:val="24"/>
          <w:lang w:eastAsia="x-none"/>
        </w:rPr>
        <w:t>- осуществление подбора планов хеджирования валютных и процентных рисков.</w:t>
      </w:r>
    </w:p>
    <w:p>
      <w:pPr>
        <w:pStyle w:val="Normal"/>
        <w:numPr>
          <w:ilvl w:val="0"/>
          <w:numId w:val="28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формирование отчетности.</w:t>
      </w:r>
    </w:p>
    <w:p>
      <w:pPr>
        <w:pStyle w:val="Normal"/>
        <w:spacing w:lineRule="auto" w:line="276" w:before="113" w:after="113"/>
        <w:ind w:firstLine="567"/>
        <w:jc w:val="both"/>
        <w:rPr/>
      </w:pPr>
      <w:r>
        <w:rPr>
          <w:color w:val="auto"/>
          <w:szCs w:val="24"/>
          <w:u w:val="single"/>
          <w:lang w:eastAsia="x-none"/>
        </w:rPr>
        <w:t>В части модуля «Портал для формирования списка декларантов» подсистемы АИСА:</w:t>
      </w:r>
    </w:p>
    <w:p>
      <w:pPr>
        <w:pStyle w:val="Normal"/>
        <w:numPr>
          <w:ilvl w:val="0"/>
          <w:numId w:val="29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актуализация полученного из АИСА перечня декларантов ДО;</w:t>
      </w:r>
    </w:p>
    <w:p>
      <w:pPr>
        <w:pStyle w:val="Normal"/>
        <w:numPr>
          <w:ilvl w:val="0"/>
          <w:numId w:val="29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утверждение внесенных данных и отправка готового перечня в АИСА</w:t>
      </w:r>
    </w:p>
    <w:p>
      <w:pPr>
        <w:pStyle w:val="Normal"/>
        <w:spacing w:lineRule="auto" w:line="276" w:before="113" w:after="113"/>
        <w:ind w:firstLine="567"/>
        <w:jc w:val="both"/>
        <w:rPr/>
      </w:pPr>
      <w:r>
        <w:rPr>
          <w:color w:val="auto"/>
          <w:szCs w:val="24"/>
          <w:u w:val="single"/>
          <w:lang w:eastAsia="x-none"/>
        </w:rPr>
        <w:t>В части модуля «Портал для ввода деклараций» подсистемы АИСА:</w:t>
      </w:r>
    </w:p>
    <w:p>
      <w:pPr>
        <w:pStyle w:val="Normal"/>
        <w:numPr>
          <w:ilvl w:val="0"/>
          <w:numId w:val="31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автоматизированный ввод сведений о доходах;</w:t>
      </w:r>
    </w:p>
    <w:p>
      <w:pPr>
        <w:pStyle w:val="Normal"/>
        <w:numPr>
          <w:ilvl w:val="0"/>
          <w:numId w:val="31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первичная проверка корректности вводимых данных по Сведениям о доходах;</w:t>
      </w:r>
    </w:p>
    <w:p>
      <w:pPr>
        <w:pStyle w:val="Normal"/>
        <w:numPr>
          <w:ilvl w:val="0"/>
          <w:numId w:val="31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автоматизация формирования сопроводительной документации на Сведения о доходах (Согласий на обработку персональной информации, Реестр родственников и пр.).</w:t>
      </w:r>
    </w:p>
    <w:p>
      <w:pPr>
        <w:pStyle w:val="Normal"/>
        <w:spacing w:lineRule="auto" w:line="276" w:before="113" w:after="113"/>
        <w:ind w:firstLine="567"/>
        <w:jc w:val="both"/>
        <w:rPr/>
      </w:pPr>
      <w:r>
        <w:rPr>
          <w:color w:val="auto"/>
          <w:szCs w:val="24"/>
          <w:u w:val="single"/>
          <w:lang w:eastAsia="x-none"/>
        </w:rPr>
        <w:t>В части модуля «Клиент аффилированных лиц» подсистемы АИСА:</w:t>
      </w:r>
    </w:p>
    <w:p>
      <w:pPr>
        <w:pStyle w:val="Normal"/>
        <w:numPr>
          <w:ilvl w:val="0"/>
          <w:numId w:val="31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формирование списков должностных лиц, подлежащих проверке;</w:t>
      </w:r>
    </w:p>
    <w:p>
      <w:pPr>
        <w:pStyle w:val="Normal"/>
        <w:numPr>
          <w:ilvl w:val="0"/>
          <w:numId w:val="31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инициация и проведение проверки лиц, претендующих на руководящие должности Общества;</w:t>
      </w:r>
    </w:p>
    <w:p>
      <w:pPr>
        <w:pStyle w:val="Normal"/>
        <w:numPr>
          <w:ilvl w:val="0"/>
          <w:numId w:val="31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проведение проверок:</w:t>
      </w:r>
    </w:p>
    <w:p>
      <w:pPr>
        <w:pStyle w:val="Normal"/>
        <w:spacing w:lineRule="auto" w:line="276" w:before="57" w:after="57"/>
        <w:ind w:firstLine="794"/>
        <w:jc w:val="both"/>
        <w:rPr/>
      </w:pPr>
      <w:r>
        <w:rPr>
          <w:color w:val="auto"/>
          <w:szCs w:val="24"/>
          <w:lang w:eastAsia="x-none"/>
        </w:rPr>
        <w:t>- на полноту и комплектность присылаемой информации;</w:t>
      </w:r>
    </w:p>
    <w:p>
      <w:pPr>
        <w:pStyle w:val="Normal"/>
        <w:spacing w:lineRule="auto" w:line="276" w:before="57" w:after="57"/>
        <w:ind w:firstLine="794"/>
        <w:jc w:val="both"/>
        <w:rPr/>
      </w:pPr>
      <w:r>
        <w:rPr>
          <w:color w:val="auto"/>
          <w:szCs w:val="24"/>
          <w:lang w:eastAsia="x-none"/>
        </w:rPr>
        <w:t>- на достоверность присылаемой информации;</w:t>
      </w:r>
    </w:p>
    <w:p>
      <w:pPr>
        <w:pStyle w:val="Normal"/>
        <w:spacing w:lineRule="auto" w:line="276" w:before="57" w:after="57"/>
        <w:ind w:firstLine="794"/>
        <w:jc w:val="both"/>
        <w:rPr/>
      </w:pPr>
      <w:r>
        <w:rPr>
          <w:color w:val="auto"/>
          <w:szCs w:val="24"/>
          <w:lang w:eastAsia="x-none"/>
        </w:rPr>
        <w:t>- на предмет наличия признаков Конфликта интересов</w:t>
      </w:r>
    </w:p>
    <w:p>
      <w:pPr>
        <w:pStyle w:val="Normal"/>
        <w:numPr>
          <w:ilvl w:val="0"/>
          <w:numId w:val="31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формализация результатов проверок;</w:t>
      </w:r>
    </w:p>
    <w:p>
      <w:pPr>
        <w:pStyle w:val="Normal"/>
        <w:numPr>
          <w:ilvl w:val="0"/>
          <w:numId w:val="31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формирование аналитической отчетности;</w:t>
      </w:r>
    </w:p>
    <w:p>
      <w:pPr>
        <w:pStyle w:val="Normal"/>
        <w:numPr>
          <w:ilvl w:val="0"/>
          <w:numId w:val="31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формирование отчета МинЭнерго с последующей выгрузкой в регламентированный формат;</w:t>
      </w:r>
    </w:p>
    <w:p>
      <w:pPr>
        <w:pStyle w:val="Normal"/>
        <w:numPr>
          <w:ilvl w:val="0"/>
          <w:numId w:val="31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сбор, обработка и хранение сведений о конфликтах интересов, предоставленных сотрудниками Общества на себя и своих близких либо на третьих лиц, через модуль «Анкета о конфликте интересов»;</w:t>
      </w:r>
    </w:p>
    <w:p>
      <w:pPr>
        <w:pStyle w:val="Normal"/>
        <w:numPr>
          <w:ilvl w:val="0"/>
          <w:numId w:val="31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проведение внутреннего аудита в части сотрудников Общества и анализ контрагентов Общества.</w:t>
      </w:r>
    </w:p>
    <w:p>
      <w:pPr>
        <w:pStyle w:val="Normal"/>
        <w:spacing w:lineRule="auto" w:line="276" w:before="113" w:after="113"/>
        <w:ind w:firstLine="567"/>
        <w:jc w:val="both"/>
        <w:rPr/>
      </w:pPr>
      <w:r>
        <w:rPr>
          <w:color w:val="auto"/>
          <w:szCs w:val="24"/>
          <w:u w:val="single"/>
          <w:lang w:eastAsia="x-none"/>
        </w:rPr>
        <w:t>В части модуля «Портал для сбора сведений о кандидатах» подсистемы АИСА:</w:t>
      </w:r>
    </w:p>
    <w:p>
      <w:pPr>
        <w:pStyle w:val="Normal"/>
        <w:numPr>
          <w:ilvl w:val="0"/>
          <w:numId w:val="31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автоматизированный ввод сведений о доходах кандидатов;</w:t>
      </w:r>
    </w:p>
    <w:p>
      <w:pPr>
        <w:pStyle w:val="Normal"/>
        <w:numPr>
          <w:ilvl w:val="0"/>
          <w:numId w:val="31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первичная проверка корректности вводимых данных по Сведениям о доходах;</w:t>
      </w:r>
    </w:p>
    <w:p>
      <w:pPr>
        <w:pStyle w:val="Normal"/>
        <w:numPr>
          <w:ilvl w:val="0"/>
          <w:numId w:val="31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автоматизация формирования сопроводительной документации (Справка о доходах кандидата и его родственников, Согласия на обработку персональной информации, Реестр родственников и проч.) и загрузку дополнительных документов.</w:t>
      </w:r>
    </w:p>
    <w:p>
      <w:pPr>
        <w:pStyle w:val="Normal"/>
        <w:spacing w:lineRule="auto" w:line="276" w:before="113" w:after="113"/>
        <w:ind w:firstLine="567"/>
        <w:jc w:val="both"/>
        <w:rPr/>
      </w:pPr>
      <w:r>
        <w:rPr>
          <w:color w:val="auto"/>
          <w:szCs w:val="24"/>
          <w:u w:val="single"/>
          <w:lang w:eastAsia="x-none"/>
        </w:rPr>
        <w:t>В части модуля «Портал для загрузки данных ДО» подсистемы АИСА:</w:t>
      </w:r>
    </w:p>
    <w:p>
      <w:pPr>
        <w:pStyle w:val="Normal"/>
        <w:numPr>
          <w:ilvl w:val="0"/>
          <w:numId w:val="31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автоматизированный ввод сведений по ДО, необходимых для проведения проверок.</w:t>
      </w:r>
    </w:p>
    <w:p>
      <w:pPr>
        <w:pStyle w:val="Normal"/>
        <w:spacing w:lineRule="auto" w:line="276" w:before="113" w:after="113"/>
        <w:ind w:firstLine="567"/>
        <w:jc w:val="both"/>
        <w:rPr/>
      </w:pPr>
      <w:r>
        <w:rPr>
          <w:color w:val="auto"/>
          <w:szCs w:val="24"/>
          <w:u w:val="single"/>
          <w:lang w:eastAsia="x-none"/>
        </w:rPr>
        <w:t>В части модуля «Анкета о конфликте интересов» подсистемы АИСА:</w:t>
      </w:r>
    </w:p>
    <w:p>
      <w:pPr>
        <w:pStyle w:val="Normal"/>
        <w:numPr>
          <w:ilvl w:val="0"/>
          <w:numId w:val="31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автоматизированный ввод сведений о конфликте интересов работников;</w:t>
      </w:r>
    </w:p>
    <w:p>
      <w:pPr>
        <w:pStyle w:val="Normal"/>
        <w:spacing w:lineRule="auto" w:line="276" w:before="113" w:after="113"/>
        <w:ind w:firstLine="567"/>
        <w:jc w:val="both"/>
        <w:rPr/>
      </w:pPr>
      <w:r>
        <w:rPr>
          <w:color w:val="auto"/>
          <w:szCs w:val="24"/>
          <w:u w:val="single"/>
          <w:lang w:eastAsia="x-none"/>
        </w:rPr>
        <w:t>В части подсистемы «СУПД»:</w:t>
      </w:r>
    </w:p>
    <w:p>
      <w:pPr>
        <w:pStyle w:val="Normal"/>
        <w:numPr>
          <w:ilvl w:val="0"/>
          <w:numId w:val="30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планирование и проведение внутренних контрольных мероприятий;</w:t>
      </w:r>
    </w:p>
    <w:p>
      <w:pPr>
        <w:pStyle w:val="Normal"/>
        <w:numPr>
          <w:ilvl w:val="0"/>
          <w:numId w:val="30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хранения данных о ходе проведения и результатах внутренних и внешних проверок в едином информационном пространстве;</w:t>
      </w:r>
    </w:p>
    <w:p>
      <w:pPr>
        <w:pStyle w:val="Normal"/>
        <w:numPr>
          <w:ilvl w:val="0"/>
          <w:numId w:val="30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разработка ответственными сотрудниками планов корректирующих мероприятий (ПКМ), в том числе:</w:t>
      </w:r>
    </w:p>
    <w:p>
      <w:pPr>
        <w:pStyle w:val="Normal"/>
        <w:spacing w:lineRule="auto" w:line="276" w:before="57" w:after="57"/>
        <w:ind w:firstLine="794"/>
        <w:jc w:val="both"/>
        <w:rPr/>
      </w:pPr>
      <w:r>
        <w:rPr>
          <w:color w:val="auto"/>
          <w:szCs w:val="24"/>
          <w:lang w:eastAsia="x-none"/>
        </w:rPr>
        <w:t>- контроль сроков исполнения ПКМ;</w:t>
      </w:r>
    </w:p>
    <w:p>
      <w:pPr>
        <w:pStyle w:val="Normal"/>
        <w:spacing w:lineRule="auto" w:line="276" w:before="57" w:after="57"/>
        <w:ind w:firstLine="794"/>
        <w:jc w:val="both"/>
        <w:rPr/>
      </w:pPr>
      <w:r>
        <w:rPr>
          <w:color w:val="auto"/>
          <w:szCs w:val="24"/>
          <w:lang w:eastAsia="x-none"/>
        </w:rPr>
        <w:t>- внесение данных об исполнении запланированных мероприятий;</w:t>
      </w:r>
    </w:p>
    <w:p>
      <w:pPr>
        <w:pStyle w:val="Normal"/>
        <w:spacing w:lineRule="auto" w:line="276" w:before="57" w:after="57"/>
        <w:ind w:firstLine="794"/>
        <w:jc w:val="both"/>
        <w:rPr/>
      </w:pPr>
      <w:r>
        <w:rPr>
          <w:color w:val="auto"/>
          <w:szCs w:val="24"/>
          <w:lang w:eastAsia="x-none"/>
        </w:rPr>
        <w:t>- приложение подтверждающих документов;</w:t>
      </w:r>
    </w:p>
    <w:p>
      <w:pPr>
        <w:pStyle w:val="Normal"/>
        <w:numPr>
          <w:ilvl w:val="0"/>
          <w:numId w:val="30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поиск по параметрам проверок;</w:t>
      </w:r>
    </w:p>
    <w:p>
      <w:pPr>
        <w:pStyle w:val="Normal"/>
        <w:numPr>
          <w:ilvl w:val="0"/>
          <w:numId w:val="30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отправка уведомлений ответственным исполнителям о приближении / наступлении / истечении сроков реализации поставленных задач;</w:t>
      </w:r>
    </w:p>
    <w:p>
      <w:pPr>
        <w:pStyle w:val="Normal"/>
        <w:numPr>
          <w:ilvl w:val="0"/>
          <w:numId w:val="30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формирование шаблонных и пользовательских отчетов;</w:t>
      </w:r>
    </w:p>
    <w:p>
      <w:pPr>
        <w:pStyle w:val="Normal"/>
        <w:numPr>
          <w:ilvl w:val="0"/>
          <w:numId w:val="30"/>
        </w:numPr>
        <w:spacing w:lineRule="auto" w:line="276" w:before="57" w:after="57"/>
        <w:ind w:firstLine="567" w:left="0"/>
        <w:jc w:val="both"/>
        <w:rPr/>
      </w:pPr>
      <w:r>
        <w:rPr>
          <w:color w:val="auto"/>
          <w:szCs w:val="24"/>
          <w:lang w:eastAsia="x-none"/>
        </w:rPr>
        <w:t>аналитические дашборды.</w:t>
      </w:r>
    </w:p>
    <w:p>
      <w:pPr>
        <w:pStyle w:val="Normal"/>
        <w:spacing w:lineRule="auto" w:line="276" w:before="113" w:after="113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Состав программно-технических средств Системы*</w:t>
      </w:r>
      <w:r>
        <w:rPr>
          <w:b/>
          <w:bCs/>
          <w:color w:val="auto"/>
          <w:szCs w:val="24"/>
          <w:lang w:eastAsia="x-none"/>
        </w:rPr>
        <w:t>:</w:t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6"/>
        <w:gridCol w:w="3387"/>
        <w:gridCol w:w="5685"/>
      </w:tblGrid>
      <w:tr>
        <w:trPr>
          <w:cantSplit w:val="true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№</w:t>
            </w:r>
            <w:r>
              <w:rPr>
                <w:b/>
                <w:bCs/>
                <w:color w:val="auto"/>
                <w:sz w:val="22"/>
                <w:szCs w:val="22"/>
              </w:rPr>
              <w:br/>
              <w:t>п/п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Класс ИТ-актива / </w:t>
              <w:br/>
              <w:t>элемент Системы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Программная платформа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Продуктивный контур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АСУР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Special Edition</w:t>
            </w:r>
          </w:p>
          <w:p>
            <w:pPr>
              <w:pStyle w:val="Normal"/>
              <w:suppressAutoHyphens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Tantor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1.2.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приложений Модуля "Анкета о конфликтах интересов"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Windows Server 2012 R2 Standard, 64-bit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Microsoft IIS, Microsoft .Net Framework 4, DeclarationPortal v1.0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1.3.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приложений веб-сервиса "Анкета о конфликтах интересов"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Windows Server 2016 R2 Standard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 xml:space="preserve">Microsoft® SQL Server® 2016 SP 1, Microsoft IIS, Microsoft .Net Framework 4.5.2, AffiliatedPersons v 3, Microsoft Excel 2016 64 </w:t>
            </w:r>
            <w:r>
              <w:rPr>
                <w:color w:val="auto"/>
                <w:sz w:val="22"/>
                <w:szCs w:val="22"/>
              </w:rPr>
              <w:t>разрядный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1.4.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Cервер приложений и БД ИС МПК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Common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PostgreSQL 11 NGINX MPK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1.5.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Cервер файлового хранилища ИС МПК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Common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NGINX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1.6.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файлового хранилища ЛК контрагента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Common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NGINX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1.7.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веб-приложения ЛК контрагента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Common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NGINX LK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1.8.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БД ЛК контрагента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Special Edition</w:t>
            </w:r>
          </w:p>
          <w:p>
            <w:pPr>
              <w:pStyle w:val="Normal"/>
              <w:suppressAutoHyphens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Tantor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1.9.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БД Модуля "Управление рисками"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Special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Tantor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1.10.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приложений Модуля "Управление рисками"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Special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NGINX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1.11.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приложений Модуля "Клиент аффилированных лиц"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Special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NGINX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1.12.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БД Модуля "Клиент аффилированных лиц"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Special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Tantor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1.13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приложений Личного кабинета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Special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NGINX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1.14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БД Личного кабинета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Special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Tantor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1.15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БД СУПД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Special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Tantor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1.16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приложений СУПД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Special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NGINX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Тестовый контур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2.1.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приложений и БД ИС МПК, Личного кабинета контрагента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Common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PostgreSQL 11 NGINX MPK LK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2.2.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файлового хранилища ИС МПК и ЛК контрагента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Common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NGINX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2.3.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приложений Модуля "Клиент аффилированных лиц"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Special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NGINX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2.4.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БД Модуля "Клиент аффилированных лиц"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Special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Tantor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2.5.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БД Модуля "Клиент аффилированных лиц"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Special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Tantor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2.6.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приложений Личного кабинета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Special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NGINX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2.7.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БД Личного кабинета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Special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Tantor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2.8.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БД СУПД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Special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Tantor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2.9.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Сервер приложений СУПД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Astra Linux ® Special Edition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NGINX</w:t>
            </w:r>
          </w:p>
        </w:tc>
      </w:tr>
    </w:tbl>
    <w:p>
      <w:pPr>
        <w:pStyle w:val="Normal"/>
        <w:shd w:val="clear" w:color="auto" w:fill="FFFFFF"/>
        <w:tabs>
          <w:tab w:val="clear" w:pos="708"/>
          <w:tab w:val="left" w:pos="426" w:leader="none"/>
          <w:tab w:val="left" w:pos="993" w:leader="none"/>
        </w:tabs>
        <w:spacing w:before="0" w:after="113"/>
        <w:jc w:val="both"/>
        <w:rPr/>
      </w:pPr>
      <w:r>
        <w:rPr>
          <w:color w:val="auto"/>
          <w:szCs w:val="24"/>
        </w:rPr>
        <w:t>* информация в таблице указана справочно на момент подготовки Технических требований и может быть изменена в период действия договора.</w:t>
      </w:r>
    </w:p>
    <w:p>
      <w:pPr>
        <w:pStyle w:val="Heading4"/>
        <w:numPr>
          <w:ilvl w:val="2"/>
          <w:numId w:val="3"/>
        </w:numPr>
        <w:spacing w:before="113" w:after="113"/>
        <w:rPr>
          <w:color w:val="auto"/>
        </w:rPr>
      </w:pPr>
      <w:bookmarkStart w:id="8" w:name="__RefHeading___Toc10741_3455020820"/>
      <w:bookmarkEnd w:id="8"/>
      <w:r>
        <w:rPr>
          <w:color w:val="auto"/>
          <w:lang w:val="ru-RU"/>
        </w:rPr>
        <w:t>Интеграция с другими системами</w:t>
      </w:r>
    </w:p>
    <w:p>
      <w:pPr>
        <w:pStyle w:val="Normal"/>
        <w:spacing w:before="113" w:after="113"/>
        <w:ind w:firstLine="567"/>
        <w:jc w:val="both"/>
        <w:rPr>
          <w:color w:val="auto"/>
        </w:rPr>
      </w:pPr>
      <w:r>
        <w:rPr>
          <w:rFonts w:eastAsia="Calibri"/>
          <w:color w:val="auto"/>
          <w:lang w:eastAsia="en-US"/>
        </w:rPr>
        <w:t>Перечень АС, с которыми взаимосвязана АСВКиУР, с разбивкой на её подсистемы:</w:t>
      </w:r>
    </w:p>
    <w:tbl>
      <w:tblPr>
        <w:tblW w:w="9691" w:type="dxa"/>
        <w:jc w:val="left"/>
        <w:tblInd w:w="-57" w:type="dxa"/>
        <w:tblLayout w:type="fixed"/>
        <w:tblCellMar>
          <w:top w:w="0" w:type="dxa"/>
          <w:left w:w="8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1338"/>
        <w:gridCol w:w="397"/>
        <w:gridCol w:w="1777"/>
        <w:gridCol w:w="6178"/>
      </w:tblGrid>
      <w:tr>
        <w:trPr>
          <w:trHeight w:val="520" w:hRule="atLeast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spacing w:before="57" w:after="57"/>
              <w:rPr>
                <w:spacing w:val="0"/>
              </w:rPr>
            </w:pPr>
            <w:r>
              <w:rPr>
                <w:rFonts w:eastAsia="Calibri"/>
                <w:b/>
                <w:color w:val="auto"/>
                <w:spacing w:val="0"/>
                <w:sz w:val="22"/>
                <w:szCs w:val="22"/>
                <w:lang w:eastAsia="en-US"/>
              </w:rPr>
              <w:t>Подсистема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spacing w:before="57" w:after="57"/>
              <w:rPr>
                <w:spacing w:val="0"/>
              </w:rPr>
            </w:pPr>
            <w:r>
              <w:rPr>
                <w:rFonts w:eastAsia="Calibri"/>
                <w:b/>
                <w:color w:val="auto"/>
                <w:spacing w:val="0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spacing w:before="57" w:after="57"/>
              <w:rPr>
                <w:spacing w:val="0"/>
              </w:rPr>
            </w:pPr>
            <w:r>
              <w:rPr>
                <w:rFonts w:eastAsia="Calibri"/>
                <w:b/>
                <w:color w:val="auto"/>
                <w:spacing w:val="0"/>
                <w:sz w:val="22"/>
                <w:szCs w:val="22"/>
                <w:lang w:eastAsia="en-US"/>
              </w:rPr>
              <w:t>Название АС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spacing w:before="57" w:after="57"/>
              <w:rPr>
                <w:spacing w:val="0"/>
              </w:rPr>
            </w:pPr>
            <w:r>
              <w:rPr>
                <w:rFonts w:eastAsia="Calibri"/>
                <w:b/>
                <w:color w:val="auto"/>
                <w:spacing w:val="0"/>
                <w:sz w:val="22"/>
                <w:szCs w:val="22"/>
                <w:lang w:eastAsia="en-US"/>
              </w:rPr>
              <w:t>Краткое описание</w:t>
            </w:r>
          </w:p>
        </w:tc>
      </w:tr>
      <w:tr>
        <w:trPr>
          <w:trHeight w:val="1531" w:hRule="atLeast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spacing w:before="57" w:after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val="en-US" w:eastAsia="en-US"/>
              </w:rPr>
              <w:t>АСУР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spacing w:before="57" w:after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spacing w:before="57" w:after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Модуль Корпоративного портала ПАО «РусГидро» «Телефонный справочник»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spacing w:before="57" w:after="57"/>
              <w:ind w:right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Интеграция с Телефонным справочником происходит в части загрузки информации об организационной структуре Группы РусГидро и перечня сотрудников в привязке к организационной структуре.</w:t>
            </w:r>
          </w:p>
          <w:p>
            <w:pPr>
              <w:pStyle w:val="Normal"/>
              <w:tabs>
                <w:tab w:val="clear" w:pos="708"/>
                <w:tab w:val="left" w:pos="6" w:leader="none"/>
              </w:tabs>
              <w:spacing w:before="57" w:after="57"/>
              <w:ind w:right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Данные поступают ежедневно в автоматическом режиме.</w:t>
            </w:r>
          </w:p>
        </w:tc>
      </w:tr>
      <w:tr>
        <w:trPr>
          <w:trHeight w:val="536" w:hRule="atLeast"/>
        </w:trPr>
        <w:tc>
          <w:tcPr>
            <w:tcW w:w="13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before="57" w:after="57"/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spacing w:before="57" w:after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spacing w:before="57" w:after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 xml:space="preserve">Внешние АИС, находящихся в свободном доступе в сети </w:t>
            </w:r>
            <w:r>
              <w:rPr>
                <w:rFonts w:eastAsia="Calibri"/>
                <w:color w:val="auto"/>
                <w:spacing w:val="0"/>
                <w:sz w:val="22"/>
                <w:szCs w:val="22"/>
                <w:lang w:val="en-US" w:eastAsia="en-US"/>
              </w:rPr>
              <w:t>Internet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spacing w:before="57" w:after="57"/>
              <w:ind w:right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В рамках данной интеграции загружаются следующие данные:</w:t>
            </w:r>
          </w:p>
          <w:p>
            <w:pPr>
              <w:pStyle w:val="Normal"/>
              <w:numPr>
                <w:ilvl w:val="0"/>
                <w:numId w:val="27"/>
              </w:numPr>
              <w:tabs>
                <w:tab w:val="clear" w:pos="708"/>
                <w:tab w:val="left" w:pos="6" w:leader="none"/>
              </w:tabs>
              <w:suppressAutoHyphens w:val="false"/>
              <w:ind w:hanging="227" w:left="227" w:right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 xml:space="preserve">С сайта </w:t>
            </w:r>
            <w:r>
              <w:rPr>
                <w:rFonts w:eastAsia="Calibri"/>
                <w:color w:val="auto"/>
                <w:spacing w:val="0"/>
                <w:sz w:val="22"/>
                <w:szCs w:val="22"/>
                <w:lang w:val="en-US" w:eastAsia="en-US"/>
              </w:rPr>
              <w:t>http</w:t>
            </w: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://</w:t>
            </w:r>
            <w:r>
              <w:rPr>
                <w:rFonts w:eastAsia="Calibri"/>
                <w:color w:val="auto"/>
                <w:spacing w:val="0"/>
                <w:sz w:val="22"/>
                <w:szCs w:val="22"/>
                <w:lang w:val="en-US" w:eastAsia="en-US"/>
              </w:rPr>
              <w:t>www</w:t>
            </w: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color w:val="auto"/>
                <w:spacing w:val="0"/>
                <w:sz w:val="22"/>
                <w:szCs w:val="22"/>
                <w:lang w:val="en-US" w:eastAsia="en-US"/>
              </w:rPr>
              <w:t>cbr</w:t>
            </w: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color w:val="auto"/>
                <w:spacing w:val="0"/>
                <w:sz w:val="22"/>
                <w:szCs w:val="22"/>
                <w:lang w:val="en-US" w:eastAsia="en-US"/>
              </w:rPr>
              <w:t>ru</w:t>
            </w: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/ грузится курсы валют (рубля к доллару и евро) и средние процентные ставки по кредитам (по рублевым кредитам, в долларах и евро);</w:t>
            </w:r>
          </w:p>
          <w:p>
            <w:pPr>
              <w:pStyle w:val="Normal"/>
              <w:tabs>
                <w:tab w:val="clear" w:pos="708"/>
                <w:tab w:val="left" w:pos="6" w:leader="none"/>
              </w:tabs>
              <w:ind w:right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Все данные грузятся ежедневно в автоматическом режиме</w:t>
            </w:r>
          </w:p>
        </w:tc>
      </w:tr>
      <w:tr>
        <w:trPr>
          <w:trHeight w:val="536" w:hRule="atLeast"/>
        </w:trPr>
        <w:tc>
          <w:tcPr>
            <w:tcW w:w="13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before="57" w:after="57"/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АИСА</w:t>
            </w: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spacing w:before="57" w:after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spacing w:before="57" w:after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ИАС СФИНКС</w:t>
            </w:r>
          </w:p>
        </w:tc>
        <w:tc>
          <w:tcPr>
            <w:tcW w:w="6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spacing w:before="57" w:after="57"/>
              <w:ind w:right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Информационно-аналитическая система обеспечения безопасности СФИНКС.</w:t>
            </w:r>
          </w:p>
          <w:p>
            <w:pPr>
              <w:pStyle w:val="Normal"/>
              <w:tabs>
                <w:tab w:val="clear" w:pos="708"/>
                <w:tab w:val="left" w:pos="6" w:leader="none"/>
              </w:tabs>
              <w:spacing w:before="57" w:after="57"/>
              <w:ind w:right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Информация загружается в систему автоматически по запросу пользователя. Информация, загруженная по запросам пользователей модулей «Портал для ввода деклараций» и «Портал для сбора сведений о кандидатах», кэшируется на срок 30 дней</w:t>
            </w:r>
          </w:p>
        </w:tc>
      </w:tr>
      <w:tr>
        <w:trPr>
          <w:trHeight w:val="536" w:hRule="atLeast"/>
        </w:trPr>
        <w:tc>
          <w:tcPr>
            <w:tcW w:w="13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before="57" w:after="57"/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spacing w:before="57" w:after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spacing w:before="57" w:after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Внутренние ИС Общества</w:t>
            </w:r>
          </w:p>
        </w:tc>
        <w:tc>
          <w:tcPr>
            <w:tcW w:w="6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ind w:right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Загрузка файлов по шаблону со следующими данным:</w:t>
            </w:r>
          </w:p>
          <w:p>
            <w:pPr>
              <w:pStyle w:val="Normal"/>
              <w:numPr>
                <w:ilvl w:val="0"/>
                <w:numId w:val="27"/>
              </w:numPr>
              <w:spacing w:before="57" w:after="57"/>
              <w:ind w:hanging="227" w:left="22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Загрузка цепочек бенефициаров контрагентов Общества;</w:t>
            </w:r>
          </w:p>
          <w:p>
            <w:pPr>
              <w:pStyle w:val="Normal"/>
              <w:numPr>
                <w:ilvl w:val="0"/>
                <w:numId w:val="27"/>
              </w:numPr>
              <w:spacing w:before="57" w:after="57"/>
              <w:ind w:hanging="227" w:left="22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Загрузка списка ЧСД по данным БДКУ;</w:t>
            </w:r>
          </w:p>
          <w:p>
            <w:pPr>
              <w:pStyle w:val="Normal"/>
              <w:spacing w:before="57" w:after="57"/>
              <w:ind w:right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Так же разработана загрузка информации по следующим данным:</w:t>
            </w:r>
          </w:p>
          <w:p>
            <w:pPr>
              <w:pStyle w:val="Normal"/>
              <w:numPr>
                <w:ilvl w:val="0"/>
                <w:numId w:val="27"/>
              </w:numPr>
              <w:spacing w:before="57" w:after="57"/>
              <w:ind w:hanging="227" w:left="22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Загрузка списка декларантов ИА ПАО «РусГидро» при помощи веб-сервиса из 1С (ИС ЛУЧ);</w:t>
            </w:r>
          </w:p>
          <w:p>
            <w:pPr>
              <w:pStyle w:val="Normal"/>
              <w:numPr>
                <w:ilvl w:val="0"/>
                <w:numId w:val="27"/>
              </w:numPr>
              <w:spacing w:before="57" w:after="57"/>
              <w:ind w:hanging="227" w:left="22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Отправка данных по принятым в ПАО «РусГидро» недекларирующимся кандидатам в 1С (ИС ЛУЧ).</w:t>
            </w:r>
          </w:p>
          <w:p>
            <w:pPr>
              <w:pStyle w:val="Normal"/>
              <w:tabs>
                <w:tab w:val="clear" w:pos="708"/>
                <w:tab w:val="left" w:pos="6" w:leader="none"/>
              </w:tabs>
              <w:spacing w:before="57" w:after="57"/>
              <w:ind w:right="57"/>
              <w:rPr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  <w:lang w:eastAsia="en-US"/>
              </w:rPr>
              <w:t>Загрузка производится автоматизировано, ежегодно</w:t>
            </w:r>
          </w:p>
        </w:tc>
      </w:tr>
    </w:tbl>
    <w:p>
      <w:pPr>
        <w:pStyle w:val="Heading4"/>
        <w:keepNext w:val="true"/>
        <w:widowControl/>
        <w:numPr>
          <w:ilvl w:val="0"/>
          <w:numId w:val="0"/>
        </w:numPr>
        <w:suppressAutoHyphens w:val="true"/>
        <w:spacing w:lineRule="auto" w:line="276" w:before="113" w:after="113"/>
        <w:ind w:hanging="432" w:left="432"/>
        <w:jc w:val="both"/>
        <w:rPr>
          <w:color w:val="auto"/>
          <w:lang w:val="ru-RU"/>
        </w:rPr>
      </w:pPr>
      <w:r>
        <w:rPr>
          <w:color w:val="auto"/>
          <w:lang w:val="ru-RU"/>
        </w:rPr>
      </w:r>
      <w:r>
        <w:br w:type="page"/>
      </w:r>
    </w:p>
    <w:p>
      <w:pPr>
        <w:pStyle w:val="Heading4"/>
        <w:numPr>
          <w:ilvl w:val="2"/>
          <w:numId w:val="3"/>
        </w:numPr>
        <w:spacing w:before="113" w:after="113"/>
        <w:rPr/>
      </w:pPr>
      <w:bookmarkStart w:id="9" w:name="__RefHeading___Toc10743_3455020820"/>
      <w:bookmarkEnd w:id="9"/>
      <w:r>
        <w:rPr>
          <w:color w:val="auto"/>
          <w:lang w:val="ru-RU"/>
        </w:rPr>
        <w:t>Использование Системой существующих информационных сервисов</w:t>
      </w:r>
    </w:p>
    <w:p>
      <w:pPr>
        <w:pStyle w:val="Normal"/>
        <w:keepNext w:val="true"/>
        <w:spacing w:before="113" w:after="113"/>
        <w:ind w:firstLine="567"/>
        <w:jc w:val="both"/>
        <w:rPr/>
      </w:pPr>
      <w:r>
        <w:rPr>
          <w:color w:val="auto"/>
          <w:szCs w:val="24"/>
          <w:lang w:eastAsia="x-none"/>
        </w:rPr>
        <w:t>Система использует следующие существующие информационные сервисы Общества:</w:t>
      </w:r>
    </w:p>
    <w:p>
      <w:pPr>
        <w:pStyle w:val="Normal"/>
        <w:numPr>
          <w:ilvl w:val="0"/>
          <w:numId w:val="24"/>
        </w:numPr>
        <w:jc w:val="both"/>
        <w:rPr>
          <w:color w:val="auto"/>
        </w:rPr>
      </w:pPr>
      <w:r>
        <w:rPr>
          <w:color w:val="auto"/>
          <w:szCs w:val="24"/>
          <w:lang w:eastAsia="x-none"/>
        </w:rPr>
        <w:t>Служба</w:t>
      </w:r>
      <w:r>
        <w:rPr>
          <w:color w:val="auto"/>
          <w:szCs w:val="24"/>
          <w:lang w:val="en-US" w:eastAsia="x-none"/>
        </w:rPr>
        <w:t xml:space="preserve"> </w:t>
      </w:r>
      <w:r>
        <w:rPr>
          <w:color w:val="auto"/>
          <w:szCs w:val="24"/>
          <w:lang w:eastAsia="x-none"/>
        </w:rPr>
        <w:t>каталогов</w:t>
      </w:r>
      <w:r>
        <w:rPr>
          <w:color w:val="auto"/>
          <w:szCs w:val="24"/>
          <w:lang w:val="en-US" w:eastAsia="x-none"/>
        </w:rPr>
        <w:t xml:space="preserve"> MS Active Directory;</w:t>
      </w:r>
    </w:p>
    <w:p>
      <w:pPr>
        <w:pStyle w:val="Normal"/>
        <w:numPr>
          <w:ilvl w:val="0"/>
          <w:numId w:val="24"/>
        </w:numPr>
        <w:jc w:val="both"/>
        <w:rPr>
          <w:color w:val="auto"/>
        </w:rPr>
      </w:pPr>
      <w:r>
        <w:rPr>
          <w:color w:val="auto"/>
          <w:szCs w:val="24"/>
          <w:lang w:eastAsia="x-none"/>
        </w:rPr>
        <w:t>Система резервного копирования.</w:t>
      </w:r>
    </w:p>
    <w:p>
      <w:pPr>
        <w:pStyle w:val="Heading4"/>
        <w:numPr>
          <w:ilvl w:val="2"/>
          <w:numId w:val="3"/>
        </w:numPr>
        <w:spacing w:before="113" w:after="113"/>
        <w:rPr>
          <w:color w:val="auto"/>
        </w:rPr>
      </w:pPr>
      <w:bookmarkStart w:id="10" w:name="__RefHeading___Toc10745_3455020820"/>
      <w:bookmarkEnd w:id="10"/>
      <w:r>
        <w:rPr>
          <w:color w:val="auto"/>
          <w:lang w:val="ru-RU"/>
        </w:rPr>
        <w:t>Особенности реализации Системы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</w:rPr>
        <w:t>Система состоит из модулей:</w:t>
      </w:r>
    </w:p>
    <w:p>
      <w:pPr>
        <w:pStyle w:val="Normal"/>
        <w:spacing w:lineRule="auto" w:line="276" w:before="113" w:after="113"/>
        <w:jc w:val="both"/>
        <w:rPr>
          <w:color w:val="auto"/>
        </w:rPr>
      </w:pPr>
      <w:r>
        <w:rPr/>
        <w:drawing>
          <wp:inline distT="0" distB="0" distL="0" distR="0">
            <wp:extent cx="6119495" cy="284099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keepLines/>
        <w:numPr>
          <w:ilvl w:val="0"/>
          <w:numId w:val="0"/>
        </w:numPr>
        <w:spacing w:before="113" w:after="113"/>
        <w:ind w:hanging="0" w:left="0"/>
        <w:rPr>
          <w:color w:val="auto"/>
        </w:rPr>
      </w:pPr>
      <w:bookmarkStart w:id="11" w:name="__RefHeading___Toc62237_3104815314"/>
      <w:bookmarkEnd w:id="11"/>
      <w:r>
        <w:rPr>
          <w:color w:val="auto"/>
          <w:sz w:val="24"/>
          <w:szCs w:val="24"/>
          <w:lang w:val="ru-RU"/>
        </w:rPr>
        <w:t>Таблица 1. Перечень объектов Заказчика</w:t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1843"/>
        <w:gridCol w:w="2737"/>
        <w:gridCol w:w="2965"/>
        <w:gridCol w:w="1556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color w:val="auto"/>
                <w:szCs w:val="24"/>
              </w:rPr>
              <w:t>(место оказания услуг)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2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3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76" w:before="113" w:after="113"/>
              <w:ind w:left="0"/>
              <w:contextualSpacing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АСВКиУР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г. Красноярск,</w:t>
              <w:br/>
              <w:t xml:space="preserve">ул. Перенсона, д. 2А </w:t>
              <w:br/>
              <w:t xml:space="preserve">(услуга оказывается </w:t>
              <w:br/>
              <w:t>дистанционно)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АСВКиУР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13" w:after="113"/>
              <w:jc w:val="center"/>
              <w:rPr>
                <w:color w:val="auto"/>
              </w:rPr>
            </w:pPr>
            <w:r>
              <w:rPr>
                <w:iCs/>
                <w:color w:val="auto"/>
                <w:szCs w:val="24"/>
              </w:rPr>
              <w:t>-</w:t>
            </w:r>
          </w:p>
        </w:tc>
      </w:tr>
    </w:tbl>
    <w:p>
      <w:pPr>
        <w:pStyle w:val="Heading4"/>
        <w:numPr>
          <w:ilvl w:val="0"/>
        </w:numPr>
        <w:spacing w:before="113" w:after="113"/>
        <w:ind w:hanging="0" w:left="432"/>
        <w:rPr>
          <w:color w:val="auto"/>
          <w:szCs w:val="24"/>
          <w:lang w:eastAsia="x-none"/>
        </w:rPr>
      </w:pPr>
      <w:r>
        <w:rPr>
          <w:color w:val="auto"/>
          <w:szCs w:val="24"/>
          <w:lang w:eastAsia="x-none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0" w:after="227"/>
        <w:ind w:hanging="0" w:left="0"/>
        <w:jc w:val="center"/>
        <w:rPr>
          <w:color w:val="auto"/>
        </w:rPr>
      </w:pPr>
      <w:bookmarkStart w:id="12" w:name="__RefHeading___Toc62241_3104815314"/>
      <w:bookmarkEnd w:id="12"/>
      <w:r>
        <w:rPr>
          <w:iCs/>
          <w:color w:val="auto"/>
          <w:lang w:val="ru-RU"/>
        </w:rPr>
        <w:t>Требования к услугам</w:t>
      </w:r>
    </w:p>
    <w:p>
      <w:pPr>
        <w:pStyle w:val="Heading4"/>
        <w:numPr>
          <w:ilvl w:val="1"/>
          <w:numId w:val="3"/>
        </w:numPr>
        <w:spacing w:lineRule="auto" w:line="276" w:before="113" w:after="113"/>
        <w:ind w:hanging="431" w:left="431"/>
        <w:rPr>
          <w:color w:val="auto"/>
        </w:rPr>
      </w:pPr>
      <w:bookmarkStart w:id="13" w:name="__RefHeading___Toc62243_3104815314"/>
      <w:bookmarkEnd w:id="13"/>
      <w:r>
        <w:rPr>
          <w:color w:val="auto"/>
          <w:lang w:val="ru-RU"/>
        </w:rPr>
        <w:t>Требования к объемам и срокам оказания услуг</w:t>
      </w:r>
    </w:p>
    <w:p>
      <w:pPr>
        <w:pStyle w:val="Heading4"/>
        <w:numPr>
          <w:ilvl w:val="2"/>
          <w:numId w:val="3"/>
        </w:numPr>
        <w:spacing w:lineRule="auto" w:line="276" w:before="113" w:after="113"/>
        <w:rPr>
          <w:color w:val="auto"/>
        </w:rPr>
      </w:pPr>
      <w:bookmarkStart w:id="14" w:name="__RefHeading___Toc62243_3104815314_Копия"/>
      <w:bookmarkEnd w:id="14"/>
      <w:r>
        <w:rPr>
          <w:color w:val="auto"/>
          <w:lang w:val="ru-RU"/>
        </w:rPr>
        <w:t>Требования к перечню и объёму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</w:rPr>
        <w:t>Объем выполнения услуг определяется в соответствии с требованиями по качеству оказания услуг и соглашению об уровне предоставления услуг (SLA).</w:t>
      </w:r>
    </w:p>
    <w:p>
      <w:pPr>
        <w:pStyle w:val="Heading1"/>
        <w:keepLines/>
        <w:numPr>
          <w:ilvl w:val="0"/>
          <w:numId w:val="0"/>
        </w:numPr>
        <w:spacing w:lineRule="auto" w:line="276" w:before="113" w:after="113"/>
        <w:ind w:hanging="0" w:left="0"/>
        <w:rPr>
          <w:color w:val="auto"/>
        </w:rPr>
      </w:pPr>
      <w:bookmarkStart w:id="15" w:name="__RefHeading___Toc62245_3104815314"/>
      <w:bookmarkEnd w:id="15"/>
      <w:r>
        <w:rPr>
          <w:color w:val="auto"/>
          <w:sz w:val="24"/>
          <w:szCs w:val="24"/>
          <w:lang w:val="ru-RU"/>
        </w:rPr>
        <w:t>Таблица 2. Перечень оказываемых услуг</w:t>
      </w:r>
    </w:p>
    <w:tbl>
      <w:tblPr>
        <w:tblW w:w="9924" w:type="dxa"/>
        <w:jc w:val="left"/>
        <w:tblInd w:w="-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15"/>
        <w:gridCol w:w="9208"/>
      </w:tblGrid>
      <w:tr>
        <w:trPr>
          <w:cantSplit w:val="true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№</w:t>
            </w:r>
            <w:r>
              <w:rPr>
                <w:b/>
                <w:bCs/>
                <w:color w:val="auto"/>
                <w:szCs w:val="24"/>
              </w:rPr>
              <w:br/>
              <w:t>п/п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Наименование услуг / этапа услуг</w:t>
            </w:r>
          </w:p>
        </w:tc>
      </w:tr>
      <w:tr>
        <w:trPr>
          <w:trHeight w:val="388" w:hRule="atLeast"/>
          <w:cantSplit w:val="true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1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2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1.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Перечень задач в рамках обеспечения работоспособности и производительности Системы.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1.1.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Выполнение процедур штатного обслуживания (регламентно-профилактических работ) согласно Регламенту штатного обслуживания Системы с ведением журнала выполненных работ.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1.2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113"/>
              <w:jc w:val="both"/>
              <w:rPr>
                <w:color w:val="auto"/>
              </w:rPr>
            </w:pPr>
            <w:r>
              <w:rPr>
                <w:color w:val="auto"/>
                <w:szCs w:val="24"/>
                <w:lang w:eastAsia="x-none"/>
              </w:rPr>
              <w:t>Анализ и решение Проблем, выявленных в процессе эксплуатации Системы, с последующим формированием базы знаний «известных ошибок» по их устранению.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1.3.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Осуществление контроля и анализа состояния Системы с помощью системы мониторинга Заказчика с последующей выдачей рекомендаций по повышению производительности.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1.4.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Проведение восстановительных работ.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1.5.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Обеспечение накопления и анализа данных об ошибках, сбоях и отказах Системы в процессе эксплуатации с последующим предоставлением отчетности Заказчику с указанием выполненного комплекса мероприятий для устранения и предотвращения повторного возникновения ошибок, сбоев и отказов Системы.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1.6.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Обеспечение требуемого уровня предоставления услуги в соответствие с SLA.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1.7.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Устранение отказов и сбоев в работе Системы, выявленных в процессе эксплуатации.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1.8.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Исправление ошибок в работе Системы, выявленных в результате мониторинга системы, анализа обращений пользователей, проблем и нештатных ситуаций.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1.9.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Разработка и применение предложений по альтернативной настройке и применению обходного решения и/или предоставление исправлений (патчей), устраняющих выявленную Проблему.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1.10.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Обновление эксплуатационной документации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1.11.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</w:rPr>
              <w:t>Внесение изменений в проектные решения Системы в целях восстановления штатной конфигурации и режима функционирования.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1.12.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Выполнение незначительных доработок в Системе, не затрагивающих основные технические решения.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1.13.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Обеспечение работоспособности интеграционных решений систем, входящих в состав Системы.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2.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Перечень задач в рамках обеспечения поддержки пользователей Системы.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2.1.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Консультационная поддержка Заказчика (в т.ч. пользователей Системы Заказчика) по вопросам по возможностям и работоспособности Системы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2.2.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Выполнение запросов на обслуживание пользователей Системы (предоставление сервисов Системы, управление компонентами Системы)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2.3.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Функциональное администрирование Системы (оказание методологической поддержки пользователям Системы).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3.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Перечень задач в рамках осуществления настройки Системы по заявкам Заказчика.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3.1.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</w:rPr>
              <w:t>Документирование текущих конфигурации и состояния Системы.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3.2.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</w:rPr>
              <w:t>Внесение изменений в конфигурацию и настройка Системы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3.3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Выполнение доработок Системы без изменения основной функциональности (объемом не более 10 рабочих часов в месяц)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3.2.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Проведение анализа необходимости внесения изменений в Системе с последующей выдачей рекомендаций Заказчику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3.3.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Формирование и согласование с Заказчиком частных технических заданий (далее – ЧТЗ) в случае необходимости внесения изменений/незначительных доработок в Системе. В ЧТЗ Исполнителем описывается: суть изменения, предлагаемое решение с оценкой трудоемкости и рисков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3.4.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В случае выхода релиза (обновления Системы) Исполнителем должно быть представлено описание исправленных ошибок, выполненных изменений/незначительных доработок, вошедших в релиз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113" w:after="113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3.5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Проведение установки обновлений ПО Системы.</w:t>
            </w:r>
          </w:p>
        </w:tc>
      </w:tr>
    </w:tbl>
    <w:p>
      <w:pPr>
        <w:pStyle w:val="Heading4"/>
        <w:widowControl/>
        <w:numPr>
          <w:ilvl w:val="0"/>
          <w:numId w:val="0"/>
        </w:numPr>
        <w:suppressAutoHyphens w:val="true"/>
        <w:spacing w:lineRule="auto" w:line="276" w:before="113" w:after="113"/>
        <w:ind w:hanging="431" w:left="431"/>
        <w:jc w:val="both"/>
        <w:rPr>
          <w:color w:val="auto"/>
        </w:rPr>
      </w:pPr>
      <w:r>
        <w:rPr>
          <w:color w:val="auto"/>
        </w:rPr>
      </w:r>
      <w:r>
        <w:br w:type="page"/>
      </w:r>
    </w:p>
    <w:p>
      <w:pPr>
        <w:pStyle w:val="Heading4"/>
        <w:numPr>
          <w:ilvl w:val="2"/>
          <w:numId w:val="3"/>
        </w:numPr>
        <w:spacing w:before="113" w:after="113"/>
        <w:ind w:hanging="431" w:left="431"/>
        <w:rPr/>
      </w:pPr>
      <w:bookmarkStart w:id="16" w:name="__RefHeading___Toc62247_3104815314"/>
      <w:bookmarkEnd w:id="16"/>
      <w:r>
        <w:rPr>
          <w:color w:val="auto"/>
          <w:lang w:val="ru-RU"/>
        </w:rPr>
        <w:t>Требования к срокам оказания услуг</w:t>
      </w:r>
    </w:p>
    <w:p>
      <w:pPr>
        <w:pStyle w:val="Normal"/>
        <w:spacing w:lineRule="auto" w:line="276" w:before="113" w:after="113"/>
        <w:ind w:firstLine="567"/>
        <w:rPr/>
      </w:pPr>
      <w:r>
        <w:rPr>
          <w:color w:val="auto"/>
          <w:szCs w:val="24"/>
        </w:rPr>
        <w:t>Услуги оказываются Исполнителем в следующие сроки:</w:t>
      </w:r>
    </w:p>
    <w:p>
      <w:pPr>
        <w:pStyle w:val="Normal"/>
        <w:numPr>
          <w:ilvl w:val="0"/>
          <w:numId w:val="25"/>
        </w:numPr>
        <w:spacing w:lineRule="auto" w:line="276" w:before="113" w:after="113"/>
        <w:rPr/>
      </w:pPr>
      <w:r>
        <w:rPr>
          <w:color w:val="auto"/>
        </w:rPr>
        <w:t>Начало оказания услуг: 01.04.2027</w:t>
      </w:r>
    </w:p>
    <w:p>
      <w:pPr>
        <w:pStyle w:val="Normal"/>
        <w:numPr>
          <w:ilvl w:val="0"/>
          <w:numId w:val="25"/>
        </w:numPr>
        <w:spacing w:lineRule="auto" w:line="276" w:before="113" w:after="113"/>
        <w:rPr/>
      </w:pPr>
      <w:r>
        <w:rPr>
          <w:color w:val="auto"/>
        </w:rPr>
        <w:t>Окончание оказания услуг: 31.03.2028</w:t>
      </w:r>
    </w:p>
    <w:p>
      <w:pPr>
        <w:pStyle w:val="Normal"/>
        <w:spacing w:lineRule="auto" w:line="276" w:before="113" w:after="113"/>
        <w:ind w:firstLine="567"/>
        <w:jc w:val="both"/>
        <w:rPr/>
      </w:pPr>
      <w:r>
        <w:rPr>
          <w:color w:val="auto"/>
          <w:szCs w:val="24"/>
        </w:rPr>
        <w:t>Все услуги из Таблицы 2 объединены в единую услугу — «Поддержка ИС АСВКиУР»</w:t>
      </w:r>
      <w:r>
        <w:rPr>
          <w:color w:val="auto"/>
          <w:sz w:val="22"/>
          <w:szCs w:val="22"/>
        </w:rPr>
        <w:t xml:space="preserve"> </w:t>
      </w:r>
      <w:r>
        <w:rPr>
          <w:color w:val="auto"/>
          <w:szCs w:val="24"/>
        </w:rPr>
        <w:t>и должны осуществляться в соответствии с этапами, приведенными в таблице, а также сопровождаться в конце каждого этапа отчетными документами:</w:t>
      </w:r>
    </w:p>
    <w:p>
      <w:pPr>
        <w:pStyle w:val="Normal"/>
        <w:numPr>
          <w:ilvl w:val="0"/>
          <w:numId w:val="25"/>
        </w:numPr>
        <w:spacing w:lineRule="auto" w:line="276" w:before="113" w:after="113"/>
        <w:rPr/>
      </w:pPr>
      <w:r>
        <w:rPr>
          <w:color w:val="auto"/>
        </w:rPr>
        <w:t>Отчет по качеству предоставления услуг (Приложение № 2);</w:t>
      </w:r>
    </w:p>
    <w:p>
      <w:pPr>
        <w:pStyle w:val="Normal"/>
        <w:numPr>
          <w:ilvl w:val="0"/>
          <w:numId w:val="25"/>
        </w:numPr>
        <w:spacing w:lineRule="auto" w:line="276" w:before="113" w:after="113"/>
        <w:rPr/>
      </w:pPr>
      <w:r>
        <w:rPr>
          <w:color w:val="auto"/>
        </w:rPr>
        <w:t>Универсальный передаточный документ (УПД)</w:t>
      </w:r>
    </w:p>
    <w:p>
      <w:pPr>
        <w:pStyle w:val="Heading1"/>
        <w:numPr>
          <w:ilvl w:val="0"/>
          <w:numId w:val="0"/>
        </w:numPr>
        <w:spacing w:before="113" w:after="113"/>
        <w:ind w:hanging="0" w:left="0"/>
        <w:rPr/>
      </w:pPr>
      <w:bookmarkStart w:id="17" w:name="__RefHeading___Toc62249_3104815314"/>
      <w:bookmarkEnd w:id="17"/>
      <w:r>
        <w:rPr>
          <w:color w:val="auto"/>
          <w:sz w:val="24"/>
          <w:szCs w:val="24"/>
          <w:lang w:val="ru-RU"/>
        </w:rPr>
        <w:t>Таблица 3. Требования к срокам оказания услуг</w:t>
      </w:r>
    </w:p>
    <w:tbl>
      <w:tblPr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8"/>
        <w:gridCol w:w="4824"/>
        <w:gridCol w:w="1839"/>
        <w:gridCol w:w="1982"/>
      </w:tblGrid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№</w:t>
            </w:r>
            <w:r>
              <w:rPr>
                <w:color w:val="auto"/>
                <w:sz w:val="22"/>
                <w:szCs w:val="22"/>
              </w:rPr>
              <w:br/>
              <w:t>этапа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Наименование услуг / этапа услуг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к началу срока оказания услуг / этапа услуг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keepNext w:val="false"/>
              <w:widowControl w:val="false"/>
              <w:spacing w:before="57" w:after="57"/>
              <w:ind w:left="0" w:right="0"/>
              <w:jc w:val="center"/>
              <w:rPr>
                <w:color w:val="auto"/>
              </w:rPr>
            </w:pPr>
            <w:r>
              <w:rPr>
                <w:b/>
                <w:color w:val="auto"/>
                <w:szCs w:val="22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keepNext w:val="false"/>
              <w:widowControl w:val="false"/>
              <w:spacing w:before="57" w:after="57"/>
              <w:ind w:left="0" w:right="0"/>
              <w:jc w:val="center"/>
              <w:rPr>
                <w:color w:val="auto"/>
              </w:rPr>
            </w:pPr>
            <w:r>
              <w:rPr>
                <w:b/>
                <w:color w:val="auto"/>
                <w:szCs w:val="22"/>
              </w:rPr>
              <w:t>4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Поддержка ИС АСВКиУР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01.04.2027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30.04.2027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Поддержка ИС АСВКиУР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01.05.2027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31.05.2027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Поддержка ИС АСВКиУР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01.06.2027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30.06.2027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Поддержка ИС АСВКиУР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01.07.2027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31.07.2027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Поддержка ИС АСВКиУР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01.08.2027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31.08.2027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Поддержка ИС АСВКиУР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01.09.2027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30.09.2027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Поддержка ИС АСВКиУР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01.10.2027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31.10.2027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Поддержка ИС АСВКиУР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01.11.2027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30.11.2027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Поддержка ИС АСВКиУР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01.12.2027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31.12.2027</w:t>
            </w:r>
          </w:p>
        </w:tc>
      </w:tr>
      <w:tr>
        <w:trPr/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4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Поддержка ИС АСВКиУР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01.01.2028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31.01.2028</w:t>
            </w:r>
          </w:p>
        </w:tc>
      </w:tr>
      <w:tr>
        <w:trPr/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4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Поддержка ИС АСВКиУР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01.02.2028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29.02.2028</w:t>
            </w:r>
          </w:p>
        </w:tc>
      </w:tr>
      <w:tr>
        <w:trPr/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4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Поддержка ИС АСВКиУР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01.03.2028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31.03.2028</w:t>
            </w:r>
          </w:p>
        </w:tc>
      </w:tr>
    </w:tbl>
    <w:p>
      <w:pPr>
        <w:sectPr>
          <w:headerReference w:type="even" r:id="rId4"/>
          <w:headerReference w:type="default" r:id="rId5"/>
          <w:headerReference w:type="first" r:id="rId6"/>
          <w:type w:val="nextPage"/>
          <w:pgSz w:w="11906" w:h="16838"/>
          <w:pgMar w:left="1134" w:right="850" w:gutter="0" w:header="850" w:top="1304" w:footer="0" w:bottom="850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Heading4"/>
        <w:numPr>
          <w:ilvl w:val="1"/>
          <w:numId w:val="3"/>
        </w:numPr>
        <w:spacing w:lineRule="auto" w:line="276" w:before="113" w:after="113"/>
        <w:ind w:hanging="0" w:left="0"/>
        <w:rPr/>
      </w:pPr>
      <w:bookmarkStart w:id="18" w:name="__RefHeading___Toc62251_3104815314"/>
      <w:bookmarkEnd w:id="18"/>
      <w:r>
        <w:rPr>
          <w:color w:val="auto"/>
          <w:lang w:val="ru-RU"/>
        </w:rPr>
        <w:t>Требования к качеству услуги</w:t>
      </w:r>
    </w:p>
    <w:p>
      <w:pPr>
        <w:pStyle w:val="Heading1"/>
        <w:keepLines/>
        <w:numPr>
          <w:ilvl w:val="0"/>
          <w:numId w:val="0"/>
        </w:numPr>
        <w:spacing w:lineRule="auto" w:line="276" w:before="113" w:after="113"/>
        <w:ind w:hanging="0" w:left="0"/>
        <w:rPr/>
      </w:pPr>
      <w:bookmarkStart w:id="19" w:name="__RefHeading___Toc62253_3104815314"/>
      <w:bookmarkEnd w:id="19"/>
      <w:r>
        <w:rPr>
          <w:color w:val="auto"/>
          <w:sz w:val="24"/>
          <w:szCs w:val="24"/>
          <w:lang w:val="ru-RU"/>
        </w:rPr>
        <w:t xml:space="preserve">Таблица 4. Требования к качеству услуги </w:t>
      </w:r>
    </w:p>
    <w:p>
      <w:pPr>
        <w:pStyle w:val="Normal"/>
        <w:spacing w:lineRule="auto" w:line="276" w:before="113" w:after="113"/>
        <w:jc w:val="both"/>
        <w:rPr/>
      </w:pPr>
      <w:r>
        <w:rPr>
          <w:b/>
          <w:bCs/>
          <w:color w:val="auto"/>
          <w:szCs w:val="24"/>
        </w:rPr>
        <w:t>Наименование услуг/этапа услуг:</w:t>
      </w:r>
      <w:r>
        <w:rPr>
          <w:color w:val="auto"/>
          <w:szCs w:val="24"/>
        </w:rPr>
        <w:t xml:space="preserve"> Поддержка ИС АСВКиУР.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6"/>
        <w:gridCol w:w="1751"/>
        <w:gridCol w:w="6587"/>
        <w:gridCol w:w="1859"/>
        <w:gridCol w:w="2793"/>
        <w:gridCol w:w="1552"/>
      </w:tblGrid>
      <w:tr>
        <w:trPr>
          <w:trHeight w:val="721" w:hRule="atLeast"/>
        </w:trPr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№</w:t>
            </w: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br/>
              <w:t>п/п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Наименование параметра</w:t>
            </w:r>
          </w:p>
        </w:tc>
        <w:tc>
          <w:tcPr>
            <w:tcW w:w="6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Требование заказчика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</w:r>
          </w:p>
        </w:tc>
        <w:tc>
          <w:tcPr>
            <w:tcW w:w="17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</w:r>
          </w:p>
        </w:tc>
        <w:tc>
          <w:tcPr>
            <w:tcW w:w="65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Согласие с требованием / указание характеристик</w:t>
            </w:r>
          </w:p>
        </w:tc>
        <w:tc>
          <w:tcPr>
            <w:tcW w:w="2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auto"/>
                <w:spacing w:val="-4"/>
              </w:rPr>
            </w:pPr>
            <w:r>
              <w:rPr>
                <w:b/>
                <w:bCs/>
                <w:color w:val="auto"/>
                <w:spacing w:val="-4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2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4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5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6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8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b/>
                <w:color w:val="auto"/>
                <w:spacing w:val="-4"/>
                <w:sz w:val="22"/>
                <w:szCs w:val="22"/>
              </w:rPr>
              <w:t xml:space="preserve">Требования к оказанию услуг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b/>
                <w:bCs/>
                <w:color w:val="auto"/>
                <w:spacing w:val="-4"/>
                <w:sz w:val="22"/>
                <w:szCs w:val="22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8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b/>
                <w:color w:val="auto"/>
                <w:spacing w:val="-4"/>
                <w:sz w:val="22"/>
                <w:szCs w:val="22"/>
              </w:rPr>
              <w:t xml:space="preserve">Общие требования к оказанию услуг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Общие требования к контролю качества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  <w:lang w:eastAsia="x-none"/>
              </w:rPr>
              <w:t>Заказчик контролирует качество оказания услуг в соответствии с показателями, приведенными в Приложении №3.</w:t>
            </w:r>
          </w:p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  <w:lang w:eastAsia="x-none"/>
              </w:rPr>
              <w:t>Контроль качества осуществляется посредством предоставления Исполнителем отчетов по качеству предоставления услуг, определенной в Приложении № 2.</w:t>
            </w:r>
          </w:p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  <w:lang w:eastAsia="x-none"/>
              </w:rPr>
              <w:t>Контроль исполнения требований субподрядчиками Исполнителя (при их наличии) осуществляется посредством предоставления Исполнителем отчетов по исполнению требований соответствующего договора субподряда по запросу Заказчика.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Требования к взаимодействию сторон в процессе оказания Услуги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iCs/>
                <w:color w:val="auto"/>
                <w:spacing w:val="-4"/>
                <w:sz w:val="22"/>
                <w:szCs w:val="22"/>
              </w:rPr>
              <w:t>Взаимодействие представителей Заказчика и Исполнителя осуществляется через КСА СПП Заказчика по форме, согласованной в Обществе, а также помимо этого может осуществляться лично, по телефону, либо посредством электронной почты.</w:t>
            </w:r>
          </w:p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iCs/>
                <w:color w:val="auto"/>
                <w:spacing w:val="-4"/>
                <w:sz w:val="22"/>
                <w:szCs w:val="22"/>
              </w:rPr>
              <w:t>Заявка подается пользователями в произвольной форме, и должна содержать следующую информацию: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iCs/>
                <w:color w:val="auto"/>
                <w:spacing w:val="-4"/>
                <w:sz w:val="22"/>
                <w:szCs w:val="22"/>
              </w:rPr>
              <w:t>Ф.И.О., номер телефона, местоположения пользователя, адрес электронной почты пользователя Заказчика;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iCs/>
                <w:color w:val="auto"/>
                <w:spacing w:val="-4"/>
                <w:sz w:val="22"/>
                <w:szCs w:val="22"/>
              </w:rPr>
              <w:t>Полное описание возникшей ситуации, при необходимости содержащее копии экранных форм, сообщения об ошибках и т.п.</w:t>
            </w:r>
          </w:p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iCs/>
                <w:color w:val="auto"/>
                <w:spacing w:val="-4"/>
                <w:sz w:val="22"/>
                <w:szCs w:val="22"/>
              </w:rPr>
              <w:t xml:space="preserve">При возникновении у Заказчика и/или пользователей Заказчика инцидента, проблемы, аварии, вопроса или предложения при эксплуатации Системы, Заказчик уведомляет об этом Исполнителя путем направления обращения (здесь и далее под Обращением понимается заявка пользователя Заказчика, зафиксированная в КСА СПП). </w:t>
            </w:r>
          </w:p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iCs/>
                <w:color w:val="auto"/>
                <w:spacing w:val="-4"/>
                <w:sz w:val="22"/>
                <w:szCs w:val="22"/>
              </w:rPr>
              <w:t>По факту выяснения причины, вызвавшей Обращение (совместно с контактным лицом Заказчика и пользователем Заказчика) Исполнитель незамедлительно фиксирует данную информацию в обрабатываемом Обращении.</w:t>
            </w:r>
          </w:p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iCs/>
                <w:color w:val="auto"/>
                <w:spacing w:val="-4"/>
                <w:sz w:val="22"/>
                <w:szCs w:val="22"/>
              </w:rPr>
              <w:t>Решение о необходимых действиях для устранения Инцидента, выполнения ЗНО принимается специалистами Исполнителя на основании Обращения. Исполнитель в обязательном порядке фиксирует выполненные действия в обрабатываемом Обращении. При этом рекомендуется указывать суммарные трудозатраты на решение Обращения.</w:t>
            </w:r>
          </w:p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iCs/>
                <w:color w:val="auto"/>
                <w:spacing w:val="-4"/>
                <w:sz w:val="22"/>
                <w:szCs w:val="22"/>
              </w:rPr>
              <w:t>В суммарные трудозатраты входит время на изучение проблемы, формирование решения, выполнение необходимых действий.</w:t>
            </w:r>
          </w:p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iCs/>
                <w:color w:val="auto"/>
                <w:spacing w:val="-4"/>
                <w:sz w:val="22"/>
                <w:szCs w:val="22"/>
              </w:rPr>
              <w:t xml:space="preserve">Обращение считается закрытым с момента выполнения заявки, подтвержденного реакцией Заказчика/пользователя Заказчика на запрос закрытия Обращения при условии восстановления работоспособности Системы. </w:t>
            </w:r>
          </w:p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iCs/>
                <w:color w:val="auto"/>
                <w:spacing w:val="-4"/>
                <w:sz w:val="22"/>
                <w:szCs w:val="22"/>
              </w:rPr>
              <w:t>В случае, если в ходе процесса по устранению технической проблемы по обращению было выявлено, что проблема связана с другими сервисами, не входящими в зону ответственности по данному сервису, сроки и процесс устранения могут быть изменены.</w:t>
            </w:r>
          </w:p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iCs/>
                <w:color w:val="auto"/>
                <w:spacing w:val="-4"/>
                <w:sz w:val="22"/>
                <w:szCs w:val="22"/>
              </w:rPr>
              <w:t>Контрольное время закрытия Обращения не должно превышать установленного времени в Соглашении об уровне обслуживания для услуги.</w:t>
            </w:r>
          </w:p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iCs/>
                <w:color w:val="auto"/>
                <w:spacing w:val="-4"/>
                <w:sz w:val="22"/>
                <w:szCs w:val="22"/>
              </w:rPr>
              <w:t>Все техническое обслуживание, проводимое Исполнителем по собственной инициативе по согласованию с Заказчиком, или по заявке, полученной лично, по телефону либо посредством электронной почты, должно быть описано в системе КСА СПП указанным выше способом.</w:t>
            </w:r>
          </w:p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iCs/>
                <w:color w:val="auto"/>
                <w:spacing w:val="-4"/>
                <w:sz w:val="22"/>
                <w:szCs w:val="22"/>
              </w:rPr>
              <w:t>Организация поддержки пользователей Системы должна проводиться в соответствии с действующими в организации Заказчика регламентами.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8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b/>
                <w:color w:val="auto"/>
                <w:spacing w:val="-4"/>
                <w:sz w:val="22"/>
                <w:szCs w:val="22"/>
              </w:rPr>
              <w:t>Требования к способам оказания услуг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Требования к способам оказания Услуг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iCs/>
                <w:color w:val="auto"/>
                <w:spacing w:val="-4"/>
                <w:sz w:val="22"/>
                <w:szCs w:val="22"/>
              </w:rPr>
              <w:t>Услуга оказывается всеми необходимыми и имеющимися средствами и способами взаимодействия между Исполнителем и Заказчиком.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8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b/>
                <w:color w:val="auto"/>
                <w:spacing w:val="-4"/>
                <w:sz w:val="22"/>
                <w:szCs w:val="22"/>
              </w:rPr>
              <w:t>Требования к процедурам оказания услуг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Требования к составу и содержанию мероприятий по обеспечению сопровождения Системы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Для создания условий, при которых гарантируется соответствие оказываемых услуг по сопровождению Системы настоящим Техническим требованиям, Заказчиком должен быть проведен комплекс технических и организационных мероприятий, включающий, как минимум: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Организацию рабочего места Исполнителя через удаленный доступ соответствующих специалистов Исполнителя в корпоративную сеть Заказчика по действующим в Обществе процедурам предоставления доступа и на срок действия Договора по данному проекту. Заказчик предоставляет удаленный доступ к Системе.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Организацию на базе инфраструктуры Заказчика тестовой среды для функционального тестирования, в случае необходимости.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Организацию доступа ключевых пользователей к тестовой среде на этапе функционального тестирования, в случае необходимости.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Организацию установки и обновления Системы в тестовой и рабочей среде в соответствии с регламентами управления изменениями, действующими в организации Заказчика.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Согласование передаваемой эксплуатационной документации.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Назначение ответственных за эксплуатацию Системы со стороны Заказчика, передачу Исполнителем Заказчику всех системных учетных записей и паролей.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Иные организационные мероприятия для обеспечения эксплуатации и незначительных доработок систем.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Требования к SLA (соглашению об уровне предоставления услуги) и контролю качества предоставления услуги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Заказчик контролирует качество оказания услуг в соответствии с показателями, приведенными в п 2.3.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Показатели качества предоставления услуги (ПКПУ) определяется в соответствии с Методикой оценки качества предоставления услуг и параметрами SLA.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Методика оценки качества предоставления услуг приведена в Приложении №3 к ТТ.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Требования по аварийному восстановлению работоспособности Системы</w:t>
            </w:r>
          </w:p>
        </w:tc>
        <w:tc>
          <w:tcPr>
            <w:tcW w:w="65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В случае возникновения НШС, срок восстановления штатной работы Системы определяется в соответствии с Соглашением об уровне предоставления услуги.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После восстановления системы должен быть проведен анализ причин НШС и оценка исполнения процедур восстановления, вся информацию должна быть занесена в КСА СПП.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В случае обнаружения Исполнителем НШС 1 уровня, сотрудники Центральной диспетчерской Заказчика, Центра мониторинга Заказчика должны быть оповещены ответственным специалистом Исполнителя о прекращении услуги в связи с аварией по электронной почте или с помощью других средств связи.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Требования к проведению регламентно-профилактических работ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Регламентные профилактические работы проводятся на оборудовании и программном обеспечении Заказчика по эксплуатационно-технологическим картам (ЭТК) Системы с целью поддержки работоспособности, оптимизации настроек конфигураций и программного обеспечения систем, а также устранение выявленных проблем.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Исполнитель проводит регламентные профилактические работы в соответствии с Планом-графиком проведения регламентных профилактических работ. План-график проведения работ составляется Исполнителем и согласуется с Заказчиком в течение 20 дней после подписания Договора.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Выполнение регламентно-профилактических работ фиксируется Исполнителем в КСА СПП Заказчика с указанием содержания работ, даты их выполнения и перечня ИТ-активов, на которых проводятся работы.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Исполнитель проводит работы с учетом рекомендаций, указанных в технической и эксплуатационной документации обслуживаемых ИТ-активов. Состав регламентных профилактических работ представляется, но не ограничивается работами, указанными в ТТ.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При обслуживании Системы перечень регламентно-профилактических работ включает в себя, но не ограничивается: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Контроль резервного копирования;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Мониторинг состояния сервера баз данных;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Мониторинг интеграции систем;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Мониторинг актуальности данных системы оповещения;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Установка обновлений;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Обновление внешних справочников;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Проверка возможности доступа, включая удаленный;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Мониторинг системных сообщений.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Допускается проведение плановых регламентных работ (влияющих на доступность услуги) в период с 20:00 до 2:00 по московскому времени. По возможности такие работы следует проводить в выходные или праздничные дни.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При проведении регламентных и профилактических работ максимальное время простоя и период снижения объёма и качества предоставления услуг должно составлять не более 6 часов в нерабочее время ПАО «РусГидро». Регламентные работы должны проводиться во время технологического окна.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Исполнитель услуги обязан согласовывать все плановые регламентные работы с Заказчиком за 3 рабочих дня до проведения работ. Исполнитель обязан предупредить Заказчика по электронной почте и согласовать недоступность по телефону. Исполнитель обязуется предупреждать уполномоченных сотрудников Заказчика, не менее чем за 24 часа до проведения соответствующих работ. Оповещение уполномоченных сотрудников Заказчика производится по электронной почте.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В случае необходимости проведения экстренных сервисных работ Исполнитель обязан согласовать их с Заказчиком не менее чем за 4 часа. Исполнитель обязан предупредить Заказчика по электронной почте и согласовать недоступность по телефону. Заказчик оповестит всех пользователей данной услуги, на которых окажут влияние данные работы, не менее чем за 4 часа до проведения соответствующих работ. Оповещение пользователей производится по электронной почте.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Состав регламентных работ определяется документом «Регламент штатного обслуживания» поддерживаемой ИС.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8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b/>
                <w:color w:val="auto"/>
                <w:spacing w:val="-4"/>
                <w:sz w:val="22"/>
                <w:szCs w:val="22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Требования для выполнения возложенных на Исполнителя задач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Для выполнения возложенных на Исполнителя задач и функций он должен быть обеспечен необходимыми ресурсами, в том числе экономически обоснованными и квалифицированными трудовыми ресурсами, материально-техническими средствами, материалами, методической литературой.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83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Требования к персоналу исполнителя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2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Требования к квалификации и опыту персонала Исполнителя</w:t>
            </w:r>
          </w:p>
        </w:tc>
        <w:tc>
          <w:tcPr>
            <w:tcW w:w="65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Персонал Исполнителя, обеспечивающий оказание Услуги должен иметь соответствующую квалификацию и опыт. Для оказания Услуги Исполнитель должен выделить специалистов, аттестованных и сертифицированных вендором-разработчиком отечественной платформы «Вектор Плюс». Соответствие данному требованию подтверждается путем представления Исполнителем копий сертификатов по работе с платформой «Вектор Плюс».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spacing w:val="-4"/>
              </w:rPr>
              <w:t>-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Требования к составу команды Исполнителя</w:t>
            </w:r>
          </w:p>
        </w:tc>
        <w:tc>
          <w:tcPr>
            <w:tcW w:w="65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Состав команды Исполнителя, выполняющей обслуживание, должен быть согласован с Заказчиком. Любой специалист команды Исполнителя должен быть выведен из команды при наличии мотивированного требования от Заказчика.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8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Требования к результатам у</w:t>
            </w:r>
            <w:r>
              <w:rPr>
                <w:b/>
                <w:color w:val="auto"/>
                <w:spacing w:val="-4"/>
                <w:sz w:val="22"/>
                <w:szCs w:val="22"/>
              </w:rPr>
              <w:t>слуг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8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Общие требования к результатам услуг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Требования к объему оказываемых услуг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Услуга должна быть оказана в полном объеме, в течение всего срока, указанного в Таблице 3 к ТТ.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8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b/>
                <w:color w:val="auto"/>
                <w:spacing w:val="-4"/>
                <w:sz w:val="22"/>
                <w:szCs w:val="22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Требования к информационной безопасности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Требования к информационной безопасности должны обеспечиваться на всех стадиях жизненного цикла систем,  с учетом всех сторон,  вовлеченных в процессы жизненного цикла (разработчиков, заказчиков, поставщиков продуктов и услуг, эксплуатирующих и надзорных подразделений Общества) и в соответствии с действующими политиками, регламентами и ОРД Заказчика.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8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/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Требования к приемке результата оказания у</w:t>
            </w:r>
            <w:r>
              <w:rPr>
                <w:b/>
                <w:color w:val="auto"/>
                <w:spacing w:val="-4"/>
                <w:sz w:val="22"/>
                <w:szCs w:val="22"/>
              </w:rPr>
              <w:t>слуг</w:t>
            </w:r>
            <w:r>
              <w:rPr>
                <w:rStyle w:val="Style8"/>
                <w:b w:val="false"/>
                <w:bCs/>
                <w:i w:val="false"/>
                <w:color w:val="000000"/>
                <w:spacing w:val="-4"/>
                <w:sz w:val="22"/>
                <w:szCs w:val="22"/>
                <w:shd w:fill="auto" w:val="clear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Требования к приемке результата оказанных услуг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По итогам каждого отчетного периода Исполнитель должен представлять отчет (Приложение № 2), который должен содержать: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Сведения об оказанных услугах, фиксирующие результат оказанных услуг;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Краткое описание оказанных Исполнителем в этом периоде услуг, необходимость которых возникла по инициативе Заказчика и Исполнителя, исходя из требований технической документации разработчика Системы, а также решенных Обращений с указанием их номеров в КСА СПП;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Сведения о состоянии сервиса.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Форма Отчета должна быть согласована с Заказчиком в течение 7 рабочих дней с даты подписания Договора. Форма отчета может быть изменена во время исполнения договора по согласованию Исполнителя и Заказчика.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Из КСА СПП должен формироваться отчет и содержать следующие данные: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Статистику по обращениям (количество обработанных /просроченных /повторных за период). Сбор статистики осуществляется средствами КСА СПП.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Информацию о количестве обновлений Системы в течение отчетного периода.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Информацию о количестве и тематике консультаций, предоставленных сотрудникам ДИТ в течение отчетного периода, а также лице, предоставившем консультацию.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 xml:space="preserve">Значения следующих показателей (расчеты производятся в соответствии с методиками, принятыми у Заказчика): 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Качество предоставления ИТ-услуг;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Доля своевременно решенных нештатных ситуаций (НШС);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Доля своевременно реализованных RFC;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Отсутствие неавторизованных RFC;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spacing w:before="57" w:after="57"/>
              <w:ind w:hanging="227" w:left="454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 xml:space="preserve">Доля своевременно решенных проблем.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В случае, если в течение отчетного периода выполнялись обновления Системы, то предоставляется Протокол оценки обновления, подписанный представителями Заказчика и Исполнителя.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Заказчик обеспечивает возможность формирования отчетов из КСА СПП, соответствующих требованиям Заказчика по всему составу параметров, которые фиксируются в КСА СПП.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8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b/>
                <w:color w:val="auto"/>
                <w:spacing w:val="-4"/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Требования к формам результата оказанных услуг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Форма отчета по КПУ приведена в Приложение № 2 к ТТ.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8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b/>
                <w:color w:val="auto"/>
                <w:spacing w:val="-4"/>
                <w:sz w:val="22"/>
                <w:szCs w:val="22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57" w:after="57"/>
              <w:jc w:val="left"/>
              <w:rPr>
                <w:spacing w:val="-4"/>
              </w:rPr>
            </w:pPr>
            <w:r>
              <w:rPr>
                <w:b w:val="false"/>
                <w:color w:val="auto"/>
                <w:spacing w:val="-4"/>
                <w:sz w:val="22"/>
                <w:szCs w:val="22"/>
              </w:rPr>
              <w:t>Соблюдение нормативных требований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Исполнитель в ходе оказания услуги соблюдает требования положений нормативной и иной обязательной для исполнителя документации, определяемой данной услугой.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57" w:after="57"/>
              <w:jc w:val="left"/>
              <w:rPr>
                <w:spacing w:val="-4"/>
              </w:rPr>
            </w:pPr>
            <w:bookmarkStart w:id="20" w:name="__RefHeading___Toc62255_3104815314"/>
            <w:bookmarkEnd w:id="20"/>
            <w:r>
              <w:rPr>
                <w:rFonts w:eastAsia="Times New Roman"/>
                <w:b w:val="false"/>
                <w:color w:val="auto"/>
                <w:spacing w:val="-4"/>
                <w:sz w:val="22"/>
                <w:szCs w:val="22"/>
                <w:lang w:val="ru-RU" w:eastAsia="ru-RU"/>
              </w:rPr>
              <w:t>Требования к обновлению эксплуатационной документации</w:t>
            </w:r>
          </w:p>
        </w:tc>
        <w:tc>
          <w:tcPr>
            <w:tcW w:w="65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bCs/>
                <w:color w:val="auto"/>
                <w:spacing w:val="-4"/>
                <w:sz w:val="22"/>
                <w:szCs w:val="22"/>
              </w:rPr>
              <w:t>При необходимости Исполнитель производит внесение изменений в эксплуатационную документацию по результатам устранения отказов и сбоев. Если при проведении технического сопровождения Системы происходит изменение в  существующей согласованной конфигурации Системы, Исполнитель оформляет внесенные изменения в соответствующую эксплуатационную документацию с указанием в листе изменений даты и причины внесения: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pacing w:before="57" w:after="57"/>
              <w:ind w:hanging="0" w:left="0"/>
              <w:rPr>
                <w:spacing w:val="-4"/>
              </w:rPr>
            </w:pPr>
            <w:r>
              <w:rPr>
                <w:bCs/>
                <w:color w:val="auto"/>
                <w:spacing w:val="-4"/>
                <w:sz w:val="22"/>
                <w:szCs w:val="22"/>
              </w:rPr>
              <w:t>Руководство пользователя;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pacing w:before="57" w:after="57"/>
              <w:ind w:hanging="0" w:left="0"/>
              <w:rPr>
                <w:spacing w:val="-4"/>
              </w:rPr>
            </w:pPr>
            <w:r>
              <w:rPr>
                <w:bCs/>
                <w:color w:val="auto"/>
                <w:spacing w:val="-4"/>
                <w:sz w:val="22"/>
                <w:szCs w:val="22"/>
              </w:rPr>
              <w:t>Руководство администратора;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pacing w:before="57" w:after="57"/>
              <w:ind w:hanging="0" w:left="0"/>
              <w:rPr>
                <w:spacing w:val="-4"/>
              </w:rPr>
            </w:pPr>
            <w:r>
              <w:rPr>
                <w:bCs/>
                <w:color w:val="auto"/>
                <w:spacing w:val="-4"/>
                <w:sz w:val="22"/>
                <w:szCs w:val="22"/>
              </w:rPr>
              <w:t>Регламент штатного обслуживания;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pacing w:before="57" w:after="57"/>
              <w:ind w:hanging="0" w:left="0"/>
              <w:rPr>
                <w:spacing w:val="-4"/>
              </w:rPr>
            </w:pPr>
            <w:r>
              <w:rPr>
                <w:bCs/>
                <w:color w:val="auto"/>
                <w:spacing w:val="-4"/>
                <w:sz w:val="22"/>
                <w:szCs w:val="22"/>
              </w:rPr>
              <w:t>Регламент аварийного обслуживания;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pacing w:before="57" w:after="57"/>
              <w:ind w:hanging="0" w:left="0"/>
              <w:rPr>
                <w:spacing w:val="-4"/>
              </w:rPr>
            </w:pPr>
            <w:r>
              <w:rPr>
                <w:bCs/>
                <w:color w:val="auto"/>
                <w:spacing w:val="-4"/>
                <w:sz w:val="22"/>
                <w:szCs w:val="22"/>
              </w:rPr>
              <w:t>Регламент резервного копирования;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pacing w:before="57" w:after="57"/>
              <w:ind w:hanging="0" w:left="0"/>
              <w:rPr>
                <w:spacing w:val="-4"/>
              </w:rPr>
            </w:pPr>
            <w:r>
              <w:rPr>
                <w:bCs/>
                <w:color w:val="auto"/>
                <w:spacing w:val="-4"/>
                <w:sz w:val="22"/>
                <w:szCs w:val="22"/>
              </w:rPr>
              <w:t>Руководство диспетчера службы поддержки;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pacing w:before="57" w:after="57"/>
              <w:ind w:hanging="0" w:left="0"/>
              <w:rPr>
                <w:spacing w:val="-4"/>
              </w:rPr>
            </w:pPr>
            <w:r>
              <w:rPr>
                <w:bCs/>
                <w:color w:val="auto"/>
                <w:spacing w:val="-4"/>
                <w:sz w:val="22"/>
                <w:szCs w:val="22"/>
              </w:rPr>
              <w:t>Рабочая и проектная документации.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spacing w:val="-4"/>
              </w:rPr>
            </w:pPr>
            <w:r>
              <w:rPr>
                <w:bCs/>
                <w:color w:val="auto"/>
                <w:spacing w:val="-4"/>
                <w:sz w:val="22"/>
                <w:szCs w:val="22"/>
              </w:rPr>
              <w:t>Актуализированные изменения должны вносится в эксплуатационную документацию в виде файлового документа и передаваться по электронной почте в эксплуатационное подразделение Заказчика.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8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b/>
                <w:color w:val="auto"/>
                <w:spacing w:val="-4"/>
                <w:sz w:val="22"/>
                <w:szCs w:val="22"/>
              </w:rPr>
              <w:t>Требования к ответственности и гарантиям исполнителя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Требования к ответственности и гарантиям Исполнителя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Исполнитель должен обеспечить соответствие оказываемой услуги настоящим Техническим требованиям.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8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57" w:after="57"/>
              <w:rPr>
                <w:spacing w:val="-4"/>
              </w:rPr>
            </w:pPr>
            <w:r>
              <w:rPr>
                <w:b/>
                <w:color w:val="auto"/>
                <w:spacing w:val="-4"/>
                <w:sz w:val="22"/>
                <w:szCs w:val="22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Требования к  обязательствам</w:t>
            </w:r>
          </w:p>
        </w:tc>
        <w:tc>
          <w:tcPr>
            <w:tcW w:w="65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Исполнитель должен выполнить обязательства по договору в соответствие с настоящим Техническим требованиям в полном объеме.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Требования к мониторингу состояния Системы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Мониторинг работоспособности Системы осуществляется с помощью системы мониторинга Заказчика 24 часа в сутки. В случае фиксации отклонений от заданных параметров системой мониторинга, Исполнителю направляется почтовое сообщение на предварительно настроенный, например, при сдаче в промышленную эксплуатацию Системы почтовый ящик для оценки состояния Системы и принятия Исполнителем мер упреждающих отказ, прекращение функционирования Системы.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Согласие с требованием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color w:val="auto"/>
                <w:spacing w:val="-4"/>
                <w:sz w:val="22"/>
                <w:szCs w:val="22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8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spacing w:val="-4"/>
              </w:rPr>
            </w:pPr>
            <w:r>
              <w:rPr>
                <w:b/>
                <w:color w:val="auto"/>
                <w:spacing w:val="-4"/>
                <w:sz w:val="22"/>
                <w:szCs w:val="22"/>
              </w:rPr>
              <w:t xml:space="preserve">Прочие требования к оказываемым услугам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spacing w:val="-4"/>
              </w:rPr>
            </w:pPr>
            <w:r>
              <w:rPr>
                <w:b/>
                <w:bCs/>
                <w:color w:val="auto"/>
                <w:spacing w:val="-4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pacing w:val="-4"/>
                <w:sz w:val="22"/>
                <w:szCs w:val="22"/>
              </w:rPr>
            </w:pPr>
            <w:r>
              <w:rPr>
                <w:color w:val="auto"/>
                <w:spacing w:val="-4"/>
                <w:sz w:val="22"/>
                <w:szCs w:val="22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57" w:after="57"/>
              <w:jc w:val="left"/>
              <w:rPr>
                <w:spacing w:val="-4"/>
              </w:rPr>
            </w:pPr>
            <w:bookmarkStart w:id="21" w:name="__RefHeading___Toc62257_3104815314"/>
            <w:bookmarkEnd w:id="21"/>
            <w:r>
              <w:rPr>
                <w:rFonts w:eastAsia="Times New Roman"/>
                <w:b w:val="false"/>
                <w:color w:val="auto"/>
                <w:spacing w:val="-4"/>
                <w:sz w:val="22"/>
                <w:szCs w:val="22"/>
                <w:lang w:val="ru-RU" w:eastAsia="ru-RU"/>
              </w:rPr>
              <w:t>Прочие требования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widowControl w:val="false"/>
              <w:spacing w:before="57" w:after="57"/>
              <w:jc w:val="left"/>
              <w:rPr>
                <w:spacing w:val="-4"/>
              </w:rPr>
            </w:pPr>
            <w:r>
              <w:rPr>
                <w:b w:val="false"/>
                <w:color w:val="auto"/>
                <w:spacing w:val="-4"/>
                <w:sz w:val="22"/>
                <w:szCs w:val="22"/>
                <w:lang w:val="ru-RU"/>
              </w:rPr>
              <w:t>Прочие требования к оказанию услуг отсутствуют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widowControl w:val="false"/>
              <w:spacing w:before="57" w:after="57"/>
              <w:jc w:val="left"/>
              <w:rPr>
                <w:spacing w:val="-4"/>
              </w:rPr>
            </w:pPr>
            <w:r>
              <w:rPr>
                <w:color w:val="auto"/>
                <w:spacing w:val="-4"/>
              </w:rPr>
              <w:t>-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widowControl w:val="false"/>
              <w:spacing w:before="57" w:after="57"/>
              <w:jc w:val="left"/>
              <w:rPr>
                <w:spacing w:val="-4"/>
              </w:rPr>
            </w:pPr>
            <w:r>
              <w:rPr>
                <w:color w:val="auto"/>
                <w:spacing w:val="-4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widowControl w:val="false"/>
              <w:spacing w:before="57" w:after="57"/>
              <w:jc w:val="left"/>
              <w:rPr>
                <w:color w:val="auto"/>
                <w:spacing w:val="-4"/>
              </w:rPr>
            </w:pPr>
            <w:r>
              <w:rPr>
                <w:color w:val="auto"/>
                <w:spacing w:val="-4"/>
              </w:rPr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8192"/>
        </w:sectPr>
      </w:pPr>
      <w:r>
        <w:br w:type="page"/>
      </w:r>
    </w:p>
    <w:p>
      <w:pPr>
        <w:pStyle w:val="Heading3"/>
        <w:numPr>
          <w:ilvl w:val="1"/>
          <w:numId w:val="3"/>
        </w:numPr>
        <w:ind w:hanging="0" w:left="0"/>
        <w:rPr>
          <w:color w:val="auto"/>
        </w:rPr>
      </w:pPr>
      <w:bookmarkStart w:id="22" w:name="__RefHeading___Toc62259_3104815314"/>
      <w:bookmarkEnd w:id="22"/>
      <w:r>
        <w:rPr>
          <w:color w:val="auto"/>
          <w:lang w:val="ru-RU"/>
        </w:rPr>
        <w:t xml:space="preserve">Соглашение об уровне предоставления услуги (SLA) 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b/>
          <w:bCs/>
          <w:color w:val="auto"/>
        </w:rPr>
        <w:t>Режим предоставления услуги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pacing w:val="-2"/>
        </w:rPr>
        <w:t>Услуга предоставляется 24 часа в сутки 7 дней в неделю.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pacing w:val="-2"/>
        </w:rPr>
        <w:t>Запланированный простой услуги для проведения регламентных работ не более 24 часа в месяц в нерабочее время.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</w:rPr>
        <w:t>Обработка Запросов на обслуживание, ЗНИ и Инцидентов низкой и средней срочности производится с 9:00 до 18:00 по Московскому времени в рабочие дни.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</w:rPr>
        <w:t>Работы по устранению НШС 1 и 2 уровня производятся - 24 часа в сутки 7 дней в неделю.</w:t>
      </w:r>
    </w:p>
    <w:p>
      <w:pPr>
        <w:pStyle w:val="Style38"/>
        <w:ind w:firstLine="567"/>
        <w:jc w:val="both"/>
        <w:rPr>
          <w:color w:val="auto"/>
        </w:rPr>
      </w:pPr>
      <w:r>
        <w:rPr>
          <w:b/>
          <w:bCs/>
          <w:color w:val="auto"/>
          <w:szCs w:val="24"/>
        </w:rPr>
        <w:t>Сроки решения обращений.</w:t>
      </w:r>
    </w:p>
    <w:p>
      <w:pPr>
        <w:pStyle w:val="Style38"/>
        <w:ind w:firstLine="567"/>
        <w:jc w:val="both"/>
        <w:rPr>
          <w:color w:val="auto"/>
        </w:rPr>
      </w:pPr>
      <w:r>
        <w:rPr>
          <w:color w:val="auto"/>
          <w:szCs w:val="24"/>
        </w:rPr>
        <w:t>Классификация инцидентов производится сотрудниками Центральной диспетчерской службой Заказчика.</w:t>
      </w:r>
    </w:p>
    <w:tbl>
      <w:tblPr>
        <w:tblW w:w="99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416"/>
        <w:gridCol w:w="6117"/>
        <w:gridCol w:w="2383"/>
      </w:tblGrid>
      <w:tr>
        <w:trPr>
          <w:tblHeader w:val="true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Срочность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Описание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Срок устранения Инцидента (часы)*</w:t>
            </w:r>
          </w:p>
        </w:tc>
      </w:tr>
      <w:tr>
        <w:trPr>
          <w:trHeight w:val="60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Низкая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Инцидент в работе КЕ Сервиса, не привёл к его отказу. КЕ продолжает выполнять свои функции, однако для отдельного пользователя недоступна часть функционала Сервиса или снижено качество его предоставления.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40</w:t>
            </w:r>
          </w:p>
        </w:tc>
      </w:tr>
      <w:tr>
        <w:trPr>
          <w:trHeight w:val="60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Средняя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Инцидент в работе КЕ Сервиса привёл к снижению его эксплуатационных свойств (снижению производительности, надёжности и т.д.) или недоступности Сервиса для отдельного пользователя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24</w:t>
            </w:r>
          </w:p>
        </w:tc>
      </w:tr>
      <w:tr>
        <w:trPr>
          <w:trHeight w:val="60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Высокая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lineRule="auto" w:line="276"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Инцидент вызвал недоступность КЕ Сервиса, но Сервис функционирует за счёт схем резервирования. (НШС 2 уровня)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8</w:t>
            </w:r>
          </w:p>
        </w:tc>
      </w:tr>
      <w:tr>
        <w:trPr>
          <w:trHeight w:val="60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Наивысшая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Инцидент вызвал недоступность одного или нескольких Сервисов Заказчика или Сервис недоступен для VIP пользователя. (НШС 1 уровня)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4</w:t>
            </w:r>
          </w:p>
        </w:tc>
      </w:tr>
    </w:tbl>
    <w:p>
      <w:pPr>
        <w:pStyle w:val="Style38"/>
        <w:jc w:val="both"/>
        <w:rPr>
          <w:color w:val="auto"/>
        </w:rPr>
      </w:pPr>
      <w:r>
        <w:rPr>
          <w:b/>
          <w:bCs/>
          <w:color w:val="auto"/>
          <w:szCs w:val="24"/>
        </w:rPr>
        <w:t>Решение Запросов на обслуживание.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61"/>
        <w:gridCol w:w="4960"/>
      </w:tblGrid>
      <w:tr>
        <w:trPr>
          <w:tblHeader w:val="true"/>
          <w:trHeight w:val="519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Уровень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Срок решения Запроса (часы)*</w:t>
            </w:r>
          </w:p>
        </w:tc>
      </w:tr>
      <w:tr>
        <w:trPr>
          <w:trHeight w:val="555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Базовый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24</w:t>
            </w:r>
          </w:p>
        </w:tc>
      </w:tr>
    </w:tbl>
    <w:p>
      <w:pPr>
        <w:pStyle w:val="Normal"/>
        <w:jc w:val="both"/>
        <w:rPr>
          <w:color w:val="auto"/>
        </w:rPr>
      </w:pPr>
      <w:r>
        <w:rPr>
          <w:color w:val="auto"/>
          <w:szCs w:val="24"/>
        </w:rPr>
        <w:t>* Время устранения инцидентов и выполнения запросов на обслуживание может быть изменено по взаимному соглашению Сторон с предварительным обоснованием причин необходимого изменения.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b/>
          <w:bCs/>
          <w:color w:val="auto"/>
          <w:szCs w:val="24"/>
        </w:rPr>
        <w:t>Запросы на изменение</w:t>
      </w:r>
    </w:p>
    <w:p>
      <w:pPr>
        <w:sectPr>
          <w:headerReference w:type="default" r:id="rId9"/>
          <w:headerReference w:type="first" r:id="rId10"/>
          <w:type w:val="nextPage"/>
          <w:pgSz w:w="11906" w:h="16838"/>
          <w:pgMar w:left="1134" w:right="850" w:gutter="0" w:header="850" w:top="1304" w:footer="0" w:bottom="992"/>
          <w:pgNumType w:fmt="decimal"/>
          <w:formProt w:val="false"/>
          <w:textDirection w:val="lrTb"/>
          <w:docGrid w:type="default" w:linePitch="381" w:charSpace="8192"/>
        </w:sect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</w:rPr>
        <w:t>Срок проведения изменений определяется индивидуально для каждого запроса по результатам согласования между Исполнителем и Заказчиком.</w:t>
      </w:r>
    </w:p>
    <w:p>
      <w:pPr>
        <w:pStyle w:val="Style38"/>
        <w:ind w:firstLine="567"/>
        <w:jc w:val="both"/>
        <w:rPr>
          <w:color w:val="auto"/>
        </w:rPr>
      </w:pPr>
      <w:r>
        <w:rPr>
          <w:b/>
          <w:bCs/>
          <w:color w:val="auto"/>
          <w:szCs w:val="24"/>
        </w:rPr>
        <w:t>Показатели и контроль качества предоставления услуги:</w:t>
      </w:r>
    </w:p>
    <w:p>
      <w:pPr>
        <w:pStyle w:val="Style38"/>
        <w:ind w:firstLine="567"/>
        <w:jc w:val="both"/>
        <w:rPr>
          <w:color w:val="auto"/>
        </w:rPr>
      </w:pPr>
      <w:r>
        <w:rPr>
          <w:color w:val="auto"/>
          <w:szCs w:val="24"/>
        </w:rPr>
        <w:t xml:space="preserve">Показатели качества предоставления услуги (ПКПУ) определяется в соответствии с Методикой оценки качества предоставления услуг в Приложении № 3 и параметрами SLA. </w:t>
      </w:r>
      <w:r>
        <w:rPr>
          <w:bCs/>
          <w:iCs/>
          <w:color w:val="auto"/>
          <w:szCs w:val="24"/>
          <w:lang w:eastAsia="x-none"/>
        </w:rPr>
        <w:t xml:space="preserve">Ниже </w:t>
      </w:r>
      <w:r>
        <w:rPr>
          <w:color w:val="auto"/>
          <w:szCs w:val="24"/>
        </w:rPr>
        <w:t>приведены</w:t>
      </w:r>
      <w:r>
        <w:rPr>
          <w:bCs/>
          <w:iCs/>
          <w:color w:val="auto"/>
          <w:szCs w:val="24"/>
          <w:lang w:eastAsia="x-none"/>
        </w:rPr>
        <w:t xml:space="preserve"> пороговые значения ПКПУ услуг:</w:t>
      </w:r>
    </w:p>
    <w:tbl>
      <w:tblPr>
        <w:tblW w:w="96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7"/>
        <w:gridCol w:w="3958"/>
        <w:gridCol w:w="1679"/>
        <w:gridCol w:w="1725"/>
        <w:gridCol w:w="1714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№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ПКПУ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iCs/>
                <w:color w:val="auto"/>
                <w:szCs w:val="24"/>
                <w:lang w:eastAsia="x-none"/>
              </w:rPr>
              <w:t>Нарушение</w:t>
              <w:br/>
              <w:t>SLA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Низкое</w:t>
              <w:br/>
              <w:t>качество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Нормальное</w:t>
              <w:br/>
              <w:t>качество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1.</w:t>
            </w:r>
          </w:p>
        </w:tc>
        <w:tc>
          <w:tcPr>
            <w:tcW w:w="9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Решение инцидентов и ЗНО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1.1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% просроченных Запросов.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Более 10%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От 5% до 10%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Менее 5%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1.2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% повторно открытых Запросов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Более 7%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От 3% до 7%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Менее 3%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1.3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Количество Запросов от VIP пользователей, закрытых с негативной оценкой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Более 2 шт.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1 – 2 шт.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0 шт.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2.</w:t>
            </w:r>
          </w:p>
        </w:tc>
        <w:tc>
          <w:tcPr>
            <w:tcW w:w="9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Реализация Изменений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2.1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Количество не своевременно реализованных ЗНИ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Более 2 шт.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1 – 2 шт.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0 шт.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3.</w:t>
            </w:r>
          </w:p>
        </w:tc>
        <w:tc>
          <w:tcPr>
            <w:tcW w:w="9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Контроль НШС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3.1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Количество НШС 1 уровня (недоступность услуги)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Более 3 шт.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1 – 2 шт.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0 шт.</w:t>
            </w:r>
          </w:p>
        </w:tc>
      </w:tr>
    </w:tbl>
    <w:p>
      <w:pPr>
        <w:pStyle w:val="Heading1"/>
        <w:numPr>
          <w:ilvl w:val="0"/>
          <w:numId w:val="3"/>
        </w:numPr>
        <w:spacing w:before="227" w:after="227"/>
        <w:ind w:hanging="0" w:left="0"/>
        <w:jc w:val="center"/>
        <w:rPr>
          <w:color w:val="auto"/>
        </w:rPr>
      </w:pPr>
      <w:bookmarkStart w:id="23" w:name="__RefHeading___Toc42797_1244722962"/>
      <w:bookmarkEnd w:id="23"/>
      <w:r>
        <w:rPr>
          <w:color w:val="auto"/>
          <w:lang w:val="ru-RU"/>
        </w:rPr>
        <w:t>Требования к документации по ценообразованию на этапе закупки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</w:rPr>
        <w:t>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Heading1"/>
        <w:numPr>
          <w:ilvl w:val="0"/>
          <w:numId w:val="3"/>
        </w:numPr>
        <w:spacing w:before="227" w:after="227"/>
        <w:ind w:hanging="0" w:left="0"/>
        <w:jc w:val="center"/>
        <w:rPr>
          <w:color w:val="auto"/>
        </w:rPr>
      </w:pPr>
      <w:bookmarkStart w:id="24" w:name="__RefHeading___Toc62263_3104815314"/>
      <w:bookmarkEnd w:id="24"/>
      <w:r>
        <w:rPr>
          <w:color w:val="auto"/>
          <w:lang w:val="ru-RU"/>
        </w:rPr>
        <w:t>Требования к документации по ценообразованию на этапе заключения (исполнения) договора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</w:rPr>
        <w:t>Требования к оформлению и составлению документации по ценообразованию представлены в Приложении № 1 к настоящим Техническим требованиям.</w:t>
      </w:r>
    </w:p>
    <w:p>
      <w:pPr>
        <w:pStyle w:val="Heading1"/>
        <w:keepLines/>
        <w:numPr>
          <w:ilvl w:val="0"/>
          <w:numId w:val="3"/>
        </w:numPr>
        <w:spacing w:before="227" w:after="227"/>
        <w:ind w:hanging="0" w:left="0"/>
        <w:jc w:val="center"/>
        <w:rPr>
          <w:color w:val="auto"/>
        </w:rPr>
      </w:pPr>
      <w:bookmarkStart w:id="25" w:name="__RefHeading___Toc62265_3104815314"/>
      <w:bookmarkEnd w:id="25"/>
      <w:r>
        <w:rPr>
          <w:iCs/>
          <w:color w:val="auto"/>
          <w:lang w:val="ru-RU"/>
        </w:rPr>
        <w:t>Приложения</w:t>
      </w:r>
    </w:p>
    <w:p>
      <w:pPr>
        <w:pStyle w:val="Normal"/>
        <w:spacing w:lineRule="auto" w:line="276" w:before="113" w:after="113"/>
        <w:rPr>
          <w:color w:val="auto"/>
        </w:rPr>
      </w:pPr>
      <w:r>
        <w:rPr>
          <w:color w:val="auto"/>
          <w:szCs w:val="24"/>
        </w:rPr>
        <w:t>Приложение № 1: Требования к сметному ценообразованию</w:t>
      </w:r>
    </w:p>
    <w:p>
      <w:pPr>
        <w:pStyle w:val="Normal"/>
        <w:spacing w:lineRule="auto" w:line="276" w:before="113" w:after="113"/>
        <w:rPr>
          <w:color w:val="auto"/>
        </w:rPr>
      </w:pPr>
      <w:r>
        <w:rPr>
          <w:color w:val="auto"/>
          <w:szCs w:val="24"/>
        </w:rPr>
        <w:t>Приложение № 2: Форма о</w:t>
      </w:r>
      <w:r>
        <w:rPr>
          <w:rFonts w:eastAsia="Calibri"/>
          <w:color w:val="auto"/>
          <w:szCs w:val="24"/>
        </w:rPr>
        <w:t>тчета по качеству предоставления услуг</w:t>
      </w:r>
    </w:p>
    <w:p>
      <w:pPr>
        <w:sectPr>
          <w:headerReference w:type="default" r:id="rId11"/>
          <w:headerReference w:type="first" r:id="rId12"/>
          <w:type w:val="nextPage"/>
          <w:pgSz w:w="11906" w:h="16838"/>
          <w:pgMar w:left="1134" w:right="850" w:gutter="0" w:header="850" w:top="1304" w:footer="0" w:bottom="850"/>
          <w:pgNumType w:fmt="decimal"/>
          <w:formProt w:val="false"/>
          <w:textDirection w:val="lrTb"/>
          <w:docGrid w:type="default" w:linePitch="381" w:charSpace="8192"/>
        </w:sectPr>
        <w:pStyle w:val="Normal"/>
        <w:spacing w:lineRule="auto" w:line="276" w:before="113" w:after="113"/>
        <w:rPr>
          <w:color w:val="auto"/>
        </w:rPr>
      </w:pPr>
      <w:r>
        <w:rPr>
          <w:color w:val="auto"/>
          <w:szCs w:val="24"/>
        </w:rPr>
        <w:t>Приложение № 3: Методика оценки качества предоставления услуг</w:t>
      </w:r>
      <w:r>
        <w:br w:type="page"/>
      </w:r>
    </w:p>
    <w:p>
      <w:pPr>
        <w:pStyle w:val="Heading1"/>
        <w:keepLines/>
        <w:numPr>
          <w:ilvl w:val="0"/>
          <w:numId w:val="0"/>
        </w:numPr>
        <w:ind w:hanging="0" w:left="0"/>
        <w:jc w:val="right"/>
        <w:rPr>
          <w:color w:val="auto"/>
        </w:rPr>
      </w:pPr>
      <w:bookmarkStart w:id="26" w:name="__RefHeading___Toc62267_3104815314"/>
      <w:bookmarkEnd w:id="26"/>
      <w:r>
        <w:rPr>
          <w:color w:val="auto"/>
          <w:sz w:val="24"/>
          <w:szCs w:val="24"/>
          <w:lang w:val="ru-RU"/>
        </w:rPr>
        <w:t xml:space="preserve">ПРИЛОЖЕНИЕ № 1 </w:t>
      </w:r>
    </w:p>
    <w:p>
      <w:pPr>
        <w:pStyle w:val="Normal"/>
        <w:tabs>
          <w:tab w:val="clear" w:pos="708"/>
          <w:tab w:val="left" w:pos="-2268" w:leader="none"/>
        </w:tabs>
        <w:jc w:val="right"/>
        <w:rPr>
          <w:color w:val="auto"/>
        </w:rPr>
      </w:pPr>
      <w:r>
        <w:rPr>
          <w:color w:val="auto"/>
          <w:szCs w:val="24"/>
        </w:rPr>
        <w:t xml:space="preserve">к Техническим требованиям </w:t>
      </w:r>
    </w:p>
    <w:p>
      <w:pPr>
        <w:pStyle w:val="Normal"/>
        <w:tabs>
          <w:tab w:val="clear" w:pos="708"/>
          <w:tab w:val="left" w:pos="-2268" w:leader="none"/>
        </w:tabs>
        <w:jc w:val="right"/>
        <w:rPr>
          <w:color w:val="auto"/>
        </w:rPr>
      </w:pPr>
      <w:r>
        <w:rPr>
          <w:color w:val="auto"/>
          <w:szCs w:val="24"/>
        </w:rPr>
        <w:t>на оказание услуг</w:t>
      </w:r>
    </w:p>
    <w:p>
      <w:pPr>
        <w:pStyle w:val="Normal"/>
        <w:tabs>
          <w:tab w:val="clear" w:pos="708"/>
          <w:tab w:val="left" w:pos="-2268" w:leader="none"/>
        </w:tabs>
        <w:spacing w:before="227" w:after="227"/>
        <w:jc w:val="center"/>
        <w:rPr>
          <w:color w:val="auto"/>
        </w:rPr>
      </w:pPr>
      <w:r>
        <w:rPr>
          <w:b/>
          <w:color w:val="auto"/>
          <w:szCs w:val="24"/>
        </w:rPr>
        <w:t>Требования к сметному ценообразованию</w:t>
      </w:r>
    </w:p>
    <w:p>
      <w:pPr>
        <w:pStyle w:val="Normal"/>
        <w:tabs>
          <w:tab w:val="clear" w:pos="708"/>
          <w:tab w:val="left" w:pos="1260" w:leader="none"/>
        </w:tabs>
        <w:spacing w:before="227" w:after="227"/>
        <w:jc w:val="center"/>
        <w:rPr>
          <w:color w:val="auto"/>
        </w:rPr>
      </w:pPr>
      <w:r>
        <w:rPr>
          <w:b/>
          <w:color w:val="auto"/>
          <w:szCs w:val="24"/>
        </w:rPr>
        <w:t>Требования к оформлению и составлению</w:t>
        <w:br/>
        <w:t>смет или расчетов на выполнение работ и оказание услуг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Настоящие требования разработаны для единого подхода к определению стоимости выполнения работ и оказания услуг (далее по тексту–Работы/Услуги).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Сметы или расчеты на Работы/Услуги составлять на основании технических требований (Задания на оказание Услуг) Заказчика, графиков производства работ.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Стоимость Работ/Услуг (обследований, обмерных работ и т.д.), определяется на основе Справочников базовых цен и других нормативных сборников, внесенных в Федеральный реестр сметных нормативов, подлежащих применению при определении сметной стоимости объектов капитального строительства, строительство которых финансируется с привлечением средств федерального бюджета (далее – ФРСН).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При использовании в сметах коэффициентов (доплат, процентов и т.д.) в графе «Номер частей, глав, таблиц, процентов…» указывать обоснование из методических указаний, общих положений сборников или других нормативных документов и приложений к ним.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Пересчет сметной стоимости Работ/Услуг по состоянию на 01.01.2001г, 01.01.1995г. (1991г.) следует производить согласно индексам на указанные работы, рекомендованным к применению письмом соответствующего органа исполнительной власти, уполномоченного в области сметного нормирования и ценообразования в сфере градостроительной деятельности.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При определении стоимости Работ/Услуг, затраты организации, расположенной в районах, в которых, в соответствии с действующим законодательством производятся выплаты, обусловленные районным регулированием оплаты труда, в т.ч. выплаты по районным коэффициентам, а также надбавки за непрерывный стаж и других льгот, предусмотренных законодательством в районах Крайнего Севера и приравненных к ним местностям, на основании: «Рекомендаций по определению коэффициента к базовым ценам на проектные работы, учитывающего дополнительные затраты организаций на льготные выплаты по заработной плате», одобренных и рекомендованных к применению письмом Госстроя России от 30.06.98 № 9-10-17/40, дополнительно учитываются путем введения к итогу базовой цены повышающих коэффициентов. Указывать размер примененных коэффициентов, доплат и т.д. с обоснованиями из технической части, вводных указаний сборников или других нормативных документов.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Стоимость Работ/Услуг, цены на которые отсутствуют в СБЦ, СЦ и других нормативных сборниках, внесенных в ФРСН, определять сметным расчетом по себестоимости и уровню рентабельности (форма №3п) по согласованию с Заказчиком.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Средства на выполнение Работ/Услуг определяются отдельными расчетами в соответствии с видом выполняемых работ и включаются (по необходимости) в сводный сметный расчет (Приложение №3).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 xml:space="preserve">В случае заключений дополнительных соглашений к договору (далее - д/с), сводный сметный расчет необходимо выполнять в накопительной форме с учетом ЛСР (ЛС) к основному договору и ко всем заключенным д/с к нему. В итогах сводного сметного расчета в накопительной форме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сводного сметного расчета в накопительной форме очередного д/с и стоимостью основного договора. Форма сводного сметного расчета в накопительной (образец приложение № 3.1) ЛСР (ЛС) разрабатываются отдельно на исключаемые и дополнительные объемы работ. </w:t>
      </w:r>
    </w:p>
    <w:p>
      <w:pPr>
        <w:pStyle w:val="Normal"/>
        <w:tabs>
          <w:tab w:val="clear" w:pos="708"/>
          <w:tab w:val="left" w:pos="142" w:leader="none"/>
        </w:tabs>
        <w:spacing w:lineRule="auto" w:line="240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ЛС являются приложениями к сводному сметному расчету в накопительной форме. Нумерация приложений указывается по мере включения ЛС в Сводный сметный расчет в накопительной форме - по порядку.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Результаты вычислений (построчные) и итоговые данные округляются до целых рублей:</w:t>
      </w:r>
    </w:p>
    <w:p>
      <w:pPr>
        <w:pStyle w:val="Normal"/>
        <w:numPr>
          <w:ilvl w:val="0"/>
          <w:numId w:val="10"/>
        </w:numPr>
        <w:spacing w:lineRule="auto" w:line="240" w:before="57" w:after="57"/>
        <w:ind w:hanging="227" w:left="794"/>
        <w:jc w:val="both"/>
        <w:rPr>
          <w:color w:val="auto"/>
        </w:rPr>
      </w:pPr>
      <w:r>
        <w:rPr>
          <w:color w:val="auto"/>
          <w:szCs w:val="24"/>
        </w:rPr>
        <w:t xml:space="preserve">графа 5 «Стоимость» (образец 2П приложения 2 к Требованиям к оформлению и составлению документации по ценообразованию); </w:t>
      </w:r>
    </w:p>
    <w:p>
      <w:pPr>
        <w:pStyle w:val="Normal"/>
        <w:numPr>
          <w:ilvl w:val="0"/>
          <w:numId w:val="10"/>
        </w:numPr>
        <w:spacing w:lineRule="auto" w:line="240" w:before="57" w:after="57"/>
        <w:ind w:hanging="227" w:left="794"/>
        <w:jc w:val="both"/>
        <w:rPr>
          <w:color w:val="auto"/>
        </w:rPr>
      </w:pPr>
      <w:r>
        <w:rPr>
          <w:color w:val="auto"/>
          <w:szCs w:val="24"/>
        </w:rPr>
        <w:t>графа 7 «Оплата труда (всего)» (образец 3П приложения 2 к Требованиям к оформлению и составлению документации по ценообразованию).</w:t>
      </w:r>
    </w:p>
    <w:p>
      <w:pPr>
        <w:pStyle w:val="Normal"/>
        <w:widowControl w:val="false"/>
        <w:spacing w:lineRule="auto" w:line="240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Результаты вычислений (построчные) и итоговые данные в локальных сметных расчетах, (сметах), приводятся в рублях,</w:t>
      </w:r>
    </w:p>
    <w:p>
      <w:pPr>
        <w:pStyle w:val="ListParagraph"/>
        <w:widowControl w:val="false"/>
        <w:numPr>
          <w:ilvl w:val="0"/>
          <w:numId w:val="11"/>
        </w:numPr>
        <w:tabs>
          <w:tab w:val="clear" w:pos="708"/>
          <w:tab w:val="left" w:pos="142" w:leader="none"/>
          <w:tab w:val="left" w:pos="567" w:leader="none"/>
        </w:tabs>
        <w:spacing w:lineRule="auto" w:line="240" w:before="57" w:after="57"/>
        <w:ind w:hanging="227" w:left="794"/>
        <w:contextualSpacing w:val="false"/>
        <w:jc w:val="both"/>
        <w:rPr>
          <w:color w:val="auto"/>
        </w:rPr>
      </w:pPr>
      <w:r>
        <w:rPr>
          <w:color w:val="auto"/>
        </w:rPr>
        <w:t>при базисно-индексном методе, с округлением до целых рублей;</w:t>
      </w:r>
    </w:p>
    <w:p>
      <w:pPr>
        <w:pStyle w:val="ListParagraph"/>
        <w:widowControl w:val="false"/>
        <w:numPr>
          <w:ilvl w:val="0"/>
          <w:numId w:val="11"/>
        </w:numPr>
        <w:tabs>
          <w:tab w:val="clear" w:pos="708"/>
          <w:tab w:val="left" w:pos="142" w:leader="none"/>
        </w:tabs>
        <w:spacing w:lineRule="auto" w:line="240" w:before="57" w:after="57"/>
        <w:ind w:hanging="227" w:left="794"/>
        <w:contextualSpacing w:val="false"/>
        <w:jc w:val="both"/>
        <w:rPr>
          <w:color w:val="auto"/>
        </w:rPr>
      </w:pPr>
      <w:r>
        <w:rPr>
          <w:color w:val="auto"/>
        </w:rPr>
        <w:t>при ресурсно-индексном и ресурсным методах, а также сметных расчетах на отдельные виды затрат - с округлением до целых единиц;</w:t>
      </w:r>
    </w:p>
    <w:p>
      <w:pPr>
        <w:pStyle w:val="ListParagraph"/>
        <w:numPr>
          <w:ilvl w:val="0"/>
          <w:numId w:val="11"/>
        </w:numPr>
        <w:tabs>
          <w:tab w:val="clear" w:pos="708"/>
          <w:tab w:val="left" w:pos="142" w:leader="none"/>
          <w:tab w:val="left" w:pos="993" w:leader="none"/>
        </w:tabs>
        <w:spacing w:lineRule="auto" w:line="240" w:before="57" w:after="57"/>
        <w:ind w:hanging="227" w:left="794"/>
        <w:contextualSpacing w:val="false"/>
        <w:jc w:val="both"/>
        <w:rPr>
          <w:color w:val="auto"/>
        </w:rPr>
      </w:pPr>
      <w:r>
        <w:rPr>
          <w:color w:val="auto"/>
        </w:rPr>
        <w:t>в сводной смете - в рублях с округлением до двух знаков после запятой.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42" w:leader="none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Сметы предоставляются в 2-х вариантах: бумажном и электронном (в формате «Excel»).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42" w:leader="none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определить в соответствии с действующим законодательством РФ и с учетом норм, определяемых внутренним документом организации.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42" w:leader="none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Лимиты командировочных расходов при производстве Работ/Услуг по статьям затрат следующие: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142" w:leader="none"/>
          <w:tab w:val="left" w:pos="928" w:leader="none"/>
          <w:tab w:val="left" w:pos="993" w:leader="none"/>
        </w:tabs>
        <w:spacing w:lineRule="auto" w:line="240" w:before="57" w:after="57"/>
        <w:ind w:hanging="227" w:left="794"/>
        <w:jc w:val="both"/>
        <w:rPr>
          <w:color w:val="auto"/>
        </w:rPr>
      </w:pPr>
      <w:r>
        <w:rPr>
          <w:color w:val="auto"/>
          <w:szCs w:val="24"/>
        </w:rPr>
        <w:t>суточные –700 руб./сутки;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142" w:leader="none"/>
          <w:tab w:val="left" w:pos="928" w:leader="none"/>
          <w:tab w:val="left" w:pos="993" w:leader="none"/>
        </w:tabs>
        <w:spacing w:lineRule="auto" w:line="240" w:before="57" w:after="57"/>
        <w:ind w:hanging="227" w:left="794"/>
        <w:jc w:val="both"/>
        <w:rPr>
          <w:color w:val="auto"/>
        </w:rPr>
      </w:pPr>
      <w:r>
        <w:rPr>
          <w:color w:val="auto"/>
          <w:szCs w:val="24"/>
        </w:rPr>
        <w:t>проживание – 5000 руб./сутки;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142" w:leader="none"/>
          <w:tab w:val="left" w:pos="928" w:leader="none"/>
          <w:tab w:val="left" w:pos="993" w:leader="none"/>
        </w:tabs>
        <w:spacing w:lineRule="auto" w:line="240" w:before="57" w:after="57"/>
        <w:ind w:hanging="227" w:left="794"/>
        <w:jc w:val="both"/>
        <w:rPr>
          <w:color w:val="auto"/>
        </w:rPr>
      </w:pPr>
      <w:r>
        <w:rPr>
          <w:color w:val="auto"/>
          <w:szCs w:val="24"/>
        </w:rPr>
        <w:t>проезд: поезд (купе) или самолет (класс–эконом с багажом до 20 (двадцати) кг, ручная кладь до 10 (десяти) кг).</w:t>
      </w:r>
    </w:p>
    <w:p>
      <w:pPr>
        <w:pStyle w:val="Normal"/>
        <w:tabs>
          <w:tab w:val="clear" w:pos="708"/>
          <w:tab w:val="left" w:pos="142" w:leader="none"/>
          <w:tab w:val="left" w:pos="284" w:leader="none"/>
          <w:tab w:val="left" w:pos="993" w:leader="none"/>
        </w:tabs>
        <w:spacing w:lineRule="auto" w:line="240" w:before="57" w:after="57"/>
        <w:ind w:firstLine="567"/>
        <w:jc w:val="both"/>
        <w:rPr>
          <w:color w:val="auto"/>
        </w:rPr>
      </w:pPr>
      <w:r>
        <w:rPr>
          <w:b/>
          <w:bCs/>
          <w:i/>
          <w:iCs/>
          <w:color w:val="auto"/>
          <w:szCs w:val="24"/>
        </w:rPr>
        <w:t>Данные лимиты могут быть пересмотрены на этапе согласования технических требований.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42" w:leader="none"/>
          <w:tab w:val="left" w:pos="567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В случае учета строительно-монтажных работ в рамках исполнения работ при производстве Работ/Услуг необходимо руководствоваться соответствующими требованиями к оформлению и составлению сметной документации при ремонте, реконструкции и техническом перевооружении.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42" w:leader="none"/>
          <w:tab w:val="left" w:pos="567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В случае применения понижающего коэффициента к итогу смет или расчетов, корректирующего их стоимость в меньшую сторону, величину данного коэффициента необходимо учитывать с округлением до 3 знаков после запятой.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42" w:leader="none"/>
          <w:tab w:val="left" w:pos="567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 xml:space="preserve">Стоимость субподрядных работ (в случае наличия таковых) следует отразить отдельной строкой в Сводной смете (образец приложение № 3 к Требованиям к оформлению и составлению документации по ценообразованию) с представлением соответствующих расчетов. 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42" w:leader="none"/>
          <w:tab w:val="left" w:pos="567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Стоимость материальных ресурсов и комплектующих, необходимых для создания опытных образцов, следует отразить отдельными строками в Сводной смете (образец приложение № 3 к Требованиям к оформлению и составлению документации по ценообразованию).</w:t>
      </w:r>
    </w:p>
    <w:p>
      <w:pPr>
        <w:sectPr>
          <w:headerReference w:type="default" r:id="rId13"/>
          <w:headerReference w:type="first" r:id="rId14"/>
          <w:type w:val="nextPage"/>
          <w:pgSz w:w="11906" w:h="16838"/>
          <w:pgMar w:left="1134" w:right="850" w:gutter="0" w:header="850" w:top="1275" w:footer="0" w:bottom="850"/>
          <w:pgNumType w:fmt="decimal"/>
          <w:formProt w:val="false"/>
          <w:textDirection w:val="lrTb"/>
          <w:docGrid w:type="default" w:linePitch="360" w:charSpace="8192"/>
        </w:sectPr>
        <w:pStyle w:val="Normal"/>
        <w:numPr>
          <w:ilvl w:val="0"/>
          <w:numId w:val="8"/>
        </w:numPr>
        <w:tabs>
          <w:tab w:val="clear" w:pos="708"/>
          <w:tab w:val="left" w:pos="142" w:leader="none"/>
          <w:tab w:val="left" w:pos="567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Стоимость строительно-монтажных работ, выполняемым в целях создания опытных образов и макетов, следует отразить отдельными строками в Сводной смете (образец приложение № 3 к Требованиям к оформлению и составлению документации по ценообразованию) с представлением соответствующих расчетов (в случае наличия таковых).</w:t>
      </w:r>
    </w:p>
    <w:p>
      <w:pPr>
        <w:pStyle w:val="Normal"/>
        <w:spacing w:lineRule="auto" w:line="276" w:before="0" w:after="113"/>
        <w:jc w:val="right"/>
        <w:rPr>
          <w:color w:val="auto"/>
        </w:rPr>
      </w:pPr>
      <w:r>
        <w:rPr>
          <w:color w:val="auto"/>
          <w:szCs w:val="40"/>
        </w:rPr>
        <w:t>Приложение №1</w:t>
      </w:r>
    </w:p>
    <w:p>
      <w:pPr>
        <w:pStyle w:val="Normal"/>
        <w:spacing w:lineRule="auto" w:line="276"/>
        <w:jc w:val="right"/>
        <w:rPr>
          <w:color w:val="auto"/>
        </w:rPr>
      </w:pPr>
      <w:r>
        <w:rPr>
          <w:color w:val="auto"/>
          <w:szCs w:val="40"/>
        </w:rPr>
        <w:t>к Требованиям к сметному</w:t>
        <w:br/>
        <w:t>ценообразованию</w:t>
      </w:r>
    </w:p>
    <w:p>
      <w:pPr>
        <w:pStyle w:val="Normal"/>
        <w:spacing w:lineRule="auto" w:line="276" w:before="227" w:after="227"/>
        <w:jc w:val="center"/>
        <w:rPr>
          <w:color w:val="auto"/>
        </w:rPr>
      </w:pPr>
      <w:r>
        <w:rPr>
          <w:b/>
          <w:color w:val="auto"/>
          <w:szCs w:val="24"/>
        </w:rPr>
        <w:t>ПОЯСНИТЕЛЬНАЯ ЗАПИСКА</w:t>
        <w:br/>
        <w:t>по заполнению формы №3п</w:t>
        <w:br/>
        <w:t xml:space="preserve"> при составлении смет на Работы/Услуги</w:t>
      </w:r>
    </w:p>
    <w:p>
      <w:pPr>
        <w:pStyle w:val="Normal"/>
        <w:numPr>
          <w:ilvl w:val="0"/>
          <w:numId w:val="34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При составлении сметного расчета по трудозатратам (форма №3п), разработанным организацией, выполняющей Работы/Услуги, обоснование расчета трудозатрат представляется заказчику по его просьбе. Сметные расчеты составляются в ценах текущего периода.</w:t>
      </w:r>
    </w:p>
    <w:p>
      <w:pPr>
        <w:pStyle w:val="Normal"/>
        <w:numPr>
          <w:ilvl w:val="0"/>
          <w:numId w:val="9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Расчетом по трудозатратам (форма №3п) рекомендуется определять стоимость работ, цены на которые отсутствуют в СБЦ, СЦ и других нормативных сборниках, внесенных в Федеральный реестр сметных нормативов, подлежащих применению при определении сметной стоимости объектов капитального строительства, строительство которых финансируется с привлечением средств федерального бюджета (далее – ФРСН)</w:t>
      </w:r>
    </w:p>
    <w:p>
      <w:pPr>
        <w:pStyle w:val="Normal"/>
        <w:numPr>
          <w:ilvl w:val="0"/>
          <w:numId w:val="9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 xml:space="preserve">Форма сметы для определения затрат по себестоимости и уровню рентабельности (форма №3п) приведена в Образце 3П (Приложение № 2 к пояснительной записке по заполнению формы 3П) </w:t>
      </w:r>
    </w:p>
    <w:p>
      <w:pPr>
        <w:pStyle w:val="Normal"/>
        <w:numPr>
          <w:ilvl w:val="0"/>
          <w:numId w:val="9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Результаты вычислений и итоговые данные по разделам расчета округлять до целых рублей.</w:t>
      </w:r>
    </w:p>
    <w:p>
      <w:pPr>
        <w:pStyle w:val="Normal"/>
        <w:numPr>
          <w:ilvl w:val="0"/>
          <w:numId w:val="9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Особенности заполнения формы 3П.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  <w:u w:val="single"/>
        </w:rPr>
        <w:t>Раздел 1. Расчет заработной платы:</w:t>
      </w:r>
    </w:p>
    <w:p>
      <w:pPr>
        <w:pStyle w:val="Normal"/>
        <w:numPr>
          <w:ilvl w:val="0"/>
          <w:numId w:val="6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в графе 1 приводится нумерация выполняемых работ;</w:t>
      </w:r>
    </w:p>
    <w:p>
      <w:pPr>
        <w:pStyle w:val="Normal"/>
        <w:numPr>
          <w:ilvl w:val="0"/>
          <w:numId w:val="6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в графе 2 приводится наименование выполняемых работ;</w:t>
      </w:r>
    </w:p>
    <w:p>
      <w:pPr>
        <w:pStyle w:val="Normal"/>
        <w:numPr>
          <w:ilvl w:val="0"/>
          <w:numId w:val="6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в графе 3 указывается количество привлекаемых работников;</w:t>
      </w:r>
    </w:p>
    <w:p>
      <w:pPr>
        <w:pStyle w:val="Normal"/>
        <w:numPr>
          <w:ilvl w:val="0"/>
          <w:numId w:val="6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в графе 4 указывается наименование должности (при необходимости, с указанием конкретных фамилий) работников, участвующих в выполнении каждой из приведенных работ в графе 2;</w:t>
      </w:r>
    </w:p>
    <w:p>
      <w:pPr>
        <w:pStyle w:val="Normal"/>
        <w:numPr>
          <w:ilvl w:val="0"/>
          <w:numId w:val="6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временным нормам;</w:t>
      </w:r>
    </w:p>
    <w:p>
      <w:pPr>
        <w:pStyle w:val="Normal"/>
        <w:numPr>
          <w:ilvl w:val="0"/>
          <w:numId w:val="6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 штатному расписанию основного производственного персонала исходя из установленных в 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>
      <w:pPr>
        <w:pStyle w:val="Normal"/>
        <w:numPr>
          <w:ilvl w:val="0"/>
          <w:numId w:val="6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pacing w:val="-4"/>
          <w:szCs w:val="24"/>
        </w:rPr>
        <w:t>в графе 7 указывается заработная плата в рублях (</w:t>
      </w:r>
      <w:r>
        <w:rPr>
          <w:b/>
          <w:color w:val="auto"/>
          <w:spacing w:val="-4"/>
          <w:szCs w:val="24"/>
          <w:u w:val="single"/>
        </w:rPr>
        <w:t>результат перемножения граф 5 и 6</w:t>
      </w:r>
      <w:r>
        <w:rPr>
          <w:color w:val="auto"/>
          <w:spacing w:val="-4"/>
          <w:szCs w:val="24"/>
        </w:rPr>
        <w:t>);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работ, выполненных главным инженером проекта, или на базе имеющихся в организации проработок, определяющих нормативы их трудоемкости.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  <w:u w:val="single"/>
        </w:rPr>
        <w:t>Раздел 2. Расчет стоимости выполнения работ:</w:t>
      </w:r>
    </w:p>
    <w:p>
      <w:pPr>
        <w:pStyle w:val="Normal"/>
        <w:numPr>
          <w:ilvl w:val="0"/>
          <w:numId w:val="7"/>
        </w:numPr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в пункте 2.1 указывается процент заработной платы производственного персонала в составе себестоимости (</w:t>
      </w:r>
      <w:r>
        <w:rPr>
          <w:b/>
          <w:color w:val="auto"/>
          <w:szCs w:val="24"/>
          <w:u w:val="single"/>
        </w:rPr>
        <w:t>без учета субподрядных работ</w:t>
      </w:r>
      <w:r>
        <w:rPr>
          <w:color w:val="auto"/>
          <w:szCs w:val="24"/>
        </w:rPr>
        <w:t>), находящийся в пределах не менее 30% – уточняется по данным организации в соответствии с бизнес-планом. Данные по оплате труда, процент заработной платы в составе себестоимости, уровень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документом организации.</w:t>
      </w:r>
    </w:p>
    <w:p>
      <w:pPr>
        <w:pStyle w:val="Normal"/>
        <w:numPr>
          <w:ilvl w:val="0"/>
          <w:numId w:val="7"/>
        </w:numPr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в пункте 2.2 производится расчет себестоимости работ на основании выполненного в разделе 1 расчета заработной платы и ее процента в составе себестоимости работ (отношение итога графы 7 раздела 1 к пункту 2.1);</w:t>
      </w:r>
    </w:p>
    <w:p>
      <w:pPr>
        <w:pStyle w:val="Normal"/>
        <w:numPr>
          <w:ilvl w:val="0"/>
          <w:numId w:val="7"/>
        </w:numPr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>
      <w:pPr>
        <w:pStyle w:val="Normal"/>
        <w:numPr>
          <w:ilvl w:val="0"/>
          <w:numId w:val="7"/>
        </w:numPr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уровень рентабельности по отношению к себестоимости может составлять до 15%.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К сметной документации необходимо приложить все справочные данные по вышеуказанным экономическим характеристикам предприятия в виде официальной справки (образец в Приложении №1 к пояснительной записке по заполнению формы 3П).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  <w:u w:val="single"/>
        </w:rPr>
        <w:t>Раздел 3. Расчет командировочных расходов.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Командировочные расходы включаются в сметный расчет отдельной строкой (пункт 3 формы 3П) по отдельно выполненному расчету с расшифровкой затрат на проезд, проживание, суточные расходы.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Стоимость проезда необходимо указывать по каждому виду транспорта отдельно туда и отдельно обратно.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Размер расходов на проезд и стоимость проживания в гостинице определяется на момент составления расчета. Форма расчета приведена в Приложении 3.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Лимиты командировочных расходов при производстве Работ/Услуг:</w:t>
      </w:r>
    </w:p>
    <w:p>
      <w:pPr>
        <w:pStyle w:val="Normal"/>
        <w:numPr>
          <w:ilvl w:val="0"/>
          <w:numId w:val="21"/>
        </w:numPr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суточные – 700 руб./сутки;</w:t>
      </w:r>
    </w:p>
    <w:p>
      <w:pPr>
        <w:pStyle w:val="Normal"/>
        <w:numPr>
          <w:ilvl w:val="0"/>
          <w:numId w:val="21"/>
        </w:numPr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проживание – 5000 руб./сутки;</w:t>
      </w:r>
    </w:p>
    <w:p>
      <w:pPr>
        <w:pStyle w:val="Normal"/>
        <w:numPr>
          <w:ilvl w:val="0"/>
          <w:numId w:val="21"/>
        </w:numPr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проезд: поезд (купе) или самолет (класс – эконом с багажом до 20 (двадцати) кг, ручная кладь до 10 (десяти) кг).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b/>
          <w:i/>
          <w:color w:val="auto"/>
          <w:szCs w:val="24"/>
        </w:rPr>
        <w:t xml:space="preserve">Данные лимиты могут быть пересмотрены на этапе согласования технических требований. 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При учете командировочных расходов стоимость проезда (авиа-, ж/д, …) и проживания определяется Методом анализа ТКП в соответствии с Методикой формирования плановой цены на закупаемую продукцию для организаций Группы РусГидро (далее – Методика ПЦ).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</w:p>
    <w:p>
      <w:pPr>
        <w:pStyle w:val="Normal"/>
        <w:spacing w:before="113" w:after="113"/>
        <w:jc w:val="right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  <w:r>
        <w:br w:type="page"/>
      </w:r>
    </w:p>
    <w:p>
      <w:pPr>
        <w:pStyle w:val="Normal"/>
        <w:spacing w:lineRule="auto" w:line="276" w:before="0" w:after="120"/>
        <w:ind w:left="5670"/>
        <w:jc w:val="right"/>
        <w:rPr>
          <w:color w:val="auto"/>
        </w:rPr>
      </w:pPr>
      <w:r>
        <w:rPr>
          <w:color w:val="auto"/>
          <w:szCs w:val="40"/>
        </w:rPr>
        <w:t>Приложение №1</w:t>
      </w:r>
    </w:p>
    <w:p>
      <w:pPr>
        <w:pStyle w:val="Normal"/>
        <w:spacing w:lineRule="auto" w:line="276" w:before="0" w:after="120"/>
        <w:ind w:left="5670"/>
        <w:jc w:val="right"/>
        <w:rPr>
          <w:color w:val="auto"/>
        </w:rPr>
      </w:pPr>
      <w:r>
        <w:rPr>
          <w:color w:val="auto"/>
          <w:szCs w:val="40"/>
        </w:rPr>
        <w:t>к Пояснительной записке по заполнению формы 3п</w:t>
      </w:r>
    </w:p>
    <w:p>
      <w:pPr>
        <w:pStyle w:val="Normal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</w:r>
    </w:p>
    <w:p>
      <w:pPr>
        <w:pStyle w:val="Normal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</w:r>
    </w:p>
    <w:p>
      <w:pPr>
        <w:pStyle w:val="Normal"/>
        <w:spacing w:lineRule="auto" w:line="276" w:before="0" w:after="120"/>
        <w:jc w:val="center"/>
        <w:rPr>
          <w:color w:val="auto"/>
        </w:rPr>
      </w:pPr>
      <w:r>
        <w:rPr>
          <w:b/>
          <w:color w:val="auto"/>
          <w:szCs w:val="24"/>
        </w:rPr>
        <w:t>СПРАВКА (Образец)</w:t>
      </w:r>
    </w:p>
    <w:p>
      <w:pPr>
        <w:pStyle w:val="Normal"/>
        <w:spacing w:lineRule="auto" w:line="276" w:before="0" w:after="120"/>
        <w:rPr>
          <w:color w:val="auto"/>
        </w:rPr>
      </w:pPr>
      <w:r>
        <w:rPr>
          <w:color w:val="auto"/>
          <w:szCs w:val="24"/>
        </w:rPr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>
      <w:pPr>
        <w:pStyle w:val="Normal"/>
        <w:spacing w:lineRule="auto" w:line="276"/>
        <w:rPr>
          <w:color w:val="auto"/>
          <w:szCs w:val="24"/>
        </w:rPr>
      </w:pPr>
      <w:r>
        <w:rPr>
          <w:color w:val="auto"/>
          <w:szCs w:val="24"/>
        </w:rPr>
      </w:r>
    </w:p>
    <w:tbl>
      <w:tblPr>
        <w:tblW w:w="8793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47"/>
        <w:gridCol w:w="3942"/>
        <w:gridCol w:w="3104"/>
      </w:tblGrid>
      <w:tr>
        <w:trPr>
          <w:trHeight w:val="325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№ </w:t>
            </w:r>
            <w:r>
              <w:rPr>
                <w:color w:val="auto"/>
                <w:szCs w:val="24"/>
              </w:rPr>
              <w:t>п/п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Заработная плата в день, в руб.</w:t>
            </w:r>
          </w:p>
        </w:tc>
      </w:tr>
      <w:tr>
        <w:trPr>
          <w:trHeight w:val="630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-</w:t>
            </w:r>
          </w:p>
        </w:tc>
      </w:tr>
      <w:tr>
        <w:trPr>
          <w:trHeight w:val="581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2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-</w:t>
            </w:r>
          </w:p>
        </w:tc>
      </w:tr>
      <w:tr>
        <w:trPr>
          <w:trHeight w:val="634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3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-</w:t>
            </w:r>
          </w:p>
        </w:tc>
      </w:tr>
    </w:tbl>
    <w:p>
      <w:pPr>
        <w:pStyle w:val="Normal"/>
        <w:spacing w:lineRule="auto" w:line="276"/>
        <w:rPr>
          <w:color w:val="auto"/>
        </w:rPr>
      </w:pPr>
      <w:r>
        <w:rPr>
          <w:color w:val="auto"/>
          <w:szCs w:val="24"/>
        </w:rPr>
        <w:tab/>
      </w:r>
    </w:p>
    <w:p>
      <w:pPr>
        <w:pStyle w:val="Normal"/>
        <w:spacing w:lineRule="auto" w:line="276"/>
        <w:rPr>
          <w:color w:val="auto"/>
        </w:rPr>
      </w:pPr>
      <w:r>
        <w:rPr>
          <w:color w:val="auto"/>
          <w:szCs w:val="24"/>
        </w:rPr>
        <w:t>Доля заработной платы в себестоимости работ, выполняемых с/с………  (%)</w:t>
        <w:tab/>
        <w:tab/>
        <w:tab/>
        <w:tab/>
        <w:tab/>
        <w:tab/>
        <w:t>__</w:t>
      </w:r>
    </w:p>
    <w:p>
      <w:pPr>
        <w:pStyle w:val="Normal"/>
        <w:spacing w:lineRule="auto" w:line="276"/>
        <w:rPr>
          <w:color w:val="auto"/>
        </w:rPr>
      </w:pPr>
      <w:r>
        <w:rPr>
          <w:color w:val="auto"/>
          <w:szCs w:val="24"/>
        </w:rPr>
        <w:t>Рентабельность предприятия……………………….. (%)</w:t>
        <w:tab/>
        <w:tab/>
        <w:tab/>
        <w:tab/>
        <w:tab/>
        <w:tab/>
        <w:tab/>
        <w:tab/>
        <w:tab/>
        <w:t xml:space="preserve"> </w:t>
      </w:r>
    </w:p>
    <w:p>
      <w:pPr>
        <w:pStyle w:val="Normal"/>
        <w:spacing w:lineRule="auto" w:line="276"/>
        <w:rPr>
          <w:b/>
          <w:color w:val="auto"/>
          <w:szCs w:val="24"/>
        </w:rPr>
      </w:pPr>
      <w:r>
        <w:rPr>
          <w:b/>
          <w:color w:val="auto"/>
          <w:szCs w:val="24"/>
        </w:rPr>
      </w:r>
    </w:p>
    <w:p>
      <w:pPr>
        <w:pStyle w:val="Normal"/>
        <w:spacing w:lineRule="auto" w:line="276"/>
        <w:rPr>
          <w:b/>
          <w:color w:val="auto"/>
          <w:szCs w:val="24"/>
        </w:rPr>
      </w:pPr>
      <w:r>
        <w:rPr>
          <w:b/>
          <w:color w:val="auto"/>
          <w:szCs w:val="24"/>
        </w:rPr>
      </w:r>
    </w:p>
    <w:p>
      <w:pPr>
        <w:pStyle w:val="Normal"/>
        <w:spacing w:lineRule="auto" w:line="276"/>
        <w:jc w:val="both"/>
        <w:rPr>
          <w:color w:val="auto"/>
        </w:rPr>
      </w:pPr>
      <w:r>
        <w:rPr>
          <w:color w:val="auto"/>
          <w:szCs w:val="24"/>
        </w:rPr>
        <w:t>(Должность единоличного исполнительного органа контрагента/подрядчика)</w:t>
        <w:tab/>
        <w:tab/>
      </w:r>
    </w:p>
    <w:p>
      <w:pPr>
        <w:pStyle w:val="Normal"/>
        <w:spacing w:lineRule="auto" w:line="276"/>
        <w:jc w:val="both"/>
        <w:rPr>
          <w:color w:val="auto"/>
        </w:rPr>
      </w:pPr>
      <w:r>
        <w:rPr>
          <w:color w:val="auto"/>
          <w:szCs w:val="24"/>
        </w:rPr>
        <w:t>(Краткое/Полное наименование организации) ________________ (ФИО)</w:t>
      </w:r>
    </w:p>
    <w:p>
      <w:pPr>
        <w:pStyle w:val="Normal"/>
        <w:spacing w:lineRule="auto" w:line="276"/>
        <w:jc w:val="both"/>
        <w:rPr>
          <w:color w:val="auto"/>
        </w:rPr>
      </w:pPr>
      <w:r>
        <w:rPr>
          <w:color w:val="auto"/>
          <w:szCs w:val="24"/>
        </w:rPr>
        <w:t>м.п</w:t>
      </w:r>
    </w:p>
    <w:p>
      <w:pPr>
        <w:pStyle w:val="Normal"/>
        <w:spacing w:lineRule="auto" w:line="276"/>
        <w:jc w:val="both"/>
        <w:rPr>
          <w:color w:val="auto"/>
        </w:rPr>
      </w:pPr>
      <w:r>
        <w:rPr>
          <w:color w:val="auto"/>
          <w:szCs w:val="24"/>
        </w:rPr>
        <w:t>(Главный бухгалтер)</w:t>
      </w:r>
      <w:r>
        <w:rPr>
          <w:rStyle w:val="FootnoteReference"/>
          <w:color w:val="auto"/>
          <w:szCs w:val="24"/>
        </w:rPr>
        <w:footnoteReference w:id="2"/>
      </w:r>
      <w:r>
        <w:rPr>
          <w:color w:val="auto"/>
          <w:szCs w:val="24"/>
        </w:rPr>
        <w:tab/>
        <w:tab/>
      </w:r>
    </w:p>
    <w:p>
      <w:pPr>
        <w:pStyle w:val="Normal"/>
        <w:spacing w:lineRule="auto" w:line="276"/>
        <w:jc w:val="both"/>
        <w:rPr>
          <w:color w:val="auto"/>
        </w:rPr>
      </w:pPr>
      <w:r>
        <w:rPr>
          <w:color w:val="auto"/>
          <w:szCs w:val="24"/>
        </w:rPr>
        <w:t>(Краткое/Полное наименование организации контрагента/подрядчика) _________ (ФИО)</w:t>
      </w:r>
    </w:p>
    <w:p>
      <w:pPr>
        <w:sectPr>
          <w:headerReference w:type="default" r:id="rId15"/>
          <w:headerReference w:type="first" r:id="rId16"/>
          <w:footnotePr>
            <w:numFmt w:val="decimal"/>
            <w:numRestart w:val="eachPage"/>
          </w:footnotePr>
          <w:type w:val="nextPage"/>
          <w:pgSz w:w="11906" w:h="16838"/>
          <w:pgMar w:left="1134" w:right="850" w:gutter="0" w:header="850" w:top="907" w:footer="0" w:bottom="85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auto" w:line="276"/>
        <w:jc w:val="both"/>
        <w:rPr>
          <w:color w:val="auto"/>
        </w:rPr>
      </w:pPr>
      <w:r>
        <w:rPr>
          <w:color w:val="auto"/>
          <w:szCs w:val="24"/>
        </w:rPr>
        <w:t>м.п</w:t>
      </w:r>
    </w:p>
    <w:p>
      <w:pPr>
        <w:pStyle w:val="Normal"/>
        <w:spacing w:lineRule="auto" w:line="276" w:before="0" w:after="120"/>
        <w:ind w:left="5670"/>
        <w:jc w:val="right"/>
        <w:rPr>
          <w:color w:val="auto"/>
        </w:rPr>
      </w:pPr>
      <w:r>
        <w:rPr>
          <w:color w:val="auto"/>
          <w:szCs w:val="40"/>
        </w:rPr>
        <w:t>Приложение № 2</w:t>
      </w:r>
    </w:p>
    <w:p>
      <w:pPr>
        <w:pStyle w:val="Normal"/>
        <w:spacing w:lineRule="auto" w:line="276" w:before="0" w:after="120"/>
        <w:ind w:left="5670"/>
        <w:jc w:val="right"/>
        <w:rPr>
          <w:color w:val="auto"/>
        </w:rPr>
      </w:pPr>
      <w:r>
        <w:rPr>
          <w:color w:val="auto"/>
          <w:szCs w:val="40"/>
        </w:rPr>
        <w:t>к Требованиям к сметному ценообразованию</w:t>
      </w:r>
    </w:p>
    <w:p>
      <w:pPr>
        <w:pStyle w:val="Normal"/>
        <w:shd w:val="clear" w:color="auto" w:fill="FFFFFF"/>
        <w:ind w:firstLine="284"/>
        <w:jc w:val="center"/>
        <w:rPr>
          <w:b/>
          <w:bCs/>
          <w:iCs/>
          <w:color w:val="auto"/>
          <w:spacing w:val="-4"/>
          <w:szCs w:val="24"/>
        </w:rPr>
      </w:pPr>
      <w:r>
        <w:rPr>
          <w:b/>
          <w:bCs/>
          <w:iCs/>
          <w:color w:val="auto"/>
          <w:spacing w:val="-4"/>
          <w:szCs w:val="24"/>
        </w:rPr>
      </w:r>
    </w:p>
    <w:p>
      <w:pPr>
        <w:pStyle w:val="Normal"/>
        <w:shd w:val="clear" w:color="auto" w:fill="FFFFFF"/>
        <w:ind w:firstLine="284"/>
        <w:jc w:val="center"/>
        <w:rPr>
          <w:color w:val="auto"/>
        </w:rPr>
      </w:pPr>
      <w:r>
        <w:rPr>
          <w:b/>
          <w:bCs/>
          <w:iCs/>
          <w:color w:val="auto"/>
          <w:spacing w:val="-4"/>
          <w:szCs w:val="24"/>
        </w:rPr>
        <w:t>Образцы оформления сметной документации на  работы/услуг</w:t>
      </w:r>
    </w:p>
    <w:p>
      <w:pPr>
        <w:pStyle w:val="Normal"/>
        <w:shd w:val="clear" w:color="auto" w:fill="FFFFFF"/>
        <w:spacing w:before="360" w:after="240"/>
        <w:rPr>
          <w:color w:val="auto"/>
        </w:rPr>
      </w:pPr>
      <w:r>
        <w:rPr>
          <w:b/>
          <w:color w:val="auto"/>
          <w:szCs w:val="24"/>
        </w:rPr>
        <w:t>Б.1 Образец 1п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90"/>
      </w:tblGrid>
      <w:tr>
        <w:trPr/>
        <w:tc>
          <w:tcPr>
            <w:tcW w:w="9290" w:type="dxa"/>
            <w:tcBorders/>
          </w:tcPr>
          <w:p>
            <w:pPr>
              <w:pStyle w:val="Normal"/>
              <w:widowControl w:val="false"/>
              <w:shd w:val="clear" w:color="auto" w:fill="FFFFFF"/>
              <w:ind w:firstLine="4396"/>
              <w:rPr>
                <w:color w:val="auto"/>
              </w:rPr>
            </w:pPr>
            <w:r>
              <w:rPr>
                <w:color w:val="auto"/>
                <w:szCs w:val="24"/>
              </w:rPr>
              <w:t>Приложение № ___к договору № ____ от</w:t>
            </w:r>
          </w:p>
          <w:p>
            <w:pPr>
              <w:pStyle w:val="Normal"/>
              <w:widowControl w:val="false"/>
              <w:shd w:val="clear" w:color="auto" w:fill="FFFFFF"/>
              <w:ind w:firstLine="2761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tbl>
            <w:tblPr>
              <w:tblW w:w="906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4529"/>
              <w:gridCol w:w="4530"/>
            </w:tblGrid>
            <w:tr>
              <w:trPr>
                <w:trHeight w:val="417" w:hRule="atLeast"/>
              </w:trPr>
              <w:tc>
                <w:tcPr>
                  <w:tcW w:w="4529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  <w:t>СОГЛАСОВАНО:</w:t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_________________(Подрядчик)</w:t>
                  </w:r>
                </w:p>
                <w:p>
                  <w:pPr>
                    <w:pStyle w:val="Normal"/>
                    <w:widowControl w:val="false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 И.О.Ф.</w:t>
                  </w:r>
                </w:p>
              </w:tc>
              <w:tc>
                <w:tcPr>
                  <w:tcW w:w="4530" w:type="dxa"/>
                  <w:tcBorders/>
                </w:tcPr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  <w:t>УТВЕРЖДАЮ:</w:t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_________________(Заказчик)</w:t>
                  </w:r>
                </w:p>
                <w:p>
                  <w:pPr>
                    <w:pStyle w:val="Normal"/>
                    <w:widowControl w:val="false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 И.О.Ф.</w:t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Сводная смета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на работы/услуги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строительства и стадии проектирования___________________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проектной организации/генерального проектировщика______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организации заказчика__________________________________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jc w:val="right"/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>руб.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  <w:tblLook w:val="04a0" w:noHBand="0" w:noVBand="1" w:firstColumn="1" w:lastRow="0" w:lastColumn="0" w:firstRow="1"/>
            </w:tblPr>
            <w:tblGrid>
              <w:gridCol w:w="479"/>
              <w:gridCol w:w="1783"/>
              <w:gridCol w:w="1852"/>
              <w:gridCol w:w="1509"/>
              <w:gridCol w:w="1686"/>
              <w:gridCol w:w="1162"/>
              <w:gridCol w:w="602"/>
            </w:tblGrid>
            <w:tr>
              <w:trPr>
                <w:tblHeader w:val="true"/>
              </w:trPr>
              <w:tc>
                <w:tcPr>
                  <w:tcW w:w="47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 xml:space="preserve">№ </w:t>
                  </w:r>
                  <w:r>
                    <w:rPr>
                      <w:color w:val="auto"/>
                      <w:szCs w:val="24"/>
                    </w:rPr>
                    <w:t>п.п.</w:t>
                  </w:r>
                </w:p>
              </w:tc>
              <w:tc>
                <w:tcPr>
                  <w:tcW w:w="1783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Перечень выполняемых работ</w:t>
                  </w:r>
                </w:p>
              </w:tc>
              <w:tc>
                <w:tcPr>
                  <w:tcW w:w="1852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Характеристика проектируемого объекта</w:t>
                  </w:r>
                </w:p>
              </w:tc>
              <w:tc>
                <w:tcPr>
                  <w:tcW w:w="1509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Ссылка на № смет по формам № 2п и 3п</w:t>
                  </w:r>
                </w:p>
              </w:tc>
              <w:tc>
                <w:tcPr>
                  <w:tcW w:w="345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Стоимость работ</w:t>
                  </w:r>
                </w:p>
              </w:tc>
            </w:tr>
            <w:tr>
              <w:trPr>
                <w:tblHeader w:val="true"/>
              </w:trPr>
              <w:tc>
                <w:tcPr>
                  <w:tcW w:w="479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1783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1852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1509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1686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работ/услуг</w:t>
                  </w:r>
                </w:p>
              </w:tc>
              <w:tc>
                <w:tcPr>
                  <w:tcW w:w="116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проектных</w:t>
                  </w:r>
                </w:p>
              </w:tc>
              <w:tc>
                <w:tcPr>
                  <w:tcW w:w="60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всего</w:t>
                  </w:r>
                </w:p>
              </w:tc>
            </w:tr>
            <w:tr>
              <w:trPr>
                <w:tblHeader w:val="true"/>
                <w:trHeight w:val="253" w:hRule="atLeast"/>
              </w:trPr>
              <w:tc>
                <w:tcPr>
                  <w:tcW w:w="4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1</w:t>
                  </w:r>
                </w:p>
              </w:tc>
              <w:tc>
                <w:tcPr>
                  <w:tcW w:w="1783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2</w:t>
                  </w:r>
                </w:p>
              </w:tc>
              <w:tc>
                <w:tcPr>
                  <w:tcW w:w="185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3</w:t>
                  </w:r>
                </w:p>
              </w:tc>
              <w:tc>
                <w:tcPr>
                  <w:tcW w:w="1509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4</w:t>
                  </w:r>
                </w:p>
              </w:tc>
              <w:tc>
                <w:tcPr>
                  <w:tcW w:w="16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5</w:t>
                  </w:r>
                </w:p>
              </w:tc>
              <w:tc>
                <w:tcPr>
                  <w:tcW w:w="116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6</w:t>
                  </w:r>
                </w:p>
              </w:tc>
              <w:tc>
                <w:tcPr>
                  <w:tcW w:w="60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7</w:t>
                  </w:r>
                </w:p>
              </w:tc>
            </w:tr>
            <w:tr>
              <w:trPr>
                <w:trHeight w:val="59" w:hRule="atLeast"/>
              </w:trPr>
              <w:tc>
                <w:tcPr>
                  <w:tcW w:w="479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85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509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686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16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60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</w:tr>
            <w:tr>
              <w:trPr>
                <w:trHeight w:val="69" w:hRule="atLeast"/>
              </w:trPr>
              <w:tc>
                <w:tcPr>
                  <w:tcW w:w="479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85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50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686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16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60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Итого по смете 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ind w:firstLine="1845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(сумма прописью)</w:t>
            </w:r>
          </w:p>
          <w:p>
            <w:pPr>
              <w:pStyle w:val="Normal"/>
              <w:widowControl w:val="false"/>
              <w:shd w:val="clear" w:color="auto" w:fill="FFFFFF"/>
              <w:spacing w:before="480" w:after="0"/>
              <w:rPr>
                <w:color w:val="auto"/>
              </w:rPr>
            </w:pPr>
            <w:r>
              <w:rPr>
                <w:color w:val="auto"/>
                <w:szCs w:val="24"/>
              </w:rPr>
              <w:t>Составил:            /должность, организация/                                    /подпись/   /расшифровка подписи/</w:t>
            </w:r>
          </w:p>
          <w:p>
            <w:pPr>
              <w:pStyle w:val="Normal"/>
              <w:widowControl w:val="false"/>
              <w:spacing w:lineRule="auto" w:line="276"/>
              <w:rPr>
                <w:color w:val="auto"/>
              </w:rPr>
            </w:pPr>
            <w:r>
              <w:rPr>
                <w:color w:val="auto"/>
                <w:szCs w:val="24"/>
              </w:rPr>
              <w:t>Проверил:            /должность, организация/                                    /подпись/   /расшифровка подписи/</w:t>
            </w:r>
          </w:p>
        </w:tc>
      </w:tr>
    </w:tbl>
    <w:p>
      <w:pPr>
        <w:pStyle w:val="Normal"/>
        <w:shd w:val="clear" w:color="auto" w:fill="FFFFFF"/>
        <w:spacing w:before="360" w:after="240"/>
        <w:rPr>
          <w:color w:val="auto"/>
        </w:rPr>
      </w:pPr>
      <w:r>
        <w:br w:type="page"/>
      </w:r>
      <w:r>
        <w:rPr>
          <w:b/>
          <w:color w:val="auto"/>
          <w:szCs w:val="24"/>
        </w:rPr>
        <w:t>Б.2 Образец № 2п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90"/>
      </w:tblGrid>
      <w:tr>
        <w:trPr/>
        <w:tc>
          <w:tcPr>
            <w:tcW w:w="9290" w:type="dxa"/>
            <w:tcBorders/>
          </w:tcPr>
          <w:p>
            <w:pPr>
              <w:pStyle w:val="Normal"/>
              <w:widowControl w:val="false"/>
              <w:shd w:val="clear" w:color="auto" w:fill="FFFFFF"/>
              <w:ind w:left="3829"/>
              <w:rPr>
                <w:color w:val="auto"/>
              </w:rPr>
            </w:pPr>
            <w:r>
              <w:rPr>
                <w:color w:val="auto"/>
                <w:szCs w:val="24"/>
              </w:rPr>
              <w:t>Приложение №   к договору №   от ____</w:t>
            </w:r>
          </w:p>
          <w:p>
            <w:pPr>
              <w:pStyle w:val="Normal"/>
              <w:widowControl w:val="false"/>
              <w:shd w:val="clear" w:color="auto" w:fill="FFFFFF"/>
              <w:ind w:left="3829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tbl>
            <w:tblPr>
              <w:tblW w:w="906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4529"/>
              <w:gridCol w:w="4530"/>
            </w:tblGrid>
            <w:tr>
              <w:trPr>
                <w:trHeight w:val="417" w:hRule="atLeast"/>
              </w:trPr>
              <w:tc>
                <w:tcPr>
                  <w:tcW w:w="4529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  <w:t>СОГЛАСОВАНО:</w:t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_________________(Подрядчик)</w:t>
                  </w:r>
                </w:p>
                <w:p>
                  <w:pPr>
                    <w:pStyle w:val="Normal"/>
                    <w:widowControl w:val="false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__________________ И.О.Ф.</w:t>
                  </w:r>
                </w:p>
              </w:tc>
              <w:tc>
                <w:tcPr>
                  <w:tcW w:w="4530" w:type="dxa"/>
                  <w:tcBorders/>
                </w:tcPr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  <w:t>УТВЕРЖДАЮ:</w:t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_________________(Заказчик)</w:t>
                  </w:r>
                </w:p>
                <w:p>
                  <w:pPr>
                    <w:pStyle w:val="Normal"/>
                    <w:widowControl w:val="false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 И.О.Ф.</w:t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spacing w:before="480" w:after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 xml:space="preserve">СМЕТА № </w:t>
              <w:br/>
              <w:t>на работы/услуги</w:t>
            </w:r>
          </w:p>
          <w:p>
            <w:pPr>
              <w:pStyle w:val="Normal"/>
              <w:widowControl w:val="false"/>
              <w:shd w:val="clear" w:color="auto" w:fill="FFFFFF"/>
              <w:spacing w:before="480" w:after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предприятия, здания, сооружения, стадии проектирования, этапа, вида работ/услуг__________________________________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услуг__________________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организации заказчика__________________________________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jc w:val="right"/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>руб.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  <w:tblLook w:val="04a0" w:noHBand="0" w:noVBand="1" w:firstColumn="1" w:lastRow="0" w:lastColumn="0" w:firstRow="1"/>
            </w:tblPr>
            <w:tblGrid>
              <w:gridCol w:w="341"/>
              <w:gridCol w:w="2222"/>
              <w:gridCol w:w="3217"/>
              <w:gridCol w:w="2127"/>
              <w:gridCol w:w="1167"/>
            </w:tblGrid>
            <w:tr>
              <w:trPr>
                <w:tblHeader w:val="true"/>
              </w:trPr>
              <w:tc>
                <w:tcPr>
                  <w:tcW w:w="34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 xml:space="preserve">№ </w:t>
                  </w:r>
                  <w:r>
                    <w:rPr>
                      <w:color w:val="auto"/>
                      <w:szCs w:val="24"/>
                    </w:rPr>
                    <w:t>пп</w:t>
                  </w:r>
                </w:p>
              </w:tc>
              <w:tc>
                <w:tcPr>
                  <w:tcW w:w="2222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Характеристика предприятия, здания, сооружения или виды работ</w:t>
                  </w:r>
                </w:p>
              </w:tc>
              <w:tc>
                <w:tcPr>
                  <w:tcW w:w="3217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 xml:space="preserve">Номер частей, глав, таблиц, процентов, параграфов и пунктов указаний к разделу Справочника базовых цен 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 xml:space="preserve">Расчет стоимости: (a + bx) </w:t>
                  </w:r>
                  <w:r>
                    <w:rPr>
                      <w:rFonts w:eastAsia="Symbol" w:cs="Symbol" w:ascii="Symbol" w:hAnsi="Symbol"/>
                      <w:color w:val="auto"/>
                      <w:szCs w:val="24"/>
                    </w:rPr>
                    <w:sym w:font="Symbol" w:char="f0b4"/>
                  </w:r>
                  <w:r>
                    <w:rPr>
                      <w:color w:val="auto"/>
                      <w:szCs w:val="24"/>
                    </w:rPr>
                    <w:t xml:space="preserve"> K</w:t>
                  </w:r>
                  <w:r>
                    <w:rPr>
                      <w:color w:val="auto"/>
                      <w:szCs w:val="24"/>
                      <w:vertAlign w:val="subscript"/>
                    </w:rPr>
                    <w:t>i</w:t>
                  </w:r>
                  <w:r>
                    <w:rPr>
                      <w:color w:val="auto"/>
                      <w:szCs w:val="24"/>
                    </w:rPr>
                    <w:t xml:space="preserve">, или (объем строительно-монтажных работ) </w:t>
                  </w:r>
                  <w:r>
                    <w:rPr>
                      <w:rFonts w:eastAsia="Symbol" w:cs="Symbol" w:ascii="Symbol" w:hAnsi="Symbol"/>
                      <w:color w:val="auto"/>
                      <w:szCs w:val="24"/>
                    </w:rPr>
                    <w:sym w:font="Symbol" w:char="f0b4"/>
                  </w:r>
                  <w:r>
                    <w:rPr>
                      <w:color w:val="auto"/>
                      <w:szCs w:val="24"/>
                    </w:rPr>
                    <w:t xml:space="preserve"> проц.</w:t>
                  </w:r>
                </w:p>
              </w:tc>
              <w:tc>
                <w:tcPr>
                  <w:tcW w:w="116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Стоимость</w:t>
                  </w:r>
                </w:p>
              </w:tc>
            </w:tr>
            <w:tr>
              <w:trPr>
                <w:tblHeader w:val="true"/>
              </w:trPr>
              <w:tc>
                <w:tcPr>
                  <w:tcW w:w="341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2222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3217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212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100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или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 xml:space="preserve">количество </w:t>
                  </w:r>
                  <w:r>
                    <w:rPr>
                      <w:rFonts w:eastAsia="Symbol" w:cs="Symbol" w:ascii="Symbol" w:hAnsi="Symbol"/>
                      <w:color w:val="auto"/>
                      <w:szCs w:val="24"/>
                    </w:rPr>
                    <w:sym w:font="Symbol" w:char="f0b4"/>
                  </w:r>
                  <w:r>
                    <w:rPr>
                      <w:color w:val="auto"/>
                      <w:szCs w:val="24"/>
                    </w:rPr>
                    <w:t xml:space="preserve"> цена</w:t>
                  </w:r>
                </w:p>
              </w:tc>
              <w:tc>
                <w:tcPr>
                  <w:tcW w:w="1167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</w:tr>
            <w:tr>
              <w:trPr>
                <w:tblHeader w:val="true"/>
              </w:trPr>
              <w:tc>
                <w:tcPr>
                  <w:tcW w:w="3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1</w:t>
                  </w:r>
                </w:p>
              </w:tc>
              <w:tc>
                <w:tcPr>
                  <w:tcW w:w="222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2</w:t>
                  </w:r>
                </w:p>
              </w:tc>
              <w:tc>
                <w:tcPr>
                  <w:tcW w:w="321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4</w:t>
                  </w:r>
                </w:p>
              </w:tc>
              <w:tc>
                <w:tcPr>
                  <w:tcW w:w="11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5</w:t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222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321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167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222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321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212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167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spacing w:before="480" w:after="0"/>
              <w:rPr>
                <w:color w:val="auto"/>
              </w:rPr>
            </w:pPr>
            <w:r>
              <w:rPr>
                <w:color w:val="auto"/>
                <w:szCs w:val="24"/>
              </w:rPr>
              <w:t>Составил:            /должность, организация/                                    /подпись/   /расшифровка подписи/</w:t>
            </w:r>
          </w:p>
          <w:p>
            <w:pPr>
              <w:pStyle w:val="Normal"/>
              <w:widowControl w:val="false"/>
              <w:spacing w:lineRule="auto" w:line="276"/>
              <w:rPr>
                <w:color w:val="auto"/>
              </w:rPr>
            </w:pPr>
            <w:r>
              <w:rPr>
                <w:color w:val="auto"/>
                <w:szCs w:val="24"/>
              </w:rPr>
              <w:t>Проверил:            /должность, организация/                                    /подпись/   /расшифровка подписи/</w:t>
            </w:r>
          </w:p>
        </w:tc>
      </w:tr>
      <w:tr>
        <w:trPr/>
        <w:tc>
          <w:tcPr>
            <w:tcW w:w="9290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</w:tr>
    </w:tbl>
    <w:p>
      <w:pPr>
        <w:pStyle w:val="Normal"/>
        <w:shd w:val="clear" w:color="auto" w:fill="FFFFFF"/>
        <w:rPr>
          <w:b/>
          <w:color w:val="auto"/>
          <w:szCs w:val="24"/>
        </w:rPr>
      </w:pPr>
      <w:r>
        <w:rPr>
          <w:b/>
          <w:color w:val="auto"/>
          <w:szCs w:val="24"/>
        </w:rPr>
      </w:r>
      <w:r>
        <w:br w:type="page"/>
      </w:r>
    </w:p>
    <w:p>
      <w:pPr>
        <w:pStyle w:val="Normal"/>
        <w:shd w:val="clear" w:color="auto" w:fill="FFFFFF"/>
        <w:rPr>
          <w:color w:val="auto"/>
        </w:rPr>
      </w:pPr>
      <w:r>
        <w:rPr>
          <w:b/>
          <w:color w:val="auto"/>
          <w:szCs w:val="24"/>
        </w:rPr>
        <w:t>Б.3 Образец № 3п</w:t>
      </w:r>
    </w:p>
    <w:p>
      <w:pPr>
        <w:pStyle w:val="Normal"/>
        <w:shd w:val="clear" w:color="auto" w:fill="FFFFFF"/>
        <w:rPr>
          <w:b/>
          <w:color w:val="auto"/>
          <w:szCs w:val="24"/>
        </w:rPr>
      </w:pPr>
      <w:r>
        <w:rPr>
          <w:b/>
          <w:color w:val="auto"/>
          <w:szCs w:val="24"/>
        </w:rPr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90"/>
      </w:tblGrid>
      <w:tr>
        <w:trPr/>
        <w:tc>
          <w:tcPr>
            <w:tcW w:w="9290" w:type="dxa"/>
            <w:tcBorders/>
          </w:tcPr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Приложение к 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ind w:firstLine="2761"/>
              <w:rPr>
                <w:color w:val="auto"/>
              </w:rPr>
            </w:pPr>
            <w:r>
              <w:rPr>
                <w:color w:val="auto"/>
                <w:szCs w:val="24"/>
              </w:rPr>
              <w:t>(договору, дополнительному соглашению)</w:t>
            </w:r>
          </w:p>
          <w:tbl>
            <w:tblPr>
              <w:tblW w:w="906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4529"/>
              <w:gridCol w:w="4530"/>
            </w:tblGrid>
            <w:tr>
              <w:trPr>
                <w:trHeight w:val="417" w:hRule="atLeast"/>
              </w:trPr>
              <w:tc>
                <w:tcPr>
                  <w:tcW w:w="4529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rPr>
                      <w:b/>
                      <w:bCs/>
                      <w:color w:val="auto"/>
                      <w:szCs w:val="24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  <w:t>СОГЛАСОВАНО:</w:t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 (Подрядчик)</w:t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 И.О.Ф.</w:t>
                  </w:r>
                </w:p>
                <w:p>
                  <w:pPr>
                    <w:pStyle w:val="Normal"/>
                    <w:widowControl w:val="false"/>
                    <w:spacing w:lineRule="auto" w:line="276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4530" w:type="dxa"/>
                  <w:tcBorders/>
                </w:tcPr>
                <w:p>
                  <w:pPr>
                    <w:pStyle w:val="Normal"/>
                    <w:widowControl w:val="false"/>
                    <w:rPr>
                      <w:b/>
                      <w:bCs/>
                      <w:color w:val="auto"/>
                      <w:szCs w:val="24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  <w:t>УТВЕРЖДАЮ:</w:t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_________________(Заказчик)</w:t>
                  </w:r>
                </w:p>
                <w:p>
                  <w:pPr>
                    <w:pStyle w:val="Normal"/>
                    <w:widowControl w:val="false"/>
                    <w:rPr>
                      <w:bCs/>
                      <w:color w:val="auto"/>
                      <w:szCs w:val="24"/>
                    </w:rPr>
                  </w:pPr>
                  <w:r>
                    <w:rPr>
                      <w:bCs/>
                      <w:color w:val="auto"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 И.О.Ф.</w:t>
                  </w:r>
                </w:p>
                <w:p>
                  <w:pPr>
                    <w:pStyle w:val="Normal"/>
                    <w:widowControl w:val="false"/>
                    <w:spacing w:lineRule="auto" w:line="276"/>
                    <w:rPr>
                      <w:b/>
                      <w:bCs/>
                      <w:color w:val="auto"/>
                      <w:szCs w:val="24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 xml:space="preserve">СМЕТА № </w:t>
              <w:br/>
              <w:t>на работы/услуги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предприятия, здания, сооружения, стадии проектирования, этапа, вида работ/услуг__________________________________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работ/услуг__________________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организации заказчика__________________________________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before="240" w:after="0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1. Расчет заработной платы</w:t>
            </w:r>
            <w:r>
              <w:rPr>
                <w:color w:val="auto"/>
                <w:szCs w:val="24"/>
              </w:rPr>
              <w:tab/>
              <w:tab/>
              <w:tab/>
              <w:tab/>
              <w:tab/>
              <w:tab/>
              <w:tab/>
              <w:tab/>
              <w:t>руб.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  <w:tblLook w:val="04a0" w:noHBand="0" w:noVBand="1" w:firstColumn="1" w:lastRow="0" w:lastColumn="0" w:firstRow="1"/>
            </w:tblPr>
            <w:tblGrid>
              <w:gridCol w:w="430"/>
              <w:gridCol w:w="2220"/>
              <w:gridCol w:w="1219"/>
              <w:gridCol w:w="1152"/>
              <w:gridCol w:w="1260"/>
              <w:gridCol w:w="1109"/>
              <w:gridCol w:w="1683"/>
            </w:tblGrid>
            <w:tr>
              <w:trPr>
                <w:tblHeader w:val="true"/>
              </w:trPr>
              <w:tc>
                <w:tcPr>
                  <w:tcW w:w="43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 xml:space="preserve">№ </w:t>
                  </w:r>
                  <w:r>
                    <w:rPr>
                      <w:color w:val="auto"/>
                      <w:szCs w:val="24"/>
                    </w:rPr>
                    <w:t>п.п.</w:t>
                  </w:r>
                </w:p>
              </w:tc>
              <w:tc>
                <w:tcPr>
                  <w:tcW w:w="2220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Перечень выполняемых работ</w:t>
                  </w:r>
                </w:p>
              </w:tc>
              <w:tc>
                <w:tcPr>
                  <w:tcW w:w="2371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Исполнители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Количество человеко-дней</w:t>
                  </w:r>
                </w:p>
              </w:tc>
              <w:tc>
                <w:tcPr>
                  <w:tcW w:w="110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Средняя оплата труда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 xml:space="preserve"> </w:t>
                  </w:r>
                  <w:r>
                    <w:rPr>
                      <w:color w:val="auto"/>
                      <w:szCs w:val="24"/>
                    </w:rPr>
                    <w:t>за 1 день</w:t>
                  </w:r>
                </w:p>
              </w:tc>
              <w:tc>
                <w:tcPr>
                  <w:tcW w:w="1683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Оплата труда (всего)</w:t>
                  </w:r>
                </w:p>
              </w:tc>
            </w:tr>
            <w:tr>
              <w:trPr>
                <w:tblHeader w:val="true"/>
              </w:trPr>
              <w:tc>
                <w:tcPr>
                  <w:tcW w:w="430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2220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121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количество</w:t>
                  </w:r>
                </w:p>
              </w:tc>
              <w:tc>
                <w:tcPr>
                  <w:tcW w:w="115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должность</w:t>
                  </w:r>
                </w:p>
              </w:tc>
              <w:tc>
                <w:tcPr>
                  <w:tcW w:w="1260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1109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1683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</w:tr>
            <w:tr>
              <w:trPr>
                <w:tblHeader w:val="true"/>
              </w:trPr>
              <w:tc>
                <w:tcPr>
                  <w:tcW w:w="4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1</w:t>
                  </w:r>
                </w:p>
              </w:tc>
              <w:tc>
                <w:tcPr>
                  <w:tcW w:w="2220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2</w:t>
                  </w:r>
                </w:p>
              </w:tc>
              <w:tc>
                <w:tcPr>
                  <w:tcW w:w="1219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3</w:t>
                  </w:r>
                </w:p>
              </w:tc>
              <w:tc>
                <w:tcPr>
                  <w:tcW w:w="115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4</w:t>
                  </w:r>
                </w:p>
              </w:tc>
              <w:tc>
                <w:tcPr>
                  <w:tcW w:w="1260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5</w:t>
                  </w:r>
                </w:p>
              </w:tc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6</w:t>
                  </w:r>
                </w:p>
              </w:tc>
              <w:tc>
                <w:tcPr>
                  <w:tcW w:w="1683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7</w:t>
                  </w:r>
                </w:p>
              </w:tc>
            </w:tr>
            <w:tr>
              <w:trPr/>
              <w:tc>
                <w:tcPr>
                  <w:tcW w:w="430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219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15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683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</w:tr>
            <w:tr>
              <w:trPr/>
              <w:tc>
                <w:tcPr>
                  <w:tcW w:w="430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21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15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109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68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Итого заработной платы, в руб.______________________________________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2. Расчет стоимости выполнения работ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2.1 Процент заработной платы в составе себестоимости, %_______________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2.2 Себестоимость работ____________________________________________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2.3 Уровень рентабельности, %______________________________________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Итого:</w:t>
            </w:r>
            <w:r>
              <w:rPr>
                <w:color w:val="auto"/>
                <w:szCs w:val="24"/>
              </w:rPr>
              <w:t>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3 Командировочные расходы (по предварительному расчету)_____________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Всего (руб.)</w:t>
            </w:r>
            <w:r>
              <w:rPr>
                <w:color w:val="auto"/>
                <w:szCs w:val="24"/>
              </w:rPr>
              <w:t>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ind w:firstLine="2070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(сумма прописью)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Составил:            /должность, организация/                                    /подпись/   /расшифровка подписи/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76"/>
              <w:rPr>
                <w:color w:val="auto"/>
              </w:rPr>
            </w:pPr>
            <w:r>
              <w:rPr>
                <w:color w:val="auto"/>
                <w:szCs w:val="24"/>
              </w:rPr>
              <w:t>Проверил:            /должность, организация/                                    /подпись/   /расшифровка подписи/</w:t>
            </w:r>
          </w:p>
        </w:tc>
      </w:tr>
    </w:tbl>
    <w:p>
      <w:pPr>
        <w:pStyle w:val="Normal"/>
        <w:spacing w:before="0" w:after="120"/>
        <w:rPr>
          <w:i/>
          <w:i/>
          <w:iCs/>
          <w:color w:val="auto"/>
          <w:szCs w:val="24"/>
          <w:shd w:fill="FFFF99" w:val="clear"/>
        </w:rPr>
      </w:pPr>
      <w:r>
        <w:rPr>
          <w:i/>
          <w:iCs/>
          <w:color w:val="000000"/>
          <w:szCs w:val="24"/>
          <w:shd w:fill="FFFF99" w:val="clear"/>
        </w:rPr>
      </w:r>
      <w:r>
        <w:br w:type="page"/>
      </w:r>
    </w:p>
    <w:p>
      <w:pPr>
        <w:pStyle w:val="Normal"/>
        <w:rPr>
          <w:color w:val="auto"/>
        </w:rPr>
      </w:pPr>
      <w:r>
        <w:rPr>
          <w:b/>
          <w:color w:val="auto"/>
          <w:szCs w:val="24"/>
        </w:rPr>
        <w:t>Образец</w:t>
      </w:r>
    </w:p>
    <w:p>
      <w:pPr>
        <w:pStyle w:val="Normal"/>
        <w:shd w:val="clear" w:color="auto" w:fill="FFFFFF"/>
        <w:ind w:left="5530"/>
        <w:rPr>
          <w:color w:val="auto"/>
        </w:rPr>
      </w:pPr>
      <w:r>
        <w:rPr>
          <w:color w:val="auto"/>
          <w:szCs w:val="24"/>
        </w:rPr>
        <w:t>Приложение №_____</w:t>
      </w:r>
    </w:p>
    <w:p>
      <w:pPr>
        <w:pStyle w:val="Normal"/>
        <w:shd w:val="clear" w:color="auto" w:fill="FFFFFF"/>
        <w:ind w:left="5530"/>
        <w:rPr>
          <w:color w:val="auto"/>
        </w:rPr>
      </w:pPr>
      <w:r>
        <w:rPr>
          <w:color w:val="auto"/>
          <w:szCs w:val="24"/>
        </w:rPr>
        <w:t>к договору, дополнительному соглашению №____от _______</w:t>
      </w:r>
    </w:p>
    <w:p>
      <w:pPr>
        <w:pStyle w:val="Normal"/>
        <w:shd w:val="clear" w:color="auto" w:fill="FFFFFF"/>
        <w:ind w:left="5530"/>
        <w:rPr>
          <w:color w:val="auto"/>
          <w:szCs w:val="24"/>
        </w:rPr>
      </w:pPr>
      <w:r>
        <w:rPr>
          <w:color w:val="auto"/>
          <w:szCs w:val="24"/>
        </w:rPr>
      </w:r>
    </w:p>
    <w:tbl>
      <w:tblPr>
        <w:tblW w:w="930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27"/>
        <w:gridCol w:w="4779"/>
      </w:tblGrid>
      <w:tr>
        <w:trPr>
          <w:trHeight w:val="417" w:hRule="atLeast"/>
        </w:trPr>
        <w:tc>
          <w:tcPr>
            <w:tcW w:w="4527" w:type="dxa"/>
            <w:tcBorders/>
            <w:vAlign w:val="bottom"/>
          </w:tcPr>
          <w:p>
            <w:pPr>
              <w:pStyle w:val="Normal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СОГЛАСОВАНО: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_________________(Подрядчик)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_________________Ф.И.О.</w:t>
            </w:r>
          </w:p>
          <w:p>
            <w:pPr>
              <w:pStyle w:val="Normal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  <w:tc>
          <w:tcPr>
            <w:tcW w:w="4779" w:type="dxa"/>
            <w:tcBorders/>
          </w:tcPr>
          <w:p>
            <w:pPr>
              <w:pStyle w:val="Normal"/>
              <w:ind w:left="1460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УТВЕРЖДАЮ:</w:t>
            </w:r>
          </w:p>
          <w:p>
            <w:pPr>
              <w:pStyle w:val="Normal"/>
              <w:ind w:left="1460"/>
              <w:rPr>
                <w:color w:val="auto"/>
              </w:rPr>
            </w:pPr>
            <w:r>
              <w:rPr>
                <w:bCs/>
                <w:color w:val="auto"/>
                <w:szCs w:val="24"/>
              </w:rPr>
              <w:t>_________________(Заказчик)</w:t>
            </w:r>
          </w:p>
          <w:p>
            <w:pPr>
              <w:pStyle w:val="Normal"/>
              <w:ind w:left="1460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_________________Ф.И.О.</w:t>
            </w:r>
          </w:p>
          <w:p>
            <w:pPr>
              <w:pStyle w:val="Normal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</w:r>
          </w:p>
        </w:tc>
      </w:tr>
    </w:tbl>
    <w:p>
      <w:pPr>
        <w:pStyle w:val="Normal"/>
        <w:shd w:val="clear" w:color="auto" w:fill="FFFFFF"/>
        <w:jc w:val="center"/>
        <w:rPr>
          <w:color w:val="auto"/>
        </w:rPr>
      </w:pPr>
      <w:r>
        <w:rPr>
          <w:b/>
          <w:bCs/>
          <w:color w:val="auto"/>
          <w:szCs w:val="24"/>
        </w:rPr>
        <w:t xml:space="preserve">СВОДНАЯ СМЕТА № </w:t>
        <w:br/>
        <w:t>на выполнение работ/оказание услуг</w:t>
      </w:r>
    </w:p>
    <w:p>
      <w:pPr>
        <w:pStyle w:val="Normal"/>
        <w:shd w:val="clear" w:color="auto" w:fill="FFFFFF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 xml:space="preserve">Наименование предприятия, здания, сооружения, стадии проектирования, этапа, вида </w:t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Работ/Услуг___________________________________________________________</w:t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__________________________________________________________________</w:t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Наименование подрядной организации_________________________________</w:t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__________________________________________________________________</w:t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Наименование организации заказчика_________________________________</w:t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__________________________________________________________________</w:t>
      </w:r>
    </w:p>
    <w:p>
      <w:pPr>
        <w:pStyle w:val="Normal"/>
        <w:rPr>
          <w:color w:val="auto"/>
        </w:rPr>
      </w:pPr>
      <w:r>
        <w:rPr>
          <w:color w:val="auto"/>
          <w:szCs w:val="24"/>
        </w:rPr>
        <w:t>Составлена в текущих ценах, соответствующих периоду выполнения работ по договору</w:t>
      </w:r>
    </w:p>
    <w:p>
      <w:pPr>
        <w:pStyle w:val="Normal"/>
        <w:jc w:val="right"/>
        <w:rPr>
          <w:color w:val="auto"/>
        </w:rPr>
      </w:pPr>
      <w:r>
        <w:rPr>
          <w:color w:val="auto"/>
          <w:szCs w:val="24"/>
        </w:rPr>
        <w:t>руб.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508"/>
        <w:gridCol w:w="3983"/>
        <w:gridCol w:w="1653"/>
        <w:gridCol w:w="3777"/>
      </w:tblGrid>
      <w:tr>
        <w:trPr>
          <w:tblHeader w:val="true"/>
          <w:trHeight w:val="873" w:hRule="atLeast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№</w:t>
            </w:r>
            <w:r>
              <w:rPr>
                <w:rFonts w:eastAsia="Liberation Serif;Times New Roma" w:cs="Liberation Serif;Times New Roma"/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>п.п.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Перечень (наименование) выполняемых работ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Ссылка на № смет и расчетов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Стоимость работ</w:t>
            </w:r>
          </w:p>
          <w:p>
            <w:pPr>
              <w:pStyle w:val="Normal"/>
              <w:shd w:val="clear" w:color="auto" w:fill="FFFFFF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</w:tr>
      <w:tr>
        <w:trPr>
          <w:tblHeader w:val="true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2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3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4</w:t>
            </w:r>
          </w:p>
        </w:tc>
      </w:tr>
      <w:tr>
        <w:trPr/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 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 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 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 </w:t>
            </w:r>
          </w:p>
        </w:tc>
      </w:tr>
      <w:tr>
        <w:trPr/>
        <w:tc>
          <w:tcPr>
            <w:tcW w:w="50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 </w:t>
            </w:r>
          </w:p>
        </w:tc>
        <w:tc>
          <w:tcPr>
            <w:tcW w:w="398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 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 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 </w:t>
            </w:r>
          </w:p>
        </w:tc>
      </w:tr>
    </w:tbl>
    <w:p>
      <w:pPr>
        <w:pStyle w:val="Normal"/>
        <w:shd w:val="clear" w:color="auto" w:fill="FFFFFF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Итого по смете ___________________________________________________</w:t>
      </w:r>
    </w:p>
    <w:p>
      <w:pPr>
        <w:pStyle w:val="Normal"/>
        <w:shd w:val="clear" w:color="auto" w:fill="FFFFFF"/>
        <w:ind w:firstLine="1845"/>
        <w:jc w:val="center"/>
        <w:rPr>
          <w:color w:val="auto"/>
        </w:rPr>
      </w:pPr>
      <w:r>
        <w:rPr>
          <w:color w:val="auto"/>
          <w:szCs w:val="24"/>
        </w:rPr>
        <w:t>(сумма прописью)</w:t>
      </w:r>
    </w:p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Составил:</w:t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_________/должность, организация/ _______/подпись/________/расшифровка подписи/</w:t>
      </w:r>
    </w:p>
    <w:p>
      <w:pPr>
        <w:pStyle w:val="Normal"/>
        <w:shd w:val="clear" w:color="auto" w:fill="FFFFFF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rPr>
          <w:color w:val="auto"/>
        </w:rPr>
      </w:pPr>
      <w:r>
        <w:rPr>
          <w:color w:val="auto"/>
          <w:szCs w:val="24"/>
        </w:rPr>
        <w:t>Проверил:</w:t>
      </w:r>
    </w:p>
    <w:p>
      <w:pPr>
        <w:pStyle w:val="Normal"/>
        <w:rPr>
          <w:color w:val="auto"/>
        </w:rPr>
      </w:pPr>
      <w:r>
        <w:rPr>
          <w:color w:val="auto"/>
          <w:szCs w:val="24"/>
        </w:rPr>
        <w:t>__________/должность, организация/_______ /подпись/_______/расшифровка подписи/</w:t>
      </w:r>
      <w:r>
        <w:br w:type="page"/>
      </w:r>
    </w:p>
    <w:p>
      <w:pPr>
        <w:pStyle w:val="Heading1"/>
        <w:keepLines/>
        <w:numPr>
          <w:ilvl w:val="0"/>
          <w:numId w:val="0"/>
        </w:numPr>
        <w:ind w:hanging="0" w:left="0"/>
        <w:jc w:val="right"/>
        <w:rPr>
          <w:color w:val="auto"/>
        </w:rPr>
      </w:pPr>
      <w:bookmarkStart w:id="27" w:name="__RefHeading___Toc62269_3104815314"/>
      <w:bookmarkEnd w:id="27"/>
      <w:r>
        <w:rPr>
          <w:color w:val="auto"/>
          <w:sz w:val="24"/>
          <w:szCs w:val="24"/>
          <w:lang w:val="ru-RU"/>
        </w:rPr>
        <w:t xml:space="preserve">ПРИЛОЖЕНИЕ № 2 </w:t>
      </w:r>
    </w:p>
    <w:p>
      <w:pPr>
        <w:pStyle w:val="Normal"/>
        <w:tabs>
          <w:tab w:val="clear" w:pos="708"/>
          <w:tab w:val="left" w:pos="-2268" w:leader="none"/>
        </w:tabs>
        <w:jc w:val="right"/>
        <w:rPr>
          <w:color w:val="auto"/>
        </w:rPr>
      </w:pPr>
      <w:r>
        <w:rPr>
          <w:color w:val="auto"/>
          <w:szCs w:val="24"/>
        </w:rPr>
        <w:t xml:space="preserve">к Техническим требованиям </w:t>
      </w:r>
    </w:p>
    <w:p>
      <w:pPr>
        <w:pStyle w:val="Normal"/>
        <w:tabs>
          <w:tab w:val="clear" w:pos="708"/>
          <w:tab w:val="left" w:pos="-2268" w:leader="none"/>
        </w:tabs>
        <w:jc w:val="right"/>
        <w:rPr>
          <w:color w:val="auto"/>
        </w:rPr>
      </w:pPr>
      <w:r>
        <w:rPr>
          <w:color w:val="auto"/>
          <w:szCs w:val="24"/>
        </w:rPr>
        <w:t>на оказание услуг</w:t>
      </w:r>
    </w:p>
    <w:p>
      <w:pPr>
        <w:pStyle w:val="Normal"/>
        <w:widowControl w:val="false"/>
        <w:jc w:val="right"/>
        <w:rPr>
          <w:b/>
          <w:color w:val="auto"/>
          <w:szCs w:val="24"/>
          <w:lang w:eastAsia="x-none"/>
        </w:rPr>
      </w:pPr>
      <w:r>
        <w:rPr>
          <w:b/>
          <w:color w:val="auto"/>
          <w:szCs w:val="24"/>
          <w:lang w:eastAsia="x-none"/>
        </w:rPr>
      </w:r>
    </w:p>
    <w:p>
      <w:pPr>
        <w:pStyle w:val="Normal"/>
        <w:widowControl w:val="false"/>
        <w:rPr>
          <w:color w:val="auto"/>
        </w:rPr>
      </w:pPr>
      <w:r>
        <w:rPr>
          <w:b/>
          <w:color w:val="auto"/>
          <w:szCs w:val="24"/>
          <w:lang w:eastAsia="x-none"/>
        </w:rPr>
        <w:t>Форма отчета КПУ</w:t>
      </w:r>
    </w:p>
    <w:p>
      <w:pPr>
        <w:pStyle w:val="Normal"/>
        <w:jc w:val="center"/>
        <w:rPr>
          <w:rFonts w:eastAsia="Calibri"/>
          <w:b/>
          <w:bCs/>
          <w:color w:val="auto"/>
          <w:szCs w:val="24"/>
          <w:u w:val="single"/>
        </w:rPr>
      </w:pPr>
      <w:r>
        <w:rPr>
          <w:rFonts w:eastAsia="Calibri"/>
          <w:b/>
          <w:bCs/>
          <w:color w:val="auto"/>
          <w:szCs w:val="24"/>
          <w:u w:val="single"/>
        </w:rPr>
      </w:r>
    </w:p>
    <w:p>
      <w:pPr>
        <w:pStyle w:val="Normal"/>
        <w:jc w:val="center"/>
        <w:rPr>
          <w:rFonts w:eastAsia="Calibri"/>
          <w:b/>
          <w:bCs/>
          <w:color w:val="auto"/>
          <w:szCs w:val="24"/>
          <w:u w:val="single"/>
        </w:rPr>
      </w:pPr>
      <w:r>
        <w:rPr>
          <w:rFonts w:eastAsia="Calibri"/>
          <w:b/>
          <w:bCs/>
          <w:color w:val="auto"/>
          <w:szCs w:val="24"/>
          <w:u w:val="single"/>
        </w:rPr>
      </w:r>
    </w:p>
    <w:p>
      <w:pPr>
        <w:pStyle w:val="Normal"/>
        <w:jc w:val="center"/>
        <w:rPr>
          <w:color w:val="auto"/>
        </w:rPr>
      </w:pPr>
      <w:r>
        <w:rPr>
          <w:rFonts w:eastAsia="Calibri"/>
          <w:b/>
          <w:bCs/>
          <w:color w:val="auto"/>
        </w:rPr>
        <w:t xml:space="preserve">Отчет по качеству </w:t>
      </w:r>
      <w:r>
        <w:rPr>
          <w:rFonts w:eastAsia="Calibri"/>
          <w:b/>
          <w:color w:val="auto"/>
        </w:rPr>
        <w:t xml:space="preserve">предоставления </w:t>
      </w:r>
      <w:r>
        <w:rPr>
          <w:rFonts w:eastAsia="Calibri"/>
          <w:b/>
          <w:bCs/>
          <w:color w:val="auto"/>
        </w:rPr>
        <w:t>услуг</w:t>
      </w:r>
    </w:p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rPr>
          <w:color w:val="auto"/>
        </w:rPr>
      </w:pPr>
      <w:r>
        <w:rPr>
          <w:rFonts w:eastAsia="Calibri"/>
          <w:color w:val="auto"/>
          <w:szCs w:val="24"/>
        </w:rPr>
        <w:t>Основание: Договор № </w:t>
      </w:r>
      <w:r>
        <w:rPr>
          <w:rFonts w:eastAsia="Calibri"/>
          <w:color w:val="auto"/>
          <w:szCs w:val="24"/>
          <w:u w:val="single"/>
        </w:rPr>
        <w:t>номер</w:t>
      </w:r>
      <w:r>
        <w:rPr>
          <w:rFonts w:eastAsia="Calibri"/>
          <w:color w:val="auto"/>
          <w:szCs w:val="24"/>
        </w:rPr>
        <w:t xml:space="preserve"> от </w:t>
      </w:r>
      <w:r>
        <w:rPr>
          <w:rFonts w:eastAsia="Calibri"/>
          <w:color w:val="auto"/>
          <w:szCs w:val="24"/>
          <w:u w:val="single"/>
        </w:rPr>
        <w:t>«число»</w:t>
      </w:r>
      <w:r>
        <w:rPr>
          <w:rFonts w:eastAsia="Calibri"/>
          <w:color w:val="auto"/>
          <w:szCs w:val="24"/>
        </w:rPr>
        <w:t> </w:t>
      </w:r>
      <w:r>
        <w:rPr>
          <w:rFonts w:eastAsia="Calibri"/>
          <w:color w:val="auto"/>
          <w:szCs w:val="24"/>
          <w:u w:val="single"/>
        </w:rPr>
        <w:t>месяц</w:t>
      </w:r>
      <w:r>
        <w:rPr>
          <w:rFonts w:eastAsia="Calibri"/>
          <w:color w:val="auto"/>
          <w:szCs w:val="24"/>
        </w:rPr>
        <w:t> </w:t>
      </w:r>
      <w:r>
        <w:rPr>
          <w:rFonts w:eastAsia="Calibri"/>
          <w:color w:val="auto"/>
          <w:szCs w:val="24"/>
          <w:u w:val="single"/>
        </w:rPr>
        <w:t>год</w:t>
      </w:r>
      <w:r>
        <w:rPr>
          <w:rFonts w:eastAsia="Calibri"/>
          <w:color w:val="auto"/>
          <w:szCs w:val="24"/>
        </w:rPr>
        <w:t> г.</w:t>
      </w:r>
    </w:p>
    <w:p>
      <w:pPr>
        <w:pStyle w:val="Normal"/>
        <w:rPr>
          <w:color w:val="auto"/>
        </w:rPr>
      </w:pPr>
      <w:r>
        <w:rPr>
          <w:rFonts w:eastAsia="Calibri"/>
          <w:color w:val="auto"/>
          <w:szCs w:val="24"/>
        </w:rPr>
        <w:t>Дата составления: </w:t>
      </w:r>
      <w:r>
        <w:rPr>
          <w:rFonts w:eastAsia="Calibri"/>
          <w:color w:val="auto"/>
          <w:szCs w:val="24"/>
          <w:u w:val="single"/>
        </w:rPr>
        <w:t>«число»</w:t>
      </w:r>
      <w:r>
        <w:rPr>
          <w:rFonts w:eastAsia="Calibri"/>
          <w:color w:val="auto"/>
          <w:szCs w:val="24"/>
        </w:rPr>
        <w:t> месяц год г.</w:t>
      </w:r>
    </w:p>
    <w:p>
      <w:pPr>
        <w:pStyle w:val="Normal"/>
        <w:rPr>
          <w:color w:val="auto"/>
        </w:rPr>
      </w:pPr>
      <w:r>
        <w:rPr>
          <w:rFonts w:eastAsia="Calibri"/>
          <w:color w:val="auto"/>
          <w:szCs w:val="24"/>
        </w:rPr>
        <w:t>Период (этап) оказания услуг: с </w:t>
      </w:r>
      <w:r>
        <w:rPr>
          <w:rFonts w:eastAsia="Calibri"/>
          <w:color w:val="auto"/>
          <w:szCs w:val="24"/>
          <w:u w:val="single"/>
        </w:rPr>
        <w:t>«число»</w:t>
      </w:r>
      <w:r>
        <w:rPr>
          <w:rFonts w:eastAsia="Calibri"/>
          <w:color w:val="auto"/>
          <w:szCs w:val="24"/>
        </w:rPr>
        <w:t> </w:t>
      </w:r>
      <w:r>
        <w:rPr>
          <w:rFonts w:eastAsia="Calibri"/>
          <w:color w:val="auto"/>
          <w:szCs w:val="24"/>
          <w:u w:val="single"/>
        </w:rPr>
        <w:t>месяц год</w:t>
      </w:r>
      <w:r>
        <w:rPr>
          <w:rFonts w:eastAsia="Calibri"/>
          <w:color w:val="auto"/>
          <w:szCs w:val="24"/>
        </w:rPr>
        <w:t> по </w:t>
      </w:r>
      <w:r>
        <w:rPr>
          <w:rFonts w:eastAsia="Calibri"/>
          <w:color w:val="auto"/>
          <w:szCs w:val="24"/>
          <w:u w:val="single"/>
        </w:rPr>
        <w:t>«число»</w:t>
      </w:r>
      <w:r>
        <w:rPr>
          <w:rFonts w:eastAsia="Calibri"/>
          <w:color w:val="auto"/>
          <w:szCs w:val="24"/>
        </w:rPr>
        <w:t> </w:t>
      </w:r>
      <w:r>
        <w:rPr>
          <w:rFonts w:eastAsia="Calibri"/>
          <w:color w:val="auto"/>
          <w:szCs w:val="24"/>
          <w:u w:val="single"/>
        </w:rPr>
        <w:t>месяц</w:t>
      </w:r>
      <w:r>
        <w:rPr>
          <w:rFonts w:eastAsia="Calibri"/>
          <w:color w:val="auto"/>
          <w:szCs w:val="24"/>
        </w:rPr>
        <w:t> год г. (№ этапа)</w:t>
      </w:r>
    </w:p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jc w:val="center"/>
        <w:rPr>
          <w:color w:val="auto"/>
        </w:rPr>
      </w:pPr>
      <w:r>
        <w:rPr>
          <w:rFonts w:eastAsia="Calibri"/>
          <w:b/>
          <w:color w:val="auto"/>
          <w:szCs w:val="24"/>
        </w:rPr>
        <w:t>Наименование услуги: </w:t>
      </w:r>
      <w:r>
        <w:rPr>
          <w:rFonts w:eastAsia="Calibri"/>
          <w:b/>
          <w:color w:val="auto"/>
          <w:szCs w:val="24"/>
          <w:u w:val="single"/>
        </w:rPr>
        <w:t>согласно договору</w:t>
      </w:r>
    </w:p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rPr>
          <w:color w:val="auto"/>
        </w:rPr>
      </w:pPr>
      <w:r>
        <w:rPr>
          <w:rFonts w:eastAsia="Calibri"/>
          <w:color w:val="auto"/>
          <w:szCs w:val="24"/>
        </w:rPr>
        <w:t>Исполнитель услуги: сокращенное название юридического лица согласно договору</w:t>
      </w:r>
    </w:p>
    <w:p>
      <w:pPr>
        <w:pStyle w:val="Normal"/>
        <w:numPr>
          <w:ilvl w:val="0"/>
          <w:numId w:val="12"/>
        </w:numPr>
        <w:spacing w:before="0" w:after="0"/>
        <w:contextualSpacing/>
        <w:rPr>
          <w:color w:val="auto"/>
        </w:rPr>
      </w:pPr>
      <w:r>
        <w:rPr>
          <w:b/>
          <w:bCs/>
          <w:iCs/>
          <w:color w:val="auto"/>
          <w:szCs w:val="24"/>
          <w:lang w:eastAsia="x-none"/>
        </w:rPr>
        <w:t>SLA диаграмма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15"/>
        <w:gridCol w:w="619"/>
        <w:gridCol w:w="610"/>
        <w:gridCol w:w="621"/>
        <w:gridCol w:w="616"/>
        <w:gridCol w:w="621"/>
        <w:gridCol w:w="619"/>
        <w:gridCol w:w="622"/>
        <w:gridCol w:w="619"/>
        <w:gridCol w:w="619"/>
        <w:gridCol w:w="615"/>
        <w:gridCol w:w="625"/>
        <w:gridCol w:w="600"/>
      </w:tblGrid>
      <w:tr>
        <w:trPr>
          <w:trHeight w:val="1871" w:hRule="atLeast"/>
          <w:cantSplit w:val="true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пАРАМЕТРЫ</w:t>
            </w:r>
          </w:p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МЕТОДИКИ расчёта показателей качества*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5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8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9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10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12</w:t>
            </w:r>
          </w:p>
        </w:tc>
      </w:tr>
      <w:tr>
        <w:trPr>
          <w:trHeight w:val="375" w:hRule="atLeast"/>
          <w:cantSplit w:val="true"/>
        </w:trPr>
        <w:tc>
          <w:tcPr>
            <w:tcW w:w="99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ind w:right="113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Группа параметров “Решение инцидентов и ЗНО”</w:t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Параметр 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0000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Параметр 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0000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</w:tr>
      <w:tr>
        <w:trPr>
          <w:trHeight w:val="375" w:hRule="atLeast"/>
          <w:cantSplit w:val="true"/>
        </w:trPr>
        <w:tc>
          <w:tcPr>
            <w:tcW w:w="99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ind w:right="113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Группа параметров “реализация ЗНИ”</w:t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…………</w:t>
            </w:r>
            <w:r>
              <w:rPr>
                <w:b/>
                <w:caps/>
                <w:color w:val="auto"/>
                <w:sz w:val="22"/>
                <w:szCs w:val="22"/>
              </w:rPr>
              <w:t>..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Параметр N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</w:tr>
    </w:tbl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</w:p>
    <w:tbl>
      <w:tblPr>
        <w:tblW w:w="935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9"/>
        <w:gridCol w:w="8446"/>
      </w:tblGrid>
      <w:tr>
        <w:trPr>
          <w:trHeight w:val="427" w:hRule="atLeast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Cs w:val="24"/>
              </w:rPr>
              <w:t>З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/>
                <w:caps/>
                <w:color w:val="auto"/>
                <w:szCs w:val="24"/>
              </w:rPr>
              <w:t xml:space="preserve">- </w:t>
            </w:r>
            <w:r>
              <w:rPr>
                <w:color w:val="auto"/>
                <w:szCs w:val="24"/>
              </w:rPr>
              <w:t>фактическое значение параметра соответствует SLA</w:t>
            </w:r>
          </w:p>
        </w:tc>
      </w:tr>
      <w:tr>
        <w:trPr>
          <w:trHeight w:val="427" w:hRule="atLeast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Cs w:val="24"/>
              </w:rPr>
              <w:t>Ж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/>
                <w:caps/>
                <w:color w:val="auto"/>
                <w:szCs w:val="24"/>
              </w:rPr>
              <w:t xml:space="preserve">- </w:t>
            </w:r>
            <w:r>
              <w:rPr>
                <w:color w:val="auto"/>
                <w:szCs w:val="24"/>
              </w:rPr>
              <w:t xml:space="preserve">не удовлетворительное качество предоставления услуг по данному параметру </w:t>
            </w:r>
          </w:p>
        </w:tc>
      </w:tr>
      <w:tr>
        <w:trPr>
          <w:trHeight w:val="427" w:hRule="atLeast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0000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Cs w:val="24"/>
              </w:rPr>
              <w:t>К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/>
                <w:caps/>
                <w:color w:val="auto"/>
                <w:szCs w:val="24"/>
              </w:rPr>
              <w:t xml:space="preserve">- </w:t>
            </w:r>
            <w:r>
              <w:rPr>
                <w:color w:val="auto"/>
                <w:szCs w:val="24"/>
              </w:rPr>
              <w:t xml:space="preserve">грубое нарушение SLA по данному параметру. </w:t>
            </w:r>
          </w:p>
        </w:tc>
      </w:tr>
    </w:tbl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numPr>
          <w:ilvl w:val="0"/>
          <w:numId w:val="12"/>
        </w:numPr>
        <w:spacing w:before="0" w:after="0"/>
        <w:contextualSpacing/>
        <w:rPr>
          <w:color w:val="auto"/>
        </w:rPr>
      </w:pPr>
      <w:r>
        <w:rPr>
          <w:b/>
          <w:bCs/>
          <w:iCs/>
          <w:color w:val="auto"/>
          <w:szCs w:val="24"/>
          <w:lang w:eastAsia="x-none"/>
        </w:rPr>
        <w:t>Значения ПКПУ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4"/>
        <w:gridCol w:w="5096"/>
        <w:gridCol w:w="2048"/>
        <w:gridCol w:w="2273"/>
      </w:tblGrid>
      <w:tr>
        <w:trPr/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iCs/>
                <w:color w:val="auto"/>
                <w:szCs w:val="24"/>
                <w:lang w:eastAsia="x-none"/>
              </w:rPr>
              <w:t>№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iCs/>
                <w:color w:val="auto"/>
                <w:szCs w:val="24"/>
                <w:lang w:eastAsia="x-none"/>
              </w:rPr>
              <w:t>ПКПУ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iCs/>
                <w:color w:val="auto"/>
                <w:szCs w:val="24"/>
                <w:lang w:eastAsia="x-none"/>
              </w:rPr>
              <w:t>Фактическое значение ПКПУ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iCs/>
                <w:color w:val="auto"/>
                <w:szCs w:val="24"/>
                <w:lang w:eastAsia="x-none"/>
              </w:rPr>
              <w:t>Оценка ПКПУ согласно SLA</w:t>
            </w:r>
          </w:p>
        </w:tc>
      </w:tr>
      <w:tr>
        <w:trPr/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b/>
                <w:bCs/>
                <w:iCs/>
                <w:color w:val="auto"/>
                <w:szCs w:val="24"/>
                <w:lang w:eastAsia="x-none"/>
              </w:rPr>
              <w:t>1.</w:t>
            </w:r>
          </w:p>
        </w:tc>
        <w:tc>
          <w:tcPr>
            <w:tcW w:w="5096" w:type="dxa"/>
            <w:tcBorders/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2048" w:type="dxa"/>
            <w:tcBorders/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2273" w:type="dxa"/>
            <w:tcBorders/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Cs w:val="24"/>
              </w:rPr>
              <w:t>1.1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Cs w:val="24"/>
              </w:rPr>
              <w:t>Название ПКПУ 1.1.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bCs/>
                <w:i/>
                <w:iCs/>
                <w:color w:val="auto"/>
                <w:szCs w:val="24"/>
                <w:lang w:eastAsia="x-none"/>
              </w:rPr>
              <w:t>Требуется заполнить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bCs/>
                <w:i/>
                <w:iCs/>
                <w:color w:val="auto"/>
                <w:szCs w:val="24"/>
                <w:lang w:eastAsia="x-none"/>
              </w:rPr>
              <w:t>Требуется заполнить</w:t>
            </w:r>
          </w:p>
        </w:tc>
      </w:tr>
      <w:tr>
        <w:trPr/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Cs w:val="24"/>
              </w:rPr>
              <w:t>…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Cs w:val="24"/>
              </w:rPr>
              <w:t>……</w:t>
            </w:r>
            <w:r>
              <w:rPr>
                <w:color w:val="auto"/>
                <w:szCs w:val="24"/>
              </w:rPr>
              <w:t>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bCs/>
                <w:i/>
                <w:iCs/>
                <w:color w:val="auto"/>
                <w:szCs w:val="24"/>
                <w:lang w:eastAsia="x-none"/>
              </w:rPr>
              <w:t>Требуется заполнить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bCs/>
                <w:i/>
                <w:iCs/>
                <w:color w:val="auto"/>
                <w:szCs w:val="24"/>
                <w:lang w:eastAsia="x-none"/>
              </w:rPr>
              <w:t>Требуется заполнить</w:t>
            </w:r>
          </w:p>
        </w:tc>
      </w:tr>
      <w:tr>
        <w:trPr/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Cs w:val="24"/>
              </w:rPr>
              <w:t>п. п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Cs w:val="24"/>
              </w:rPr>
              <w:t>Название ПКПУ n.n.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bCs/>
                <w:i/>
                <w:iCs/>
                <w:color w:val="auto"/>
                <w:szCs w:val="24"/>
                <w:lang w:eastAsia="x-none"/>
              </w:rPr>
              <w:t>Требуется заполнить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bCs/>
                <w:i/>
                <w:iCs/>
                <w:color w:val="auto"/>
                <w:szCs w:val="24"/>
                <w:lang w:eastAsia="x-none"/>
              </w:rPr>
              <w:t>Требуется заполнить</w:t>
            </w:r>
          </w:p>
        </w:tc>
      </w:tr>
      <w:tr>
        <w:trPr/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Общая оценка качества Услуги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i/>
                <w:i/>
                <w:iCs/>
                <w:color w:val="auto"/>
                <w:szCs w:val="24"/>
                <w:lang w:eastAsia="x-none"/>
              </w:rPr>
            </w:pPr>
            <w:r>
              <w:rPr>
                <w:b/>
                <w:bCs/>
                <w:i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i/>
                <w:i/>
                <w:iCs/>
                <w:color w:val="auto"/>
                <w:szCs w:val="24"/>
                <w:lang w:eastAsia="x-none"/>
              </w:rPr>
            </w:pPr>
            <w:r>
              <w:rPr>
                <w:b/>
                <w:bCs/>
                <w:i/>
                <w:iCs/>
                <w:color w:val="auto"/>
                <w:szCs w:val="24"/>
                <w:lang w:eastAsia="x-none"/>
              </w:rPr>
            </w:r>
          </w:p>
        </w:tc>
      </w:tr>
    </w:tbl>
    <w:p>
      <w:pPr>
        <w:pStyle w:val="Normal"/>
        <w:spacing w:before="0" w:after="0"/>
        <w:ind w:left="720"/>
        <w:contextualSpacing/>
        <w:rPr>
          <w:bCs/>
          <w:iCs/>
          <w:color w:val="auto"/>
          <w:szCs w:val="24"/>
          <w:lang w:eastAsia="x-none"/>
        </w:rPr>
      </w:pPr>
      <w:r>
        <w:rPr>
          <w:bCs/>
          <w:iCs/>
          <w:color w:val="auto"/>
          <w:szCs w:val="24"/>
          <w:lang w:eastAsia="x-none"/>
        </w:rPr>
      </w:r>
    </w:p>
    <w:p>
      <w:pPr>
        <w:pStyle w:val="Normal"/>
        <w:numPr>
          <w:ilvl w:val="0"/>
          <w:numId w:val="12"/>
        </w:numPr>
        <w:spacing w:before="0" w:after="0"/>
        <w:contextualSpacing/>
        <w:rPr>
          <w:color w:val="auto"/>
        </w:rPr>
      </w:pPr>
      <w:r>
        <w:rPr>
          <w:b/>
          <w:bCs/>
          <w:iCs/>
          <w:color w:val="auto"/>
          <w:szCs w:val="24"/>
          <w:lang w:eastAsia="x-none"/>
        </w:rPr>
        <w:t xml:space="preserve">Общая статистика обращений. </w:t>
      </w:r>
    </w:p>
    <w:p>
      <w:pPr>
        <w:pStyle w:val="Normal"/>
        <w:spacing w:before="0" w:after="0"/>
        <w:ind w:left="720"/>
        <w:contextualSpacing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Заполняется для всех предоставляемых услуг в едином отчёте.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4"/>
        <w:gridCol w:w="1254"/>
        <w:gridCol w:w="1022"/>
        <w:gridCol w:w="1263"/>
        <w:gridCol w:w="1006"/>
        <w:gridCol w:w="1195"/>
        <w:gridCol w:w="1071"/>
        <w:gridCol w:w="1233"/>
        <w:gridCol w:w="1033"/>
      </w:tblGrid>
      <w:tr>
        <w:trPr/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Услуга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Инциденты/ЗНО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Изменения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НШС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Проблемы</w:t>
            </w:r>
          </w:p>
        </w:tc>
      </w:tr>
      <w:tr>
        <w:trPr/>
        <w:tc>
          <w:tcPr>
            <w:tcW w:w="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Зарегистрировано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Решено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Зарегистрировано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Решено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Зарегистрировано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Решено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Зарегистрировано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Решено</w:t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Услуга1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…</w:t>
            </w:r>
            <w:r>
              <w:rPr>
                <w:bCs/>
                <w:iCs/>
                <w:color w:val="auto"/>
                <w:szCs w:val="24"/>
                <w:lang w:eastAsia="x-none"/>
              </w:rPr>
              <w:t>..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Услуга N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</w:tr>
    </w:tbl>
    <w:p>
      <w:pPr>
        <w:pStyle w:val="Normal"/>
        <w:spacing w:before="0" w:after="0"/>
        <w:ind w:left="720"/>
        <w:contextualSpacing/>
        <w:rPr>
          <w:bCs/>
          <w:iCs/>
          <w:color w:val="auto"/>
          <w:szCs w:val="24"/>
          <w:lang w:eastAsia="x-none"/>
        </w:rPr>
      </w:pPr>
      <w:r>
        <w:rPr>
          <w:bCs/>
          <w:iCs/>
          <w:color w:val="auto"/>
          <w:szCs w:val="24"/>
          <w:lang w:eastAsia="x-none"/>
        </w:rPr>
      </w:r>
    </w:p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</w:p>
    <w:tbl>
      <w:tblPr>
        <w:tblW w:w="10205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4803"/>
        <w:gridCol w:w="583"/>
        <w:gridCol w:w="4819"/>
      </w:tblGrid>
      <w:tr>
        <w:trPr>
          <w:trHeight w:val="20" w:hRule="atLeast"/>
        </w:trPr>
        <w:tc>
          <w:tcPr>
            <w:tcW w:w="4803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От Заказчика:</w:t>
            </w:r>
          </w:p>
        </w:tc>
        <w:tc>
          <w:tcPr>
            <w:tcW w:w="583" w:type="dxa"/>
            <w:tcBorders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color w:val="auto"/>
                <w:szCs w:val="24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От Исполнителя:</w:t>
            </w:r>
          </w:p>
        </w:tc>
      </w:tr>
      <w:tr>
        <w:trPr>
          <w:trHeight w:val="20" w:hRule="atLeast"/>
        </w:trPr>
        <w:tc>
          <w:tcPr>
            <w:tcW w:w="4803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auto"/>
                <w:szCs w:val="24"/>
              </w:rPr>
            </w:pPr>
            <w:r>
              <w:rPr>
                <w:rFonts w:eastAsia="Calibri"/>
                <w:bCs/>
                <w:color w:val="auto"/>
                <w:szCs w:val="24"/>
              </w:rPr>
            </w:r>
          </w:p>
        </w:tc>
        <w:tc>
          <w:tcPr>
            <w:tcW w:w="583" w:type="dxa"/>
            <w:tcBorders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auto"/>
                <w:szCs w:val="24"/>
              </w:rPr>
            </w:pPr>
            <w:r>
              <w:rPr>
                <w:rFonts w:eastAsia="Calibri"/>
                <w:bCs/>
                <w:color w:val="auto"/>
                <w:szCs w:val="24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auto"/>
                <w:szCs w:val="24"/>
              </w:rPr>
            </w:pPr>
            <w:r>
              <w:rPr>
                <w:rFonts w:eastAsia="Calibri"/>
                <w:bCs/>
                <w:color w:val="auto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803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color w:val="auto"/>
                <w:szCs w:val="24"/>
              </w:rPr>
              <w:t>Должность</w:t>
            </w:r>
          </w:p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color w:val="auto"/>
                <w:szCs w:val="24"/>
              </w:rPr>
              <w:t>Сокращенное наименование юридического лица</w:t>
            </w:r>
          </w:p>
        </w:tc>
        <w:tc>
          <w:tcPr>
            <w:tcW w:w="583" w:type="dxa"/>
            <w:tcBorders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color w:val="auto"/>
                <w:szCs w:val="24"/>
              </w:rPr>
              <w:t>Должность</w:t>
            </w:r>
          </w:p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color w:val="auto"/>
                <w:szCs w:val="24"/>
              </w:rPr>
              <w:t>Сокращенное наименование юридического лица</w:t>
            </w:r>
          </w:p>
        </w:tc>
      </w:tr>
      <w:tr>
        <w:trPr>
          <w:trHeight w:val="20" w:hRule="atLeast"/>
        </w:trPr>
        <w:tc>
          <w:tcPr>
            <w:tcW w:w="4803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</w:r>
          </w:p>
        </w:tc>
        <w:tc>
          <w:tcPr>
            <w:tcW w:w="583" w:type="dxa"/>
            <w:tcBorders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803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color w:val="auto"/>
                <w:szCs w:val="24"/>
              </w:rPr>
              <w:t>_________________ Инициалы, фамилия</w:t>
            </w:r>
          </w:p>
        </w:tc>
        <w:tc>
          <w:tcPr>
            <w:tcW w:w="583" w:type="dxa"/>
            <w:tcBorders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color w:val="auto"/>
                <w:szCs w:val="24"/>
              </w:rPr>
              <w:t>_________________ Инициалы, фамилия</w:t>
            </w:r>
          </w:p>
        </w:tc>
      </w:tr>
    </w:tbl>
    <w:p>
      <w:pPr>
        <w:pStyle w:val="Normal"/>
        <w:spacing w:before="0" w:after="120"/>
        <w:rPr>
          <w:i/>
          <w:i/>
          <w:iCs/>
          <w:color w:val="auto"/>
          <w:szCs w:val="24"/>
          <w:shd w:fill="FFFF99" w:val="clear"/>
        </w:rPr>
      </w:pPr>
      <w:r>
        <w:rPr>
          <w:i/>
          <w:iCs/>
          <w:color w:val="000000"/>
          <w:szCs w:val="24"/>
          <w:shd w:fill="FFFF99" w:val="clear"/>
        </w:rPr>
      </w:r>
    </w:p>
    <w:p>
      <w:pPr>
        <w:pStyle w:val="Normal"/>
        <w:spacing w:before="0" w:after="120"/>
        <w:rPr>
          <w:i/>
          <w:i/>
          <w:iCs/>
          <w:color w:val="auto"/>
          <w:szCs w:val="24"/>
          <w:shd w:fill="FFFF99" w:val="clear"/>
        </w:rPr>
      </w:pPr>
      <w:r>
        <w:rPr>
          <w:i/>
          <w:iCs/>
          <w:color w:val="000000"/>
          <w:szCs w:val="24"/>
          <w:shd w:fill="FFFF99" w:val="clear"/>
        </w:rPr>
      </w:r>
    </w:p>
    <w:p>
      <w:pPr>
        <w:pStyle w:val="Normal"/>
        <w:spacing w:before="0" w:after="120"/>
        <w:rPr>
          <w:i/>
          <w:i/>
          <w:iCs/>
          <w:color w:val="auto"/>
          <w:szCs w:val="24"/>
          <w:shd w:fill="FFFF99" w:val="clear"/>
        </w:rPr>
      </w:pPr>
      <w:r>
        <w:rPr>
          <w:i/>
          <w:iCs/>
          <w:color w:val="000000"/>
          <w:szCs w:val="24"/>
          <w:shd w:fill="FFFF99" w:val="clear"/>
        </w:rPr>
      </w:r>
    </w:p>
    <w:p>
      <w:pPr>
        <w:pStyle w:val="Normal"/>
        <w:rPr>
          <w:i/>
          <w:i/>
          <w:iCs/>
          <w:color w:val="auto"/>
          <w:szCs w:val="24"/>
          <w:shd w:fill="FFFF99" w:val="clear"/>
        </w:rPr>
      </w:pPr>
      <w:r>
        <w:rPr>
          <w:i/>
          <w:iCs/>
          <w:color w:val="000000"/>
          <w:szCs w:val="24"/>
          <w:shd w:fill="FFFF99" w:val="clear"/>
        </w:rPr>
      </w:r>
      <w:r>
        <w:br w:type="page"/>
      </w:r>
    </w:p>
    <w:p>
      <w:pPr>
        <w:pStyle w:val="Heading1"/>
        <w:keepLines/>
        <w:numPr>
          <w:ilvl w:val="0"/>
          <w:numId w:val="0"/>
        </w:numPr>
        <w:ind w:hanging="0" w:left="0"/>
        <w:jc w:val="right"/>
        <w:rPr>
          <w:color w:val="auto"/>
        </w:rPr>
      </w:pPr>
      <w:bookmarkStart w:id="28" w:name="__RefHeading___Toc62271_3104815314"/>
      <w:bookmarkEnd w:id="28"/>
      <w:r>
        <w:rPr>
          <w:color w:val="auto"/>
          <w:sz w:val="24"/>
          <w:szCs w:val="24"/>
          <w:lang w:val="ru-RU"/>
        </w:rPr>
        <w:t>ПРИЛОЖЕНИЕ № 3</w:t>
      </w:r>
    </w:p>
    <w:p>
      <w:pPr>
        <w:pStyle w:val="Normal"/>
        <w:tabs>
          <w:tab w:val="clear" w:pos="708"/>
          <w:tab w:val="left" w:pos="-2268" w:leader="none"/>
        </w:tabs>
        <w:jc w:val="right"/>
        <w:rPr>
          <w:color w:val="auto"/>
        </w:rPr>
      </w:pPr>
      <w:r>
        <w:rPr>
          <w:color w:val="auto"/>
          <w:szCs w:val="24"/>
        </w:rPr>
        <w:t xml:space="preserve">к Техническим требованиям </w:t>
      </w:r>
    </w:p>
    <w:p>
      <w:pPr>
        <w:pStyle w:val="Normal"/>
        <w:tabs>
          <w:tab w:val="clear" w:pos="708"/>
          <w:tab w:val="left" w:pos="-2268" w:leader="none"/>
        </w:tabs>
        <w:jc w:val="right"/>
        <w:rPr>
          <w:color w:val="auto"/>
        </w:rPr>
      </w:pPr>
      <w:r>
        <w:rPr>
          <w:color w:val="auto"/>
          <w:szCs w:val="24"/>
        </w:rPr>
        <w:t>на оказание услуг</w:t>
      </w:r>
    </w:p>
    <w:p>
      <w:pPr>
        <w:pStyle w:val="Normal"/>
        <w:spacing w:lineRule="auto" w:line="276" w:before="227" w:after="227"/>
        <w:jc w:val="center"/>
        <w:rPr>
          <w:color w:val="auto"/>
        </w:rPr>
      </w:pPr>
      <w:r>
        <w:rPr>
          <w:b/>
          <w:color w:val="auto"/>
        </w:rPr>
        <w:t>Методика оценки качества предоставления услуг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Оценка качества для каждой услуги, осуществляется на основании показателей качества предоставления услуг (далее – ПКПУ), приведённых в таблице 1.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По окончании отчётного периода для каждой предоставленной услуги Исполнитель проводит расчет значений ПКПУ на основании пороговых значений ПКПУ, указанных в настоящем документе в Таблице 1.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На основании проведённой первичной оценки, Исполнитель формирует отчёт</w:t>
        <w:br/>
        <w:t>в соответствии с Порядком подготовки отчета по качеству предоставления комплексных ИТ-услуг. Отчёты формируются на основании информации из КСА СПП. Для их проверки могут быть использованы данные из системы мониторинга Заказчика. В течении 5 рабочих дней Заказчик обязан ознакомиться с указанными отчетами, представить замечания в случае их наличия или согласовать их.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В случае, если какие-то ПКПУ имеют оценку “Низкое качество” или “Неудовлетворительное качество”, Исполнитель обязан провести анализ причин снижения качества такой услуги, разработать план работ по устранению причин и реализовать мероприятия по исправлению ситуации. Результаты анализа и план работ в таких случаях прилагаются к отчёту в формате аналитической записки.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В течении 5 дней с даты заключения договора, каждая из сторон, обязана назначить одного или несколько сотрудников для осуществления контроля и решения спорных вопросов в области качества предоставляемых услуг. Из указанных сотрудников может формироваться Комитет качества услуг (далее – ККУ).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Если Исполнитель считает, что оценка ПКПУ не достоверна или снижение качества предоставляемых услуг произошло в силу не зависящих от него обстоятельств, он имеет право инициировать заседание ККУ, представив обоснования и доказательства своей позиции. По результатам данного заседания, членами ККУ со стороны Заказчика проводится окончательная оценка качества предоставленных услуг и может быть принято решение о применении к Исполнителю штрафных санкций.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О любых изменениях условий предоставления и оценки услуг (изменение состава или содержания регламентирующих документов, изменение требований к форматам отчетов, изменение состава и параметров предоставления Услуг и т.д.) Заказчик обязан уведомить и согласовать с ККУ письменно, не позднее чем за 2 календарных месяца до вступления в силу предполагаемых изменений.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Исполнитель имеет право сформировать и вынести на обсуждение ККУ предложения по корректировке условий предоставления и оценки услуг (изменение состава или содержания регламентирующих документов, изменение требований к форматам отчетов, изменение состава и параметров предоставления Услуг и т.д.).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На основании решения ККУ, подтверждённого соответствующим протоколом может быть актуализирован состав и пороговые значения ПКПУ, а также формат и состав отчётов.</w:t>
      </w:r>
    </w:p>
    <w:p>
      <w:pPr>
        <w:sectPr>
          <w:headerReference w:type="default" r:id="rId17"/>
          <w:headerReference w:type="first" r:id="rId18"/>
          <w:footnotePr>
            <w:numFmt w:val="decimal"/>
            <w:numRestart w:val="eachPage"/>
          </w:footnotePr>
          <w:type w:val="nextPage"/>
          <w:pgSz w:w="11906" w:h="16838"/>
          <w:pgMar w:left="1134" w:right="850" w:gutter="0" w:header="850" w:top="1275" w:footer="0" w:bottom="850"/>
          <w:pgNumType w:fmt="decimal"/>
          <w:formProt w:val="false"/>
          <w:textDirection w:val="lrTb"/>
          <w:docGrid w:type="default" w:linePitch="100" w:charSpace="8192"/>
        </w:sect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Описание ПКПУ, таблица 1.</w:t>
      </w:r>
    </w:p>
    <w:p>
      <w:pPr>
        <w:pStyle w:val="Normal"/>
        <w:spacing w:lineRule="auto" w:line="276" w:before="0" w:after="113"/>
        <w:ind w:left="170"/>
        <w:contextualSpacing/>
        <w:jc w:val="both"/>
        <w:rPr>
          <w:color w:val="auto"/>
        </w:rPr>
      </w:pPr>
      <w:r>
        <w:rPr>
          <w:b/>
          <w:bCs/>
          <w:iCs/>
          <w:color w:val="auto"/>
          <w:szCs w:val="24"/>
          <w:lang w:eastAsia="x-none"/>
        </w:rPr>
        <w:t>Таблица 1. Описание ПКПУ</w:t>
      </w:r>
    </w:p>
    <w:tbl>
      <w:tblPr>
        <w:tblW w:w="1445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737"/>
        <w:gridCol w:w="1983"/>
        <w:gridCol w:w="1985"/>
        <w:gridCol w:w="3119"/>
        <w:gridCol w:w="4467"/>
        <w:gridCol w:w="2165"/>
      </w:tblGrid>
      <w:tr>
        <w:trPr>
          <w:tblHeader w:val="true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 xml:space="preserve">№ </w:t>
            </w:r>
            <w:r>
              <w:rPr>
                <w:b/>
                <w:bCs/>
                <w:color w:val="auto"/>
                <w:szCs w:val="24"/>
              </w:rPr>
              <w:t>пп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Название параметра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Краткое описание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Метод определения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Формула для расчета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Предельное значение</w:t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1.</w:t>
            </w:r>
          </w:p>
        </w:tc>
        <w:tc>
          <w:tcPr>
            <w:tcW w:w="13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Контроль ЗНО и Инцидентов</w:t>
            </w:r>
          </w:p>
        </w:tc>
      </w:tr>
      <w:tr>
        <w:trPr/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1.1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% просроченных Запросов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Процент Запросов (инцидентов, ЗНО), разрешенных с нарушением срока решения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Определяется на основе признака “Просрочен” да/нет в КСА СПП</w:t>
            </w:r>
          </w:p>
        </w:tc>
        <w:tc>
          <w:tcPr>
            <w:tcW w:w="4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К</w:t>
            </w:r>
            <w:r>
              <w:rPr>
                <w:color w:val="auto"/>
                <w:szCs w:val="24"/>
                <w:vertAlign w:val="subscript"/>
              </w:rPr>
              <w:t>1</w:t>
            </w:r>
            <w:r>
              <w:rPr>
                <w:color w:val="auto"/>
                <w:szCs w:val="24"/>
              </w:rPr>
              <w:t>=(N</w:t>
            </w:r>
            <w:r>
              <w:rPr>
                <w:color w:val="auto"/>
                <w:szCs w:val="24"/>
                <w:vertAlign w:val="subscript"/>
              </w:rPr>
              <w:t>1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3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4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6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7</w:t>
            </w:r>
            <w:r>
              <w:rPr>
                <w:color w:val="auto"/>
                <w:szCs w:val="24"/>
              </w:rPr>
              <w:t>)*100/(N</w:t>
            </w:r>
            <w:r>
              <w:rPr>
                <w:color w:val="auto"/>
                <w:szCs w:val="24"/>
                <w:vertAlign w:val="subscript"/>
              </w:rPr>
              <w:t>1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2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3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4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5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8</w:t>
            </w:r>
            <w:r>
              <w:rPr>
                <w:color w:val="auto"/>
                <w:szCs w:val="24"/>
              </w:rPr>
              <w:t>), где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N</w:t>
            </w:r>
            <w:r>
              <w:rPr>
                <w:color w:val="auto"/>
                <w:szCs w:val="24"/>
                <w:vertAlign w:val="subscript"/>
              </w:rPr>
              <w:t>1</w:t>
            </w:r>
            <w:r>
              <w:rPr>
                <w:color w:val="auto"/>
                <w:szCs w:val="24"/>
              </w:rPr>
              <w:t xml:space="preserve"> – количество открытых и просроченных на начало периода обращений, зарегистрированных в предыдущие отчётные периоды;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N</w:t>
            </w:r>
            <w:r>
              <w:rPr>
                <w:color w:val="auto"/>
                <w:szCs w:val="24"/>
                <w:vertAlign w:val="subscript"/>
              </w:rPr>
              <w:t>2</w:t>
            </w:r>
            <w:r>
              <w:rPr>
                <w:color w:val="auto"/>
                <w:szCs w:val="24"/>
              </w:rPr>
              <w:t xml:space="preserve"> – количество открытых на начало периода непросроченных обращений, зарегистрированных в предыдущие отчётные периоды;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N</w:t>
            </w:r>
            <w:r>
              <w:rPr>
                <w:color w:val="auto"/>
                <w:szCs w:val="24"/>
                <w:vertAlign w:val="subscript"/>
              </w:rPr>
              <w:t>3</w:t>
            </w:r>
            <w:r>
              <w:rPr>
                <w:color w:val="auto"/>
                <w:szCs w:val="24"/>
              </w:rPr>
              <w:t xml:space="preserve"> – количество открытых просроченных обращений, зарегистрированных в текущем отчётном периоде на момент формирования отчета;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N</w:t>
            </w:r>
            <w:r>
              <w:rPr>
                <w:color w:val="auto"/>
                <w:szCs w:val="24"/>
                <w:vertAlign w:val="subscript"/>
              </w:rPr>
              <w:t>4</w:t>
            </w:r>
            <w:r>
              <w:rPr>
                <w:color w:val="auto"/>
                <w:szCs w:val="24"/>
              </w:rPr>
              <w:t xml:space="preserve"> – количество закрытых просроченных обращений, зарегистрированных в текущем отчётном периоде на момент формирования отчета;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N</w:t>
            </w:r>
            <w:r>
              <w:rPr>
                <w:color w:val="auto"/>
                <w:szCs w:val="24"/>
                <w:vertAlign w:val="subscript"/>
              </w:rPr>
              <w:t>5</w:t>
            </w:r>
            <w:r>
              <w:rPr>
                <w:color w:val="auto"/>
                <w:szCs w:val="24"/>
              </w:rPr>
              <w:t xml:space="preserve"> – количество закрытых непросроченных обращений, зарегистрированных в текущем отчётном периоде на момент формирования отчета;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N</w:t>
            </w:r>
            <w:r>
              <w:rPr>
                <w:color w:val="auto"/>
                <w:szCs w:val="24"/>
                <w:vertAlign w:val="subscript"/>
              </w:rPr>
              <w:t>6</w:t>
            </w:r>
            <w:r>
              <w:rPr>
                <w:color w:val="auto"/>
                <w:szCs w:val="24"/>
              </w:rPr>
              <w:t xml:space="preserve"> – количество закрытых и просроченных в отчетном периоде обращений, зарегистрированных в предыдущие отчётные периоды;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N</w:t>
            </w:r>
            <w:r>
              <w:rPr>
                <w:color w:val="auto"/>
                <w:szCs w:val="24"/>
                <w:vertAlign w:val="subscript"/>
              </w:rPr>
              <w:t>7</w:t>
            </w:r>
            <w:r>
              <w:rPr>
                <w:color w:val="auto"/>
                <w:szCs w:val="24"/>
              </w:rPr>
              <w:t xml:space="preserve"> – количество открытых и просроченных в отчетном периоде обращений, зарегистрированных в предыдущие отчётные периоды.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N</w:t>
            </w:r>
            <w:r>
              <w:rPr>
                <w:color w:val="auto"/>
                <w:szCs w:val="24"/>
                <w:vertAlign w:val="subscript"/>
              </w:rPr>
              <w:t>8</w:t>
            </w:r>
            <w:r>
              <w:rPr>
                <w:color w:val="auto"/>
                <w:szCs w:val="24"/>
              </w:rPr>
              <w:t xml:space="preserve"> – количество открытых и непросроченных в отчетном периоде обращений, зарегистрированных в текущем отчётном  периоде.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Нормальное качество – менее 5%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Низкое качество – от 5% - до 10%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Неудовлетворительное качество</w:t>
            </w:r>
            <w:r>
              <w:rPr>
                <w:color w:val="auto"/>
                <w:szCs w:val="24"/>
              </w:rPr>
              <w:t xml:space="preserve"> – более 10%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1.2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% повторно открытых Запросов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Процент Запросов, закрытие которых было отклонено пользователем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Определяется на основании поля “Количество возобновлений” в КСА СПП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К2 = (N8/Nобщ) * 100%, где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N8 – количество Запросов, закрытых в отчётном периоде и возвращённых Пользователем в работу после выполнения;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Nобщ – общее количество Запросов, закрытых в отчётном периоде.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Нормальное качество – менее 3%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Низкое качество – от 3% - до 7%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 xml:space="preserve">Неудовлетворительное качество – </w:t>
            </w:r>
            <w:r>
              <w:rPr>
                <w:color w:val="auto"/>
                <w:szCs w:val="24"/>
              </w:rPr>
              <w:t>более 7%</w:t>
            </w:r>
          </w:p>
        </w:tc>
      </w:tr>
      <w:tr>
        <w:trPr/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1.3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hanging="5" w:left="12" w:right="-88"/>
              <w:rPr>
                <w:color w:val="auto"/>
              </w:rPr>
            </w:pPr>
            <w:r>
              <w:rPr>
                <w:color w:val="auto"/>
                <w:szCs w:val="24"/>
              </w:rPr>
              <w:t>Количество Запросов от VIP пользователей, закрытых с негативной оценкой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Количество Запросов от VIP пользователей, получивших в отчетном периоде при закрытии негативную оценку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Определяется на основе негативной оценки VIP пользователей – «Есть претензии» и «Нет серьезных замечаний», при закрытии обращения в КСА СПП</w:t>
            </w:r>
          </w:p>
        </w:tc>
        <w:tc>
          <w:tcPr>
            <w:tcW w:w="4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К3 = количество запросов от VIP пользователей, получивших в отчетном периоде при закрытии негативную оценку.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Нормальное качество – не более 0 шт.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Низкое качество – 1-2 шт.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 xml:space="preserve">Неудовлетворительное качество </w:t>
            </w:r>
            <w:r>
              <w:rPr>
                <w:color w:val="auto"/>
                <w:szCs w:val="24"/>
              </w:rPr>
              <w:t>более 2 шт.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</w:tr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2.</w:t>
            </w:r>
          </w:p>
        </w:tc>
        <w:tc>
          <w:tcPr>
            <w:tcW w:w="13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Контроль изменений</w:t>
            </w:r>
          </w:p>
        </w:tc>
      </w:tr>
      <w:tr>
        <w:trPr/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2.1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Количество несвоевременно реализованных ЗНИ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Количество ЗНИ выполненных с превышением  согласованного с Функциональным заказчиком планового срока реализации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Определяется на основе сравнения плановой и фактической даты реализации ЗНИ в КСА СПП.</w:t>
            </w:r>
          </w:p>
        </w:tc>
        <w:tc>
          <w:tcPr>
            <w:tcW w:w="4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К</w:t>
            </w:r>
            <w:r>
              <w:rPr>
                <w:color w:val="auto"/>
                <w:szCs w:val="24"/>
                <w:vertAlign w:val="subscript"/>
              </w:rPr>
              <w:t>4</w:t>
            </w:r>
            <w:r>
              <w:rPr>
                <w:color w:val="auto"/>
                <w:szCs w:val="24"/>
              </w:rPr>
              <w:t xml:space="preserve"> – количество несвоевременно реализованных ЗНИ.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Нормальное качество – 0 шт.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Низкое качество –1 -2 шт.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Неудовлетворительное качество</w:t>
            </w:r>
            <w:r>
              <w:rPr>
                <w:color w:val="auto"/>
                <w:szCs w:val="24"/>
              </w:rPr>
              <w:t xml:space="preserve"> – более 2 шт.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</w:tr>
      <w:tr>
        <w:trPr/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3.</w:t>
            </w:r>
          </w:p>
        </w:tc>
        <w:tc>
          <w:tcPr>
            <w:tcW w:w="137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Контроль НШС</w:t>
            </w:r>
          </w:p>
        </w:tc>
      </w:tr>
      <w:tr>
        <w:trPr/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3.1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Количество НШС 1 уровня (недоступность услуги)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Количество инцидентов, вызвавших не запланированную недоступность Сервиса.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Определяется на основе данных о количестве зарегистрированных НШС по вине Исполнителя, зарегистрированных в КСА СПП в отчётный период.</w:t>
            </w:r>
          </w:p>
          <w:p>
            <w:pPr>
              <w:pStyle w:val="Normal"/>
              <w:widowControl w:val="false"/>
              <w:spacing w:lineRule="auto" w:line="240" w:before="57" w:after="57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Данные по НШС могут быть проверены по системам мониторинга Заказчика. Критерии определения доступности устанавливаются в Картах мониторинга, разрабатываемых Исполнителем и согласованных с Заказчиком до начала действия договора. При спорных ситуациях ответственность за НШС определяет ККУ.</w:t>
            </w:r>
          </w:p>
        </w:tc>
        <w:tc>
          <w:tcPr>
            <w:tcW w:w="4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К</w:t>
            </w:r>
            <w:r>
              <w:rPr>
                <w:color w:val="auto"/>
                <w:szCs w:val="24"/>
                <w:vertAlign w:val="subscript"/>
              </w:rPr>
              <w:t>5</w:t>
            </w:r>
            <w:r>
              <w:rPr>
                <w:color w:val="auto"/>
                <w:szCs w:val="24"/>
              </w:rPr>
              <w:t xml:space="preserve"> – количество инцидентов, вызвавших не запланированную недоступность Сервиса, по вине Исполнителя.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Нормальное качество – 0 шт.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color w:val="auto"/>
                <w:szCs w:val="24"/>
              </w:rPr>
              <w:t>Низкое качество – 1-2 шт.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Неудовлетворительное качество</w:t>
            </w:r>
            <w:r>
              <w:rPr>
                <w:color w:val="auto"/>
                <w:szCs w:val="24"/>
              </w:rPr>
              <w:t xml:space="preserve"> – более 2 шт.</w:t>
            </w:r>
          </w:p>
          <w:p>
            <w:pPr>
              <w:pStyle w:val="Normal"/>
              <w:widowControl w:val="false"/>
              <w:spacing w:lineRule="auto" w:line="240" w:before="57" w:after="57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</w:tr>
    </w:tbl>
    <w:p>
      <w:pPr>
        <w:pStyle w:val="Normal"/>
        <w:rPr>
          <w:color w:val="auto"/>
        </w:rPr>
      </w:pPr>
      <w:r>
        <w:rPr>
          <w:color w:val="auto"/>
          <w:szCs w:val="24"/>
        </w:rPr>
        <w:t xml:space="preserve"> </w:t>
      </w:r>
    </w:p>
    <w:p>
      <w:pPr>
        <w:sectPr>
          <w:headerReference w:type="default" r:id="rId19"/>
          <w:headerReference w:type="first" r:id="rId20"/>
          <w:footnotePr>
            <w:numFmt w:val="decimal"/>
            <w:numRestart w:val="eachPage"/>
          </w:footnotePr>
          <w:type w:val="nextPage"/>
          <w:pgSz w:orient="landscape" w:w="16838" w:h="11906"/>
          <w:pgMar w:left="1134" w:right="1134" w:gutter="0" w:header="567" w:top="1134" w:footer="0" w:bottom="567"/>
          <w:pgNumType w:fmt="decimal"/>
          <w:formProt w:val="false"/>
          <w:textDirection w:val="lrTb"/>
          <w:docGrid w:type="default" w:linePitch="100" w:charSpace="8192"/>
        </w:sectPr>
        <w:pStyle w:val="Normal"/>
        <w:jc w:val="both"/>
        <w:rPr>
          <w:color w:val="auto"/>
        </w:rPr>
      </w:pPr>
      <w:r>
        <w:rPr>
          <w:color w:val="auto"/>
          <w:szCs w:val="24"/>
        </w:rPr>
        <w:t>* Пакет регламентирующих документов должен быть направлен и согласован с Исполнителем средствами электронного документооборота КСД не менее, чем за 1 месяц до начала оказания Услуг по соответствующему Этапу. В случае изменения в течение действия договора регламентирующих документов, актуальные документы направляются и согласуются с Исполнителем не менее, чем за 1 месяц до даты их вступления в силу.</w:t>
      </w:r>
    </w:p>
    <w:p>
      <w:pPr>
        <w:pStyle w:val="Normal"/>
        <w:rPr>
          <w:i/>
          <w:i/>
          <w:color w:val="auto"/>
          <w:szCs w:val="24"/>
        </w:rPr>
      </w:pPr>
      <w:r>
        <w:rPr>
          <w:i/>
          <w:color w:val="auto"/>
          <w:szCs w:val="24"/>
        </w:rPr>
      </w:r>
    </w:p>
    <w:p>
      <w:pPr>
        <w:pStyle w:val="Normal"/>
        <w:widowControl w:val="false"/>
        <w:spacing w:lineRule="exact" w:line="278"/>
        <w:jc w:val="center"/>
        <w:rPr>
          <w:color w:val="auto"/>
        </w:rPr>
      </w:pPr>
      <w:r>
        <w:rPr>
          <w:b/>
          <w:bCs/>
          <w:color w:val="auto"/>
          <w:szCs w:val="24"/>
          <w:lang w:bidi="ru-RU"/>
        </w:rPr>
        <w:t>Порядок перерасчета платежа за оказанные услуги</w:t>
      </w:r>
    </w:p>
    <w:p>
      <w:pPr>
        <w:pStyle w:val="Normal"/>
        <w:widowControl w:val="false"/>
        <w:spacing w:lineRule="exact" w:line="278"/>
        <w:jc w:val="center"/>
        <w:rPr>
          <w:color w:val="auto"/>
        </w:rPr>
      </w:pPr>
      <w:r>
        <w:rPr>
          <w:b/>
          <w:bCs/>
          <w:color w:val="auto"/>
          <w:szCs w:val="24"/>
          <w:lang w:bidi="ru-RU"/>
        </w:rPr>
        <w:t>за отчетный период</w:t>
      </w:r>
    </w:p>
    <w:p>
      <w:pPr>
        <w:pStyle w:val="Normal"/>
        <w:widowControl w:val="false"/>
        <w:spacing w:lineRule="exact" w:line="278"/>
        <w:jc w:val="center"/>
        <w:rPr>
          <w:bCs/>
          <w:color w:val="auto"/>
          <w:szCs w:val="24"/>
          <w:lang w:bidi="ru-RU"/>
        </w:rPr>
      </w:pPr>
      <w:r>
        <w:rPr>
          <w:bCs/>
          <w:color w:val="auto"/>
          <w:szCs w:val="24"/>
          <w:lang w:bidi="ru-RU"/>
        </w:rPr>
      </w:r>
    </w:p>
    <w:p>
      <w:pPr>
        <w:pStyle w:val="Normal"/>
        <w:jc w:val="both"/>
        <w:rPr>
          <w:color w:val="auto"/>
        </w:rPr>
      </w:pPr>
      <w:r>
        <w:rPr>
          <w:rFonts w:eastAsia="Calibri"/>
          <w:color w:val="auto"/>
          <w:szCs w:val="24"/>
          <w:lang w:eastAsia="en-US"/>
        </w:rPr>
        <w:t xml:space="preserve">Исполнитель гарантирует соблюдение Сводного показателя качества по каждой услуге, сокращенно «СПКУ». При снижении показателей, </w:t>
      </w:r>
      <w:r>
        <w:rPr>
          <w:rFonts w:eastAsia="Calibri"/>
          <w:color w:val="auto"/>
          <w:szCs w:val="24"/>
          <w:lang w:eastAsia="x-none"/>
        </w:rPr>
        <w:t>по решению Заказчика к Исполнителю могут быть применены штрафные санкции в следующем размере:</w:t>
      </w:r>
    </w:p>
    <w:p>
      <w:pPr>
        <w:pStyle w:val="Normal"/>
        <w:jc w:val="both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</w:r>
    </w:p>
    <w:tbl>
      <w:tblPr>
        <w:tblW w:w="93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46"/>
        <w:gridCol w:w="4688"/>
      </w:tblGrid>
      <w:tr>
        <w:trPr/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ПКУ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 xml:space="preserve">Максимально допустимое снижение размера оплаты стоимости услуги </w:t>
            </w:r>
            <w:r>
              <w:rPr>
                <w:rFonts w:eastAsia="Calibri"/>
                <w:color w:val="auto"/>
                <w:szCs w:val="24"/>
              </w:rPr>
              <w:t>(%)</w:t>
            </w:r>
          </w:p>
        </w:tc>
      </w:tr>
      <w:tr>
        <w:trPr/>
        <w:tc>
          <w:tcPr>
            <w:tcW w:w="46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СПКУ ≤ 0</w:t>
            </w:r>
          </w:p>
        </w:tc>
        <w:tc>
          <w:tcPr>
            <w:tcW w:w="46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0%</w:t>
            </w:r>
          </w:p>
        </w:tc>
      </w:tr>
      <w:tr>
        <w:trPr/>
        <w:tc>
          <w:tcPr>
            <w:tcW w:w="46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0 &lt; СПКУ ≤ 0,25</w:t>
            </w:r>
          </w:p>
        </w:tc>
        <w:tc>
          <w:tcPr>
            <w:tcW w:w="46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1%</w:t>
            </w:r>
          </w:p>
        </w:tc>
      </w:tr>
      <w:tr>
        <w:trPr/>
        <w:tc>
          <w:tcPr>
            <w:tcW w:w="46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0,25 &lt; СПКУ ≤ 0,5</w:t>
            </w:r>
          </w:p>
        </w:tc>
        <w:tc>
          <w:tcPr>
            <w:tcW w:w="4688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3%</w:t>
            </w:r>
          </w:p>
        </w:tc>
      </w:tr>
      <w:tr>
        <w:trPr/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0,5 &lt; СПКУ ≤ 0,75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5%</w:t>
            </w:r>
          </w:p>
        </w:tc>
      </w:tr>
      <w:tr>
        <w:trPr>
          <w:trHeight w:val="243" w:hRule="atLeast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0,75 &lt; СПКУ &lt; 1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7%</w:t>
            </w:r>
          </w:p>
        </w:tc>
      </w:tr>
      <w:tr>
        <w:trPr>
          <w:trHeight w:val="243" w:hRule="atLeast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1 ≤СПКУ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color w:val="auto"/>
                <w:szCs w:val="24"/>
                <w:lang w:eastAsia="en-US"/>
              </w:rPr>
              <w:t>10%</w:t>
            </w:r>
          </w:p>
        </w:tc>
      </w:tr>
    </w:tbl>
    <w:p>
      <w:pPr>
        <w:pStyle w:val="Normal"/>
        <w:spacing w:lineRule="exact" w:line="278"/>
        <w:jc w:val="center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</w:r>
    </w:p>
    <w:p>
      <w:pPr>
        <w:pStyle w:val="Normal"/>
        <w:spacing w:lineRule="auto" w:line="276" w:before="0" w:after="0"/>
        <w:ind w:left="142"/>
        <w:contextualSpacing/>
        <w:jc w:val="both"/>
        <w:rPr>
          <w:color w:val="auto"/>
        </w:rPr>
      </w:pPr>
      <w:r>
        <w:rPr>
          <w:b/>
          <w:bCs/>
          <w:iCs/>
          <w:color w:val="auto"/>
          <w:szCs w:val="24"/>
          <w:lang w:eastAsia="x-none"/>
        </w:rPr>
        <w:t>Сводный Показатель качества услуги (СПКУ)</w:t>
      </w:r>
      <w:r>
        <w:rPr>
          <w:bCs/>
          <w:iCs/>
          <w:color w:val="auto"/>
          <w:szCs w:val="24"/>
          <w:lang w:eastAsia="x-none"/>
        </w:rPr>
        <w:t>, определяется по каждой услуге по формуле:</w:t>
      </w:r>
    </w:p>
    <w:p>
      <w:pPr>
        <w:pStyle w:val="Normal"/>
        <w:spacing w:lineRule="auto" w:line="276" w:before="0" w:after="0"/>
        <w:ind w:left="142"/>
        <w:contextualSpacing/>
        <w:jc w:val="center"/>
        <w:rPr>
          <w:color w:val="auto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СПКУ</m:t>
          </m:r>
          <m:r>
            <w:rPr>
              <w:rFonts w:ascii="Cambria Math" w:hAnsi="Cambria Math"/>
            </w:rPr>
            <m:t xml:space="preserve">=</m:t>
          </m:r>
          <m:f>
            <m:num>
              <m:nary>
                <m:naryPr>
                  <m:chr m:val="∑"/>
                </m:naryPr>
                <m:sub>
                  <m:r>
                    <w:rPr>
                      <w:rFonts w:ascii="Cambria Math" w:hAnsi="Cambria Math"/>
                    </w:rPr>
                    <m:t xml:space="preserve">1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n</m:t>
                  </m:r>
                </m:sup>
                <m:e>
                  <m:r>
                    <w:rPr>
                      <w:rFonts w:ascii="Cambria Math" w:hAnsi="Cambria Math"/>
                    </w:rPr>
                    <m:t xml:space="preserve">Ki</m:t>
                  </m:r>
                </m:e>
              </m:nary>
            </m:num>
            <m:den>
              <m:r>
                <w:rPr>
                  <w:rFonts w:ascii="Cambria Math" w:hAnsi="Cambria Math"/>
                </w:rPr>
                <m:t xml:space="preserve">n</m:t>
              </m:r>
            </m:den>
          </m:f>
        </m:oMath>
      </m:oMathPara>
    </w:p>
    <w:p>
      <w:pPr>
        <w:pStyle w:val="Normal"/>
        <w:ind w:hanging="707" w:left="1276"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Где:</w:t>
      </w:r>
    </w:p>
    <w:p>
      <w:pPr>
        <w:pStyle w:val="Normal"/>
        <w:spacing w:before="120" w:after="0"/>
        <w:ind w:hanging="709" w:left="1276"/>
        <w:rPr>
          <w:color w:val="auto"/>
        </w:rPr>
      </w:pPr>
      <w:r>
        <w:rPr>
          <w:bCs/>
          <w:i/>
          <w:iCs/>
          <w:color w:val="auto"/>
          <w:szCs w:val="24"/>
          <w:lang w:eastAsia="x-none"/>
        </w:rPr>
        <w:t>СПКУ- Сводный показатель качества услуги (СПКУ).</w:t>
      </w:r>
    </w:p>
    <w:p>
      <w:pPr>
        <w:pStyle w:val="Normal"/>
        <w:spacing w:before="120" w:after="0"/>
        <w:ind w:hanging="707" w:left="1276"/>
        <w:rPr>
          <w:color w:val="auto"/>
        </w:rPr>
      </w:pPr>
      <w:r>
        <w:rPr>
          <w:bCs/>
          <w:i/>
          <w:iCs/>
          <w:color w:val="auto"/>
          <w:szCs w:val="24"/>
          <w:lang w:eastAsia="x-none"/>
        </w:rPr>
        <w:t xml:space="preserve">n- Количество ПКУ, по которым проводится оценка качества Услуги </w:t>
      </w:r>
    </w:p>
    <w:p>
      <w:pPr>
        <w:pStyle w:val="Normal"/>
        <w:spacing w:before="120" w:after="0"/>
        <w:ind w:hanging="707" w:left="1276"/>
        <w:rPr>
          <w:color w:val="auto"/>
        </w:rPr>
      </w:pPr>
      <w:r>
        <w:rPr/>
      </w:r>
      <m:oMath xmlns:m="http://schemas.openxmlformats.org/officeDocument/2006/math">
        <m:nary>
          <m:naryPr>
            <m:chr m:val="∑"/>
          </m:naryPr>
          <m:sub>
            <m:r>
              <w:rPr>
                <w:rFonts w:ascii="Cambria Math" w:hAnsi="Cambria Math"/>
              </w:rPr>
              <m:t xml:space="preserve">1</m:t>
            </m:r>
          </m:sub>
          <m:sup>
            <m:r>
              <w:rPr>
                <w:rFonts w:ascii="Cambria Math" w:hAnsi="Cambria Math"/>
              </w:rPr>
              <m:t xml:space="preserve">n</m:t>
            </m:r>
          </m:sup>
          <m:e>
            <m:r>
              <w:rPr>
                <w:rFonts w:ascii="Cambria Math" w:hAnsi="Cambria Math"/>
              </w:rPr>
              <m:t xml:space="preserve">Ki</m:t>
            </m:r>
          </m:e>
        </m:nary>
      </m:oMath>
      <w:r>
        <w:rPr>
          <w:bCs/>
          <w:i/>
          <w:iCs/>
          <w:color w:val="auto"/>
          <w:szCs w:val="24"/>
          <w:lang w:eastAsia="x-none"/>
        </w:rPr>
        <w:t>- Сумма баллов, полученных при оценке СПКУ</w:t>
      </w:r>
    </w:p>
    <w:p>
      <w:pPr>
        <w:pStyle w:val="Normal"/>
        <w:spacing w:before="120" w:after="0"/>
        <w:ind w:left="567"/>
        <w:jc w:val="both"/>
        <w:rPr>
          <w:color w:val="auto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Ki</m:t>
        </m:r>
      </m:oMath>
      <w:r>
        <w:rPr>
          <w:rFonts w:eastAsia="Calibri"/>
          <w:i/>
          <w:color w:val="auto"/>
          <w:szCs w:val="24"/>
          <w:lang w:eastAsia="x-none"/>
        </w:rPr>
        <w:t xml:space="preserve"> – </w:t>
      </w:r>
      <w:r>
        <w:rPr>
          <w:rFonts w:eastAsia="Calibri"/>
          <w:i/>
          <w:color w:val="auto"/>
          <w:szCs w:val="24"/>
          <w:lang w:eastAsia="x-none"/>
        </w:rPr>
        <w:t>оценка параметра качества, которое принимается из следующих условий:</w:t>
      </w:r>
    </w:p>
    <w:p>
      <w:pPr>
        <w:pStyle w:val="Normal"/>
        <w:numPr>
          <w:ilvl w:val="0"/>
          <w:numId w:val="13"/>
        </w:numPr>
        <w:spacing w:before="120" w:after="0"/>
        <w:ind w:hanging="360" w:left="993"/>
        <w:jc w:val="both"/>
        <w:rPr>
          <w:color w:val="auto"/>
        </w:rPr>
      </w:pPr>
      <w:r>
        <w:rPr>
          <w:rFonts w:eastAsia="Calibri"/>
          <w:i/>
          <w:color w:val="auto"/>
          <w:szCs w:val="24"/>
          <w:lang w:eastAsia="x-none"/>
        </w:rPr>
        <w:t>К = 0 соответствует критерию «Нормальное качество»</w:t>
      </w:r>
    </w:p>
    <w:p>
      <w:pPr>
        <w:pStyle w:val="Normal"/>
        <w:numPr>
          <w:ilvl w:val="0"/>
          <w:numId w:val="13"/>
        </w:numPr>
        <w:spacing w:before="120" w:after="0"/>
        <w:ind w:hanging="360" w:left="993"/>
        <w:jc w:val="both"/>
        <w:rPr>
          <w:color w:val="auto"/>
        </w:rPr>
      </w:pPr>
      <w:r>
        <w:rPr>
          <w:rFonts w:eastAsia="Calibri"/>
          <w:i/>
          <w:color w:val="auto"/>
          <w:szCs w:val="24"/>
          <w:lang w:eastAsia="x-none"/>
        </w:rPr>
        <w:t>К = 1 соответствует критерию «Низкое качество»</w:t>
      </w:r>
    </w:p>
    <w:p>
      <w:pPr>
        <w:pStyle w:val="Normal"/>
        <w:numPr>
          <w:ilvl w:val="0"/>
          <w:numId w:val="13"/>
        </w:numPr>
        <w:spacing w:before="120" w:after="0"/>
        <w:ind w:hanging="360" w:left="993"/>
        <w:jc w:val="both"/>
        <w:rPr>
          <w:color w:val="auto"/>
        </w:rPr>
      </w:pPr>
      <w:r>
        <w:rPr>
          <w:rFonts w:eastAsia="Calibri"/>
          <w:i/>
          <w:color w:val="auto"/>
          <w:szCs w:val="24"/>
          <w:lang w:eastAsia="x-none"/>
        </w:rPr>
        <w:t>К = 4 соответствует критерию «Неудовлетворительное качество»</w:t>
      </w:r>
    </w:p>
    <w:p>
      <w:pPr>
        <w:pStyle w:val="Normal"/>
        <w:jc w:val="center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jc w:val="center"/>
        <w:rPr>
          <w:color w:val="auto"/>
        </w:rPr>
      </w:pPr>
      <w:r>
        <w:rPr>
          <w:b/>
          <w:color w:val="auto"/>
          <w:szCs w:val="24"/>
        </w:rPr>
        <w:t>ПОДПИСИ СТОРОН</w:t>
      </w:r>
    </w:p>
    <w:p>
      <w:pPr>
        <w:pStyle w:val="Normal"/>
        <w:jc w:val="both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jc w:val="both"/>
        <w:rPr>
          <w:color w:val="auto"/>
          <w:szCs w:val="24"/>
        </w:rPr>
      </w:pPr>
      <w:r>
        <w:rPr>
          <w:color w:val="auto"/>
          <w:szCs w:val="24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27"/>
        <w:gridCol w:w="4742"/>
      </w:tblGrid>
      <w:tr>
        <w:trPr/>
        <w:tc>
          <w:tcPr>
            <w:tcW w:w="4827" w:type="dxa"/>
            <w:tcBorders/>
          </w:tcPr>
          <w:p>
            <w:pPr>
              <w:pStyle w:val="Normal"/>
              <w:widowControl w:val="false"/>
              <w:jc w:val="both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Заказчик:</w:t>
            </w:r>
          </w:p>
        </w:tc>
        <w:tc>
          <w:tcPr>
            <w:tcW w:w="4742" w:type="dxa"/>
            <w:tcBorders/>
          </w:tcPr>
          <w:p>
            <w:pPr>
              <w:pStyle w:val="Normal"/>
              <w:widowControl w:val="false"/>
              <w:jc w:val="both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Исполнитель:</w:t>
            </w:r>
          </w:p>
        </w:tc>
      </w:tr>
      <w:tr>
        <w:trPr/>
        <w:tc>
          <w:tcPr>
            <w:tcW w:w="4827" w:type="dxa"/>
            <w:tcBorders/>
          </w:tcPr>
          <w:p>
            <w:pPr>
              <w:pStyle w:val="Normal"/>
              <w:widowControl w:val="false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</w:r>
          </w:p>
        </w:tc>
        <w:tc>
          <w:tcPr>
            <w:tcW w:w="4742" w:type="dxa"/>
            <w:tcBorders/>
          </w:tcPr>
          <w:p>
            <w:pPr>
              <w:pStyle w:val="Normal"/>
              <w:widowControl w:val="false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</w:tr>
    </w:tbl>
    <w:p>
      <w:pPr>
        <w:pStyle w:val="Normal"/>
        <w:spacing w:before="0" w:after="120"/>
        <w:rPr>
          <w:i/>
          <w:i/>
          <w:iCs/>
          <w:color w:val="auto"/>
          <w:sz w:val="22"/>
          <w:szCs w:val="22"/>
          <w:shd w:fill="FFFF99" w:val="clear"/>
        </w:rPr>
      </w:pPr>
      <w:r>
        <w:rPr>
          <w:i/>
          <w:iCs/>
          <w:color w:val="000000"/>
          <w:sz w:val="22"/>
          <w:szCs w:val="22"/>
          <w:shd w:fill="FFFF99" w:val="clear"/>
        </w:rPr>
      </w:r>
    </w:p>
    <w:sectPr>
      <w:headerReference w:type="default" r:id="rId21"/>
      <w:headerReference w:type="first" r:id="rId22"/>
      <w:footerReference w:type="default" r:id="rId23"/>
      <w:footnotePr>
        <w:numFmt w:val="decimal"/>
        <w:numRestart w:val="eachPage"/>
      </w:footnotePr>
      <w:type w:val="nextPage"/>
      <w:pgSz w:w="11906" w:h="16838"/>
      <w:pgMar w:left="1134" w:right="850" w:gutter="0" w:header="850" w:top="1304" w:footer="850" w:bottom="1842"/>
      <w:pgNumType w:fmt="decimal"/>
      <w:formProt w:val="false"/>
      <w:textDirection w:val="lrTb"/>
      <w:docGrid w:type="default" w:linePitch="381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Arial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>В случае, если в организации функции главного бухгалтера выполняет генеральный директор–ставится только его виза.</w:t>
      </w:r>
    </w:p>
    <w:p>
      <w:pPr>
        <w:pStyle w:val="FootnoteText"/>
        <w:widowControl w:val="false"/>
        <w:rPr/>
      </w:pPr>
      <w:r>
        <w:rPr/>
        <w:t>Возможно предоставление иной формы справки в соответствии с внутренним документооборотом организации.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27</w:t>
    </w:r>
    <w:r>
      <w:rPr/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30</w:t>
    </w:r>
    <w:r>
      <w:rPr/>
      <w:fldChar w:fldCharType="end"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37</w:t>
    </w:r>
    <w:r>
      <w:rPr/>
      <w:fldChar w:fldCharType="end"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40</w:t>
    </w:r>
    <w:r>
      <w:rPr/>
      <w:fldChar w:fldCharType="end"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3" wp14:anchorId="2A4C78C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A4C78C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24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25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hanging="0"/>
      </w:pPr>
      <w:rPr>
        <w:b/>
        <w:bCs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928" w:hanging="360"/>
      </w:pPr>
      <w:rPr>
        <w:sz w:val="24"/>
        <w:szCs w:val="24"/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/>
    </w:lvl>
  </w:abstractNum>
  <w:abstractNum w:abstractNumId="9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21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2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b w:val="false"/>
        <w:szCs w:val="22"/>
        <w:bCs w:val="fals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2"/>
        <w:b w:val="false"/>
        <w:szCs w:val="22"/>
        <w:bCs w:val="false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2"/>
        <w:b w:val="false"/>
        <w:szCs w:val="22"/>
        <w:bCs w:val="fals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2"/>
        <w:b w:val="false"/>
        <w:szCs w:val="22"/>
        <w:bCs w:val="fals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2"/>
        <w:b w:val="false"/>
        <w:szCs w:val="22"/>
        <w:bCs w:val="fals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2"/>
        <w:b w:val="false"/>
        <w:szCs w:val="22"/>
        <w:bCs w:val="false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2"/>
        <w:b w:val="false"/>
        <w:szCs w:val="22"/>
        <w:bCs w:val="false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2"/>
        <w:b w:val="false"/>
        <w:szCs w:val="22"/>
        <w:bCs w:val="false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2"/>
        <w:b w:val="false"/>
        <w:szCs w:val="22"/>
        <w:bCs w:val="false"/>
      </w:rPr>
    </w:lvl>
  </w:abstractNum>
  <w:abstractNum w:abstractNumId="23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67"/>
      </w:pPr>
      <w:rPr>
        <w:sz w:val="22"/>
        <w:b w:val="false"/>
        <w:szCs w:val="22"/>
        <w:bCs w:val="fals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2"/>
        <w:b w:val="false"/>
        <w:szCs w:val="22"/>
        <w:bCs w:val="false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2"/>
        <w:b w:val="false"/>
        <w:szCs w:val="22"/>
        <w:bCs w:val="fals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2"/>
        <w:b w:val="false"/>
        <w:szCs w:val="22"/>
        <w:bCs w:val="fals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2"/>
        <w:b w:val="false"/>
        <w:szCs w:val="22"/>
        <w:bCs w:val="fals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2"/>
        <w:b w:val="false"/>
        <w:szCs w:val="22"/>
        <w:bCs w:val="false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2"/>
        <w:b w:val="false"/>
        <w:szCs w:val="22"/>
        <w:bCs w:val="false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2"/>
        <w:b w:val="false"/>
        <w:szCs w:val="22"/>
        <w:bCs w:val="false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2"/>
        <w:b w:val="false"/>
        <w:szCs w:val="22"/>
        <w:bCs w:val="false"/>
      </w:rPr>
    </w:lvl>
  </w:abstractNum>
  <w:abstractNum w:abstractNumId="24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567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25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567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26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567" w:hanging="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27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29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30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31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3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9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720" w:hanging="360"/>
        </w:pPr>
        <w:rPr>
          <w:b w:val="false"/>
          <w:bCs w:val="false"/>
        </w:rPr>
      </w:lvl>
      <w:startOverride w:val="1"/>
    </w:lvlOverride>
    <w:lvlOverride w:ilvl="0">
      <w:startOverride w:val="1"/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1440" w:hanging="360"/>
        </w:pPr>
        <w:rPr>
          <w:b w:val="false"/>
          <w:bCs w:val="false"/>
        </w:rPr>
      </w:lvl>
    </w:lvlOverride>
    <w:lvlOverride w:ilvl="1">
      <w:startOverride w:val="1"/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  <w:lvlOverride w:ilvl="2">
      <w:startOverride w:val="1"/>
    </w:lvlOverride>
    <w:lvlOverride w:ilvl="3">
      <w:lvl w:ilvl="3">
        <w:start w:val="1"/>
        <w:numFmt w:val="decimal"/>
        <w:suff w:val="nothing"/>
        <w:lvlText w:val="%4."/>
        <w:lvlJc w:val="left"/>
        <w:pPr>
          <w:tabs>
            <w:tab w:val="num" w:pos="0"/>
          </w:tabs>
          <w:ind w:left="2880" w:hanging="360"/>
        </w:pPr>
        <w:rPr/>
      </w:lvl>
    </w:lvlOverride>
    <w:lvlOverride w:ilvl="3">
      <w:startOverride w:val="1"/>
    </w:lvlOverride>
    <w:lvlOverride w:ilvl="4">
      <w:lvl w:ilvl="4">
        <w:start w:val="1"/>
        <w:numFmt w:val="lowerLetter"/>
        <w:suff w:val="nothing"/>
        <w:lvlText w:val="%5."/>
        <w:lvlJc w:val="left"/>
        <w:pPr>
          <w:tabs>
            <w:tab w:val="num" w:pos="0"/>
          </w:tabs>
          <w:ind w:left="3600" w:hanging="360"/>
        </w:pPr>
        <w:rPr/>
      </w:lvl>
    </w:lvlOverride>
    <w:lvlOverride w:ilvl="4">
      <w:startOverride w:val="1"/>
    </w:lvlOverride>
    <w:lvlOverride w:ilvl="5">
      <w:lvl w:ilvl="5">
        <w:start w:val="1"/>
        <w:numFmt w:val="lowerRoman"/>
        <w:suff w:val="nothing"/>
        <w:lvlText w:val="%6."/>
        <w:lvlJc w:val="right"/>
        <w:pPr>
          <w:tabs>
            <w:tab w:val="num" w:pos="0"/>
          </w:tabs>
          <w:ind w:left="4320" w:hanging="180"/>
        </w:pPr>
        <w:rPr/>
      </w:lvl>
    </w:lvlOverride>
    <w:lvlOverride w:ilvl="5">
      <w:startOverride w:val="1"/>
    </w:lvlOverride>
    <w:lvlOverride w:ilvl="6">
      <w:lvl w:ilvl="6">
        <w:start w:val="1"/>
        <w:numFmt w:val="decimal"/>
        <w:suff w:val="nothing"/>
        <w:lvlText w:val="%7."/>
        <w:lvlJc w:val="left"/>
        <w:pPr>
          <w:tabs>
            <w:tab w:val="num" w:pos="0"/>
          </w:tabs>
          <w:ind w:left="5040" w:hanging="360"/>
        </w:pPr>
        <w:rPr/>
      </w:lvl>
    </w:lvlOverride>
    <w:lvlOverride w:ilvl="6">
      <w:startOverride w:val="1"/>
    </w:lvlOverride>
    <w:lvlOverride w:ilvl="7">
      <w:lvl w:ilvl="7">
        <w:start w:val="1"/>
        <w:numFmt w:val="lowerLetter"/>
        <w:suff w:val="nothing"/>
        <w:lvlText w:val="%8."/>
        <w:lvlJc w:val="left"/>
        <w:pPr>
          <w:tabs>
            <w:tab w:val="num" w:pos="0"/>
          </w:tabs>
          <w:ind w:left="5760" w:hanging="360"/>
        </w:pPr>
        <w:rPr/>
      </w:lvl>
    </w:lvlOverride>
    <w:lvlOverride w:ilvl="7">
      <w:startOverride w:val="1"/>
    </w:lvlOverride>
    <w:lvlOverride w:ilvl="8">
      <w:lvl w:ilvl="8">
        <w:start w:val="1"/>
        <w:numFmt w:val="lowerRoman"/>
        <w:suff w:val="nothing"/>
        <w:lvlText w:val="%9."/>
        <w:lvlJc w:val="right"/>
        <w:pPr>
          <w:tabs>
            <w:tab w:val="num" w:pos="0"/>
          </w:tabs>
          <w:ind w:left="6480" w:hanging="180"/>
        </w:pPr>
        <w:rPr/>
      </w:lvl>
    </w:lvlOverride>
  </w:num>
</w:numbering>
</file>

<file path=word/settings.xml><?xml version="1.0" encoding="utf-8"?>
<w:settings xmlns:w="http://schemas.openxmlformats.org/wordprocessingml/2006/main">
  <w:zoom w:percent="102"/>
  <w:defaultTabStop w:val="708"/>
  <w:autoHyphenation w:val="true"/>
  <w:footnotePr>
    <w:numFmt w:val="decimal"/>
    <w:numRestart w:val="eachPage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a364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lineRule="auto" w:line="276" w:before="0" w:after="113"/>
      <w:jc w:val="both"/>
      <w:outlineLvl w:val="2"/>
    </w:pPr>
    <w:rPr>
      <w:rFonts w:eastAsia="Calibri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hanging="432" w:left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  <w:sz w:val="24"/>
      <w:szCs w:val="24"/>
    </w:rPr>
  </w:style>
  <w:style w:type="character" w:styleId="Linenumber1">
    <w:name w:val="line number1"/>
    <w:qFormat/>
    <w:rPr/>
  </w:style>
  <w:style w:type="character" w:styleId="Style16" w:customStyle="1">
    <w:name w:val="Символ нумерации"/>
    <w:qFormat/>
    <w:rPr>
      <w:b w:val="false"/>
      <w:bCs w:val="false"/>
      <w:sz w:val="22"/>
      <w:szCs w:val="22"/>
    </w:rPr>
  </w:style>
  <w:style w:type="character" w:styleId="LineNumber">
    <w:name w:val="Line Number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Cs w:val="24"/>
    </w:rPr>
  </w:style>
  <w:style w:type="paragraph" w:styleId="BodyTextIndent">
    <w:name w:val="Body Text Indent"/>
    <w:basedOn w:val="Normal"/>
    <w:rsid w:val="0076353a"/>
    <w:pPr>
      <w:ind w:left="360"/>
    </w:pPr>
    <w:rPr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/>
      <w:jc w:val="center"/>
    </w:pPr>
    <w:rPr>
      <w:b/>
      <w:bCs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040628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Cs w:val="24"/>
    </w:rPr>
  </w:style>
  <w:style w:type="paragraph" w:styleId="TOC3">
    <w:name w:val="TOC 3"/>
    <w:basedOn w:val="Normal"/>
    <w:next w:val="Normal"/>
    <w:autoRedefine/>
    <w:uiPriority w:val="39"/>
    <w:rsid w:val="007f4280"/>
    <w:pPr>
      <w:tabs>
        <w:tab w:val="clear" w:pos="708"/>
        <w:tab w:val="left" w:pos="1120" w:leader="none"/>
        <w:tab w:val="right" w:pos="9911" w:leader="dot"/>
      </w:tabs>
      <w:ind w:left="28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Cs w:val="24"/>
    </w:rPr>
  </w:style>
  <w:style w:type="paragraph" w:styleId="Caption111111" w:customStyle="1">
    <w:name w:val="caption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firstLine="709" w:left="1066"/>
    </w:pPr>
    <w:rPr>
      <w:rFonts w:ascii="Cambria" w:hAnsi="Cambria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1"/>
    <w:qFormat/>
    <w:rsid w:val="00d22f6d"/>
    <w:pPr>
      <w:spacing w:before="0" w:after="0"/>
      <w:ind w:left="720"/>
      <w:contextualSpacing/>
    </w:pPr>
    <w:rPr>
      <w:rFonts w:eastAsia="Calibri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hanging="567" w:left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/>
    </w:pPr>
    <w:rPr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Style38" w:customStyle="1">
    <w:name w:val="Базовый (отступ)"/>
    <w:basedOn w:val="Normal"/>
    <w:qFormat/>
    <w:pPr>
      <w:spacing w:lineRule="auto" w:line="276" w:before="113" w:after="113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StyleOutlinenumbered14ptBold4" w:customStyle="1">
    <w:name w:val="Style Outline numbered 14 pt Bold4"/>
    <w:qFormat/>
    <w:rsid w:val="003107a2"/>
  </w:style>
  <w:style w:type="numbering" w:styleId="DSOList11" w:customStyle="1">
    <w:name w:val="DSO_List11"/>
    <w:qFormat/>
    <w:rsid w:val="002f438e"/>
  </w:style>
  <w:style w:type="numbering" w:styleId="23376704341" w:customStyle="1">
    <w:name w:val="23376704341"/>
    <w:qFormat/>
  </w:style>
  <w:style w:type="numbering" w:styleId="24089253481" w:customStyle="1">
    <w:name w:val="24089253481"/>
    <w:qFormat/>
  </w:style>
  <w:style w:type="numbering" w:styleId="9340826441" w:customStyle="1">
    <w:name w:val="9340826441"/>
    <w:qFormat/>
  </w:style>
  <w:style w:type="numbering" w:styleId="14152156651" w:customStyle="1">
    <w:name w:val="14152156651"/>
    <w:qFormat/>
  </w:style>
  <w:style w:type="numbering" w:styleId="37622873871" w:customStyle="1">
    <w:name w:val="37622873871"/>
    <w:qFormat/>
  </w:style>
  <w:style w:type="numbering" w:styleId="19172256531" w:customStyle="1">
    <w:name w:val="19172256531"/>
    <w:qFormat/>
  </w:style>
  <w:style w:type="numbering" w:styleId="20416233651" w:customStyle="1">
    <w:name w:val="20416233651"/>
    <w:qFormat/>
  </w:style>
  <w:style w:type="numbering" w:styleId="ABC" w:customStyle="1">
    <w:name w:val="Нумерованный ABC"/>
    <w:qFormat/>
  </w:style>
  <w:style w:type="numbering" w:styleId="38576359301" w:customStyle="1">
    <w:name w:val="38576359301"/>
    <w:qFormat/>
  </w:style>
  <w:style w:type="numbering" w:styleId="711460201" w:customStyle="1">
    <w:name w:val="711460201"/>
    <w:qFormat/>
  </w:style>
  <w:style w:type="numbering" w:styleId="40045188931" w:customStyle="1">
    <w:name w:val="40045188931"/>
    <w:qFormat/>
  </w:style>
  <w:style w:type="numbering" w:styleId="12019955061" w:customStyle="1">
    <w:name w:val="12019955061"/>
    <w:qFormat/>
  </w:style>
  <w:style w:type="numbering" w:styleId="28389337501" w:customStyle="1">
    <w:name w:val="28389337501"/>
    <w:qFormat/>
  </w:style>
  <w:style w:type="numbering" w:styleId="12225129141" w:customStyle="1">
    <w:name w:val="12225129141"/>
    <w:qFormat/>
  </w:style>
  <w:style w:type="numbering" w:styleId="9619474711" w:customStyle="1">
    <w:name w:val="9619474711"/>
    <w:qFormat/>
  </w:style>
  <w:style w:type="numbering" w:styleId="25136964071" w:customStyle="1">
    <w:name w:val="25136964071"/>
    <w:qFormat/>
  </w:style>
  <w:style w:type="numbering" w:styleId="42122632571" w:customStyle="1">
    <w:name w:val="42122632571"/>
    <w:qFormat/>
  </w:style>
  <w:style w:type="numbering" w:styleId="17718371041" w:customStyle="1">
    <w:name w:val="17718371041"/>
    <w:qFormat/>
  </w:style>
  <w:style w:type="numbering" w:styleId="18681828021" w:customStyle="1">
    <w:name w:val="18681828021"/>
    <w:qFormat/>
  </w:style>
  <w:style w:type="numbering" w:styleId="30005407091" w:customStyle="1">
    <w:name w:val="30005407091"/>
    <w:qFormat/>
  </w:style>
  <w:style w:type="numbering" w:styleId="28620985751" w:customStyle="1">
    <w:name w:val="28620985751"/>
    <w:qFormat/>
  </w:style>
  <w:style w:type="numbering" w:styleId="41347800141" w:customStyle="1">
    <w:name w:val="41347800141"/>
    <w:qFormat/>
  </w:style>
  <w:style w:type="numbering" w:styleId="27884630651" w:customStyle="1">
    <w:name w:val="27884630651"/>
    <w:qFormat/>
  </w:style>
  <w:style w:type="numbering" w:styleId="14675599831" w:customStyle="1">
    <w:name w:val="14675599831"/>
    <w:qFormat/>
  </w:style>
  <w:style w:type="numbering" w:styleId="37049270721" w:customStyle="1">
    <w:name w:val="37049270721"/>
    <w:qFormat/>
  </w:style>
  <w:style w:type="numbering" w:styleId="25274607701" w:customStyle="1">
    <w:name w:val="25274607701"/>
    <w:qFormat/>
  </w:style>
  <w:style w:type="numbering" w:styleId="12370775211" w:customStyle="1">
    <w:name w:val="12370775211"/>
    <w:qFormat/>
  </w:style>
  <w:style w:type="numbering" w:styleId="29594419311" w:customStyle="1">
    <w:name w:val="29594419311"/>
    <w:qFormat/>
  </w:style>
  <w:style w:type="numbering" w:styleId="12186789551" w:customStyle="1">
    <w:name w:val="12186789551"/>
    <w:qFormat/>
  </w:style>
  <w:style w:type="numbering" w:styleId="19214968581" w:customStyle="1">
    <w:name w:val="19214968581"/>
    <w:qFormat/>
  </w:style>
  <w:style w:type="numbering" w:styleId="28719792391" w:customStyle="1">
    <w:name w:val="28719792391"/>
    <w:qFormat/>
  </w:style>
  <w:style w:type="numbering" w:styleId="5506110901" w:customStyle="1">
    <w:name w:val="5506110901"/>
    <w:qFormat/>
  </w:style>
  <w:style w:type="numbering" w:styleId="18751685761" w:customStyle="1">
    <w:name w:val="18751685761"/>
    <w:qFormat/>
  </w:style>
  <w:style w:type="numbering" w:styleId="22751384901" w:customStyle="1">
    <w:name w:val="22751384901"/>
    <w:qFormat/>
  </w:style>
  <w:style w:type="numbering" w:styleId="16165261951" w:customStyle="1">
    <w:name w:val="16165261951"/>
    <w:qFormat/>
  </w:style>
  <w:style w:type="numbering" w:styleId="7722944121" w:customStyle="1">
    <w:name w:val="7722944121"/>
    <w:qFormat/>
  </w:style>
  <w:style w:type="numbering" w:styleId="18701970451" w:customStyle="1">
    <w:name w:val="18701970451"/>
    <w:qFormat/>
  </w:style>
  <w:style w:type="numbering" w:styleId="16391071551" w:customStyle="1">
    <w:name w:val="16391071551"/>
    <w:qFormat/>
  </w:style>
  <w:style w:type="numbering" w:styleId="15777161441" w:customStyle="1">
    <w:name w:val="15777161441"/>
    <w:qFormat/>
  </w:style>
  <w:style w:type="numbering" w:styleId="36645506661" w:customStyle="1">
    <w:name w:val="36645506661"/>
    <w:qFormat/>
  </w:style>
  <w:style w:type="numbering" w:styleId="36065716541" w:customStyle="1">
    <w:name w:val="36065716541"/>
    <w:qFormat/>
  </w:style>
  <w:style w:type="numbering" w:styleId="32416116661" w:customStyle="1">
    <w:name w:val="32416116661"/>
    <w:qFormat/>
  </w:style>
  <w:style w:type="numbering" w:styleId="34613576051" w:customStyle="1">
    <w:name w:val="34613576051"/>
    <w:qFormat/>
  </w:style>
  <w:style w:type="numbering" w:styleId="27172471101" w:customStyle="1">
    <w:name w:val="27172471101"/>
    <w:qFormat/>
  </w:style>
  <w:style w:type="numbering" w:styleId="6523320261" w:customStyle="1">
    <w:name w:val="6523320261"/>
    <w:qFormat/>
  </w:style>
  <w:style w:type="numbering" w:styleId="27520490791" w:customStyle="1">
    <w:name w:val="27520490791"/>
    <w:qFormat/>
  </w:style>
  <w:style w:type="numbering" w:styleId="37027221491" w:customStyle="1">
    <w:name w:val="37027221491"/>
    <w:qFormat/>
  </w:style>
  <w:style w:type="numbering" w:styleId="36288285251" w:customStyle="1">
    <w:name w:val="36288285251"/>
    <w:qFormat/>
  </w:style>
  <w:style w:type="numbering" w:styleId="32385823381" w:customStyle="1">
    <w:name w:val="32385823381"/>
    <w:qFormat/>
  </w:style>
  <w:style w:type="numbering" w:styleId="13412350101" w:customStyle="1">
    <w:name w:val="13412350101"/>
    <w:qFormat/>
  </w:style>
  <w:style w:type="numbering" w:styleId="3150971311" w:customStyle="1">
    <w:name w:val="3150971311"/>
    <w:qFormat/>
  </w:style>
  <w:style w:type="numbering" w:styleId="24603745091" w:customStyle="1">
    <w:name w:val="24603745091"/>
    <w:qFormat/>
  </w:style>
  <w:style w:type="numbering" w:styleId="3759300271" w:customStyle="1">
    <w:name w:val="3759300271"/>
    <w:qFormat/>
  </w:style>
  <w:style w:type="numbering" w:styleId="37266084671" w:customStyle="1">
    <w:name w:val="37266084671"/>
    <w:qFormat/>
  </w:style>
  <w:style w:type="numbering" w:styleId="30873293131" w:customStyle="1">
    <w:name w:val="30873293131"/>
    <w:qFormat/>
  </w:style>
  <w:style w:type="numbering" w:styleId="35444170041" w:customStyle="1">
    <w:name w:val="3544417004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b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image" Target="media/image1.png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footer" Target="footer1.xml"/><Relationship Id="rId24" Type="http://schemas.openxmlformats.org/officeDocument/2006/relationships/footnotes" Target="footnotes.xml"/><Relationship Id="rId25" Type="http://schemas.openxmlformats.org/officeDocument/2006/relationships/numbering" Target="numbering.xml"/><Relationship Id="rId26" Type="http://schemas.openxmlformats.org/officeDocument/2006/relationships/fontTable" Target="fontTable.xml"/><Relationship Id="rId27" Type="http://schemas.openxmlformats.org/officeDocument/2006/relationships/settings" Target="settings.xml"/><Relationship Id="rId28" Type="http://schemas.openxmlformats.org/officeDocument/2006/relationships/theme" Target="theme/theme1.xml"/><Relationship Id="rId2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F9CC4-1E31-4592-956B-B0A608992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6822</TotalTime>
  <Application>AlterOffice/2026.2.0.0$Linux_X86_64 LibreOffice_project/bc4ef1adf80b36c7a6365f8ed6cbf29021361edd</Application>
  <AppVersion>15.0000</AppVersion>
  <Pages>41</Pages>
  <Words>8692</Words>
  <Characters>61176</Characters>
  <CharactersWithSpaces>68752</CharactersWithSpaces>
  <Paragraphs>1338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2026-06-08T01:46:00Z</dcterms:created>
  <dc:creator>Быстров Олег Геннадьевич</dc:creator>
  <dc:description/>
  <dc:language>ru-RU</dc:language>
  <cp:lastModifiedBy>gammii@corp.gidroogk.com</cp:lastModifiedBy>
  <cp:lastPrinted>2006-07-26T14:04:00Z</cp:lastPrinted>
  <dcterms:modified xsi:type="dcterms:W3CDTF">2026-08-31T15:04:26Z</dcterms:modified>
  <cp:revision>166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