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18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7.xml" ContentType="application/vnd.openxmlformats-officedocument.wordprocessingml.header+xml"/>
  <Override PartName="/word/footer1.xml" ContentType="application/vnd.openxmlformats-officedocument.wordprocessingml.footer+xml"/>
  <Override PartName="/word/header16.xml" ContentType="application/vnd.openxmlformats-officedocument.wordprocessingml.header+xml"/>
  <Override PartName="/word/header15.xml" ContentType="application/vnd.openxmlformats-officedocument.wordprocessingml.head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b/>
          <w:color w:val="auto"/>
          <w:sz w:val="28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b/>
          <w:color w:val="auto"/>
          <w:sz w:val="28"/>
        </w:rPr>
        <w:t>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8"/>
        </w:rPr>
      </w:pPr>
      <w:r>
        <w:rPr>
          <w:rFonts w:eastAsia="Calibri"/>
          <w:color w:val="auto"/>
          <w:sz w:val="28"/>
        </w:rPr>
      </w:r>
    </w:p>
    <w:p>
      <w:p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color w:val="auto"/>
          <w:sz w:val="28"/>
        </w:rPr>
        <w:t>ОКПД2 62.02.30.000. Оказание услуги по сопровождению Информационной системы мониторинга и проверки контрагентов (ИС МПК)</w:t>
      </w:r>
    </w:p>
    <w:p>
      <w:pPr>
        <w:pStyle w:val="Normal"/>
        <w:keepNext w:val="true"/>
        <w:keepLines/>
        <w:jc w:val="center"/>
        <w:rPr>
          <w:rFonts w:eastAsia="Calibri"/>
          <w:color w:val="auto"/>
          <w:sz w:val="28"/>
        </w:rPr>
      </w:pPr>
      <w:r>
        <w:rPr>
          <w:rFonts w:eastAsia="Calibri"/>
          <w:color w:val="auto"/>
          <w:sz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8192"/>
        </w:sectPr>
        <w:pStyle w:val="Normal"/>
        <w:keepNext w:val="true"/>
        <w:keepLines/>
        <w:jc w:val="center"/>
        <w:rPr>
          <w:color w:val="auto"/>
        </w:rPr>
      </w:pPr>
      <w:r>
        <w:rPr>
          <w:rFonts w:eastAsia="Calibri"/>
          <w:b/>
          <w:color w:val="auto"/>
          <w:sz w:val="28"/>
        </w:rPr>
        <w:t xml:space="preserve">ЛОТ </w:t>
      </w:r>
      <w:r>
        <w:rPr>
          <w:rFonts w:eastAsia="Calibri"/>
          <w:b/>
          <w:color w:val="auto"/>
          <w:sz w:val="28"/>
        </w:rPr>
        <w:t>№</w:t>
      </w:r>
    </w:p>
    <w:p>
      <w:pPr>
        <w:pStyle w:val="Normal"/>
        <w:jc w:val="center"/>
        <w:rPr>
          <w:color w:val="auto"/>
        </w:rPr>
      </w:pPr>
      <w:r>
        <w:rPr>
          <w:b/>
          <w:color w:val="auto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62227_3104815314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29_3104815314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31_3104815314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33_3104815314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35_3104815314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8833_2023913982">
            <w:r>
              <w:rPr>
                <w:webHidden/>
                <w:rStyle w:val="Style14"/>
                <w:vanish w:val="false"/>
              </w:rPr>
              <w:t>1.4.1. Автоматизируемые процессы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35_3104815314_%D0%9A%D0%BE%D0%BF%D0%B8%D1%8F">
            <w:r>
              <w:rPr>
                <w:webHidden/>
                <w:rStyle w:val="Style14"/>
                <w:vanish w:val="false"/>
              </w:rPr>
              <w:t>1.4.2. Организационный охват (типы организаций – пользователей Услуги)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10737_3455020820">
            <w:r>
              <w:rPr>
                <w:webHidden/>
                <w:rStyle w:val="Style14"/>
                <w:vanish w:val="false"/>
              </w:rPr>
              <w:t>1.4.3. Количество и виды пользователей и особенности работы пользователей с Системой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10739_3455020820">
            <w:r>
              <w:rPr>
                <w:webHidden/>
                <w:rStyle w:val="Style14"/>
                <w:vanish w:val="false"/>
              </w:rPr>
              <w:t>1.4.4. Состав и описание Системы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10741_3455020820">
            <w:r>
              <w:rPr>
                <w:webHidden/>
                <w:rStyle w:val="Style14"/>
                <w:vanish w:val="false"/>
              </w:rPr>
              <w:t>1.4.5. Интеграция с другими системами</w:t>
              <w:tab/>
              <w:t>7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10743_3455020820">
            <w:r>
              <w:rPr>
                <w:webHidden/>
                <w:rStyle w:val="Style14"/>
                <w:vanish w:val="false"/>
              </w:rPr>
              <w:t>1.4.6. Использование Системой существующих информационных сервисов</w:t>
              <w:tab/>
              <w:t>9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10745_3455020820">
            <w:r>
              <w:rPr>
                <w:webHidden/>
                <w:rStyle w:val="Style14"/>
                <w:vanish w:val="false"/>
              </w:rPr>
              <w:t>1.4.7. Особенности реализации Системы</w:t>
              <w:tab/>
              <w:t>9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37_3104815314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9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41_3104815314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услугам</w:t>
            </w:r>
            <w:r>
              <w:rPr>
                <w:rStyle w:val="Style14"/>
              </w:rPr>
              <w:tab/>
              <w:t>10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43_3104815314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10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43_3104815314_%D0%9A%D0%BE%D0%BF%D0%B8%D1%8F">
            <w:r>
              <w:rPr>
                <w:webHidden/>
                <w:rStyle w:val="Style14"/>
                <w:vanish w:val="false"/>
              </w:rPr>
              <w:t>2.1.1. Требования к перечню и объёму</w:t>
              <w:tab/>
              <w:t>10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45_3104815314">
            <w:r>
              <w:rPr>
                <w:webHidden/>
                <w:rStyle w:val="Style14"/>
                <w:vanish w:val="false"/>
              </w:rPr>
              <w:t>Таблица 2. Перечень оказываемых услуг</w:t>
              <w:tab/>
              <w:t>10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47_3104815314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12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49_3104815314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12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51_3104815314">
            <w:r>
              <w:rPr>
                <w:webHidden/>
                <w:rStyle w:val="Style14"/>
                <w:vanish w:val="false"/>
              </w:rPr>
              <w:t>2.2. Требования к качеству услуги</w:t>
              <w:tab/>
              <w:t>13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53_3104815314">
            <w:r>
              <w:rPr>
                <w:webHidden/>
                <w:rStyle w:val="Style14"/>
                <w:vanish w:val="false"/>
              </w:rPr>
              <w:t>Таблица 4. Требования к качеству услуги</w:t>
              <w:tab/>
              <w:t>13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2" w:leader="dot"/>
            </w:tabs>
            <w:rPr/>
          </w:pPr>
          <w:hyperlink w:anchor="__RefHeading___Toc62259_3104815314">
            <w:r>
              <w:rPr>
                <w:webHidden/>
                <w:rStyle w:val="Style14"/>
                <w:vanish w:val="false"/>
              </w:rPr>
              <w:t>2.3. Соглашение об уровне предоставления услуги (SLA)</w:t>
              <w:tab/>
              <w:t>22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42797_1244722962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23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63_3104815314">
            <w:r>
              <w:rPr>
                <w:webHidden/>
                <w:rStyle w:val="Style14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23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65_3104815314">
            <w:r>
              <w:rPr>
                <w:webHidden/>
                <w:rStyle w:val="Style14"/>
                <w:vanish w:val="false"/>
              </w:rPr>
              <w:t xml:space="preserve">5.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23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67_3104815314">
            <w:r>
              <w:rPr>
                <w:webHidden/>
                <w:rStyle w:val="Style14"/>
                <w:vanish w:val="false"/>
              </w:rPr>
              <w:t>ПРИЛОЖЕНИЕ № 1</w:t>
              <w:tab/>
              <w:t>24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69_3104815314">
            <w:r>
              <w:rPr>
                <w:webHidden/>
                <w:rStyle w:val="Style14"/>
                <w:vanish w:val="false"/>
              </w:rPr>
              <w:t>ПРИЛОЖЕНИЕ № 2</w:t>
              <w:tab/>
              <w:t>33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2" w:leader="dot"/>
            </w:tabs>
            <w:rPr/>
          </w:pPr>
          <w:hyperlink w:anchor="__RefHeading___Toc62271_3104815314">
            <w:r>
              <w:rPr>
                <w:webHidden/>
                <w:rStyle w:val="Style14"/>
                <w:vanish w:val="false"/>
              </w:rPr>
              <w:t>ПРИЛОЖЕНИЕ № 3</w:t>
              <w:tab/>
              <w:t>35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hanging="0" w:left="0"/>
        <w:rPr>
          <w:b w:val="false"/>
          <w:i/>
          <w:i/>
          <w:color w:val="auto"/>
          <w:lang w:val="ru-RU"/>
        </w:rPr>
      </w:pPr>
      <w:r>
        <w:rPr>
          <w:b w:val="false"/>
          <w:i/>
          <w:color w:val="auto"/>
          <w:lang w:val="ru-RU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color w:val="auto"/>
        </w:rPr>
      </w:pPr>
      <w:bookmarkStart w:id="0" w:name="__RefHeading___Toc62227_3104815314"/>
      <w:bookmarkEnd w:id="0"/>
      <w:r>
        <w:rPr>
          <w:color w:val="auto"/>
          <w:lang w:val="ru-RU"/>
        </w:rPr>
        <w:t>Общие сведения</w:t>
      </w:r>
    </w:p>
    <w:p>
      <w:pPr>
        <w:pStyle w:val="Heading4"/>
        <w:numPr>
          <w:ilvl w:val="1"/>
          <w:numId w:val="3"/>
        </w:numPr>
        <w:spacing w:before="113" w:after="113"/>
        <w:rPr>
          <w:color w:val="auto"/>
        </w:rPr>
      </w:pPr>
      <w:bookmarkStart w:id="1" w:name="__RefHeading___Toc62229_3104815314"/>
      <w:bookmarkEnd w:id="1"/>
      <w:r>
        <w:rPr>
          <w:color w:val="auto"/>
          <w:lang w:val="ru-RU"/>
        </w:rPr>
        <w:t>Обозначения и сокращения</w:t>
      </w:r>
    </w:p>
    <w:tbl>
      <w:tblPr>
        <w:tblW w:w="981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63"/>
        <w:gridCol w:w="8049"/>
      </w:tblGrid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ind w:firstLine="57"/>
              <w:jc w:val="center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lang w:eastAsia="en-US"/>
              </w:rPr>
              <w:t xml:space="preserve">Термин 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ind w:firstLine="57"/>
              <w:jc w:val="center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lang w:eastAsia="en-US"/>
              </w:rPr>
              <w:t xml:space="preserve">Определение 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БД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База данных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ДКиУР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Департамент контроля и управления рисками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ДБ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Департамент безопасности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 xml:space="preserve">ДО 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Подконтрольное дочернее общество ПАО «РусГидро»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Запись в КСА СПП, созданная на основании Обращения, события, потребности и содержащая ключевую информацию, необходимую для их обработки в соответствии с регламентами Процессов.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на обслуживание, ЗНО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от Пользователя на поддержку функционирования Услуги, информацию, консультации или документацию, не являющийся Инцидентом или Запросом на изменение.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на изменение, ЗНИ, RFC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Запрос с предложением внесения изменений в Услугу (изменение функционала, конфигурации или состава КЕ, связанных с Услугой, а также параметров предоставления Услуги). К запросам на изменение не относятся Запросы на обслуживание.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Изменение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Добавление, модификация или удаление компонентов Услуги или связанных с Услугой КЕ, способных оказать влияние на работу, функционал или доступность Услуги.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 xml:space="preserve">Инцидент 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Любое событие, которое не является частью стандартного функционирования ИТ-услуги и которое приводит или может приводить к прерыванию, ухудшению её качества.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ИС МПК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Информационная система мониторинга и проверки контрагентов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Исполнитель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Организация, заключившая договор с Заказчиком на предоставление услуги.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ИТ-услуга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Услуга, позволяющая Заказчику использовать информационные технологии в ходе реализации технологических процессов. Может представлять собой комбинацию результатов взаимодействия организационных объектов, автоматизированных систем, ИТ-процессов и технологий.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Информационная система, ИС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Консолидированный набор технологических компонентов, сервисов, интеграций и ресурсов, реализующих функции, необходимые для предоставления ИТ-услуг.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ККУ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Комитет качества услуг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Конфигурационная единица (КЕ)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Компонент услуги по поддержке ИС, находящийся под контролем процесса управления конфигурациями и подлежащий обязательному учету в Базе конфигураций. Например, активное сетевое оборудование (LAN, SAN), серверы, системы хранения данных, системные блоки, лицензии программного обеспечения, информационные системы, сервисные договоры. Связь между КЕ и соответствующей услугой по поддержке ИС определяется в КСА СПП.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КСД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</w:rPr>
              <w:t>Корпоративная система документооборота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КСА СПП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Комплекс средств автоматизации Службы поддержки пользователей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Линия поддержки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Уровень в иерархии групп поддержки, вовлеченных в разрешение инцидентов. Каждый последующий уровень включает в себя более высокую квалификацию специалистов, либо большее количество времени и прочих ресурсов.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НШС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Инцидент, вызвавший недоступность или критическое снижение качества Услуги в целом или отдельной КЕ услуги. Разделяют НШС 1 уровня – недоступность Услуги и НШС 2 уровня – недоступность КЕ.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НСИ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Нормативно-справочная информация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</w:rPr>
              <w:t>Обращение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</w:rPr>
              <w:t>Информация, поступающая от пользователя ИТ-услуги в службу поддержки пользователей. После регистрации в КСА СПП каждое обращение классифицируется и принадлежит к одной из категорий: инцидент, запрос на обслуживание (ЗНО), запрос на изменение функциональности (ЗНИФ), запрос на информацию, отзыв о работе СПП, жалоба.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Обходное решение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lang w:eastAsia="en-US"/>
              </w:rPr>
              <w:t>Процедура, позволяющая пользователю продолжить получение информационных услуг в случае возникновения инцидентов.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ПКМ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План корректирующих мероприятий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ПКПУ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Показатель качества предоставления услуг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ПО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Подконтрольное общество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Проблема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Причина одного или нескольких инцидентов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Релиз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Одно или более изменений, построение, тестирование и развертывание которых выполняется совместно.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СПП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Служба поддержки пользователей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ЧТЗ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  <w:t>Частное техническое задание</w:t>
            </w:r>
          </w:p>
        </w:tc>
      </w:tr>
      <w:tr>
        <w:trPr/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SLA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20"/>
              <w:rPr>
                <w:color w:val="auto"/>
              </w:rPr>
            </w:pPr>
            <w:r>
              <w:rPr>
                <w:color w:val="auto"/>
              </w:rPr>
              <w:t>Service Level Agreement, Соглашение об уровне услуги</w:t>
            </w:r>
          </w:p>
        </w:tc>
      </w:tr>
    </w:tbl>
    <w:p>
      <w:pPr>
        <w:pStyle w:val="Heading4"/>
        <w:numPr>
          <w:ilvl w:val="0"/>
        </w:numPr>
        <w:spacing w:before="113" w:after="113"/>
        <w:ind w:hanging="0" w:left="0"/>
        <w:rPr>
          <w:color w:val="auto"/>
          <w:lang w:val="ru-RU"/>
        </w:rPr>
      </w:pPr>
      <w:r>
        <w:rPr>
          <w:color w:val="auto"/>
          <w:lang w:val="ru-RU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13" w:after="113"/>
        <w:ind w:hanging="0" w:left="0"/>
        <w:rPr>
          <w:color w:val="auto"/>
        </w:rPr>
      </w:pPr>
      <w:bookmarkStart w:id="2" w:name="__RefHeading___Toc62231_3104815314"/>
      <w:bookmarkEnd w:id="2"/>
      <w:r>
        <w:rPr>
          <w:color w:val="auto"/>
          <w:lang w:val="ru-RU"/>
        </w:rPr>
        <w:t>Наименование закупаемой продукции</w:t>
      </w:r>
    </w:p>
    <w:p>
      <w:pPr>
        <w:pStyle w:val="Normal"/>
        <w:keepNext w:val="true"/>
        <w:keepLines/>
        <w:spacing w:lineRule="auto" w:line="276" w:before="113" w:after="113"/>
        <w:ind w:firstLine="567"/>
        <w:jc w:val="both"/>
        <w:rPr/>
      </w:pPr>
      <w:r>
        <w:rPr>
          <w:rStyle w:val="Style8"/>
          <w:rFonts w:eastAsia="Calibri"/>
          <w:b w:val="false"/>
          <w:i w:val="false"/>
          <w:color w:val="000000"/>
          <w:spacing w:val="-4"/>
          <w:szCs w:val="26"/>
          <w:shd w:fill="auto" w:val="clear"/>
        </w:rPr>
        <w:t>ОКПД2 62.02.30.000. Оказание услуги по сопровождению Информационной системы мониторинга и проверки контрагентов (ИС МПК)</w:t>
      </w:r>
    </w:p>
    <w:p>
      <w:pPr>
        <w:pStyle w:val="Heading4"/>
        <w:numPr>
          <w:ilvl w:val="1"/>
          <w:numId w:val="3"/>
        </w:numPr>
        <w:spacing w:before="113" w:after="113"/>
        <w:ind w:hanging="0" w:left="0"/>
        <w:rPr>
          <w:color w:val="auto"/>
        </w:rPr>
      </w:pPr>
      <w:bookmarkStart w:id="3" w:name="__RefHeading___Toc62233_3104815314"/>
      <w:bookmarkEnd w:id="3"/>
      <w:r>
        <w:rPr>
          <w:color w:val="auto"/>
          <w:lang w:val="ru-RU"/>
        </w:rPr>
        <w:t>Цель оказания услуг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Целью оказания услуг по поддержке Системы является обеспечение её функционирования в соответствии с заданными показателями качества (п 2.3).</w:t>
      </w:r>
    </w:p>
    <w:p>
      <w:pPr>
        <w:pStyle w:val="Heading4"/>
        <w:numPr>
          <w:ilvl w:val="1"/>
          <w:numId w:val="3"/>
        </w:numPr>
        <w:spacing w:before="113" w:after="113"/>
        <w:ind w:hanging="0" w:left="0"/>
        <w:rPr>
          <w:color w:val="auto"/>
        </w:rPr>
      </w:pPr>
      <w:bookmarkStart w:id="4" w:name="__RefHeading___Toc62235_3104815314"/>
      <w:bookmarkEnd w:id="4"/>
      <w:r>
        <w:rPr>
          <w:color w:val="auto"/>
          <w:lang w:val="ru-RU"/>
        </w:rPr>
        <w:t>Существующее положение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5" w:name="__RefHeading___Toc8833_2023913982"/>
      <w:bookmarkEnd w:id="5"/>
      <w:r>
        <w:rPr>
          <w:color w:val="auto"/>
          <w:lang w:val="ru-RU"/>
        </w:rPr>
        <w:t>Автоматизируемые процессы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Объектами автоматизации Системы являются следующие процессы: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Мониторинг и проверка контрагентов.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Мониторинг исполнения договорных обязательств.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Учет бенефициаров контрагентов, формирование требуемой отчетности.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Учет результатов предварительных проверочных мероприятий, служебных проверок и расследований.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Сбор данных от подразделений безопасности филиалов и ПО, формирование отчетности на базе полученной информации.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>Оценка эффективности функционирования блока безопасности, подразделений безопасности филиалов и ПО.</w:t>
      </w:r>
    </w:p>
    <w:p>
      <w:pPr>
        <w:pStyle w:val="Normal"/>
        <w:numPr>
          <w:ilvl w:val="0"/>
          <w:numId w:val="23"/>
        </w:numPr>
        <w:jc w:val="both"/>
        <w:rPr>
          <w:color w:val="auto"/>
        </w:rPr>
      </w:pPr>
      <w:r>
        <w:rPr>
          <w:color w:val="auto"/>
          <w:szCs w:val="24"/>
        </w:rPr>
        <w:t xml:space="preserve">Управление внутренними задачами блока безопасности, подразделений безопасности филиалов и ПО.  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6" w:name="__RefHeading___Toc62235_3104815314_Копия"/>
      <w:bookmarkEnd w:id="6"/>
      <w:r>
        <w:rPr>
          <w:color w:val="auto"/>
          <w:lang w:val="ru-RU"/>
        </w:rPr>
        <w:t>Организационный охват (типы организаций – пользователей Услуги)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lang w:eastAsia="x-none"/>
        </w:rPr>
        <w:t>Пользователями системы являются:</w:t>
      </w:r>
    </w:p>
    <w:p>
      <w:pPr>
        <w:pStyle w:val="Normal"/>
        <w:numPr>
          <w:ilvl w:val="0"/>
          <w:numId w:val="26"/>
        </w:numPr>
        <w:spacing w:lineRule="auto" w:line="276" w:before="113" w:after="113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Блока безопасности Группы РусГидро;</w:t>
      </w:r>
    </w:p>
    <w:p>
      <w:pPr>
        <w:pStyle w:val="Normal"/>
        <w:numPr>
          <w:ilvl w:val="0"/>
          <w:numId w:val="26"/>
        </w:numPr>
        <w:spacing w:lineRule="auto" w:line="276" w:before="113" w:after="113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Сотрудники подразделений безопасности филиалов и ПО.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7" w:name="__RefHeading___Toc10737_3455020820"/>
      <w:bookmarkEnd w:id="7"/>
      <w:r>
        <w:rPr>
          <w:color w:val="auto"/>
          <w:lang w:val="ru-RU"/>
        </w:rPr>
        <w:t>Количество и виды пользователей и особенности работы пользователей с Системой</w:t>
      </w:r>
    </w:p>
    <w:tbl>
      <w:tblPr>
        <w:tblW w:w="99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88"/>
        <w:gridCol w:w="6429"/>
        <w:gridCol w:w="2116"/>
      </w:tblGrid>
      <w:tr>
        <w:trPr/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Система / подсистема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Организационная единица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реализованных интеграционных потоков</w:t>
            </w:r>
          </w:p>
        </w:tc>
      </w:tr>
      <w:tr>
        <w:trPr/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jc w:val="center"/>
              <w:rPr>
                <w:color w:val="auto"/>
              </w:rPr>
            </w:pPr>
            <w:r>
              <w:rPr>
                <w:iCs/>
                <w:color w:val="auto"/>
                <w:szCs w:val="24"/>
              </w:rPr>
              <w:t>ИС МПК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rPr>
                <w:color w:val="auto"/>
              </w:rPr>
            </w:pPr>
            <w:r>
              <w:rPr>
                <w:iCs/>
                <w:color w:val="auto"/>
                <w:szCs w:val="24"/>
              </w:rPr>
              <w:t>Сотрудники Блока безопасности Группы РусГидро</w:t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jc w:val="center"/>
              <w:rPr>
                <w:color w:val="auto"/>
              </w:rPr>
            </w:pPr>
            <w:r>
              <w:rPr>
                <w:iCs/>
                <w:color w:val="auto"/>
                <w:szCs w:val="24"/>
              </w:rPr>
              <w:t>Не более 300</w:t>
            </w:r>
          </w:p>
        </w:tc>
      </w:tr>
      <w:tr>
        <w:trPr/>
        <w:tc>
          <w:tcPr>
            <w:tcW w:w="1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6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113"/>
              <w:rPr>
                <w:color w:val="auto"/>
              </w:rPr>
            </w:pPr>
            <w:r>
              <w:rPr>
                <w:iCs/>
                <w:color w:val="auto"/>
                <w:szCs w:val="24"/>
              </w:rPr>
              <w:t>Сотрудники подразделений безопасности филиалов и ПО</w:t>
            </w:r>
          </w:p>
        </w:tc>
        <w:tc>
          <w:tcPr>
            <w:tcW w:w="2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</w:tbl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8" w:name="__RefHeading___Toc10739_3455020820"/>
      <w:bookmarkEnd w:id="8"/>
      <w:r>
        <w:rPr>
          <w:color w:val="auto"/>
          <w:lang w:val="ru-RU"/>
        </w:rPr>
        <w:t>Состав и описание Системы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Система представляет собой решение, реализованное на платформе «Вектор Плюс» и предназначена для автоматизации деятельности Блока безопасности Группы РусГидро.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Система в автоматическом режиме осуществляет мониторинг и проверку действующих контрагентов на основании загруженной информации из подключенных внешних и внутренних источников.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  <w:lang w:eastAsia="x-none"/>
        </w:rPr>
        <w:t>Целью системы ИС МПК является:</w:t>
      </w:r>
    </w:p>
    <w:p>
      <w:pPr>
        <w:pStyle w:val="Normal"/>
        <w:numPr>
          <w:ilvl w:val="0"/>
          <w:numId w:val="33"/>
        </w:numPr>
        <w:spacing w:lineRule="auto" w:line="276"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Выявление и предупреждение угроз причинения ущерба Обществу вследствие мошенничества и недобросовестного исполнения условий контракта;</w:t>
      </w:r>
    </w:p>
    <w:p>
      <w:pPr>
        <w:pStyle w:val="Normal"/>
        <w:numPr>
          <w:ilvl w:val="0"/>
          <w:numId w:val="33"/>
        </w:numPr>
        <w:spacing w:lineRule="auto" w:line="276"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Создание условий для проведения эффективных проверок всех участников закупочных процедур на предмет их финансового состояния, надежности и возможного конфликта интересов в установленные регламентом сроки;</w:t>
      </w:r>
    </w:p>
    <w:p>
      <w:pPr>
        <w:pStyle w:val="Normal"/>
        <w:numPr>
          <w:ilvl w:val="0"/>
          <w:numId w:val="33"/>
        </w:numPr>
        <w:spacing w:lineRule="auto" w:line="276"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Снижение вероятности возникновения репутационных рисков Общества и судебных издержек.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  <w:lang w:eastAsia="x-none"/>
        </w:rPr>
        <w:t>ИС МПК состоит из пяти модулей:</w:t>
      </w:r>
    </w:p>
    <w:p>
      <w:pPr>
        <w:pStyle w:val="Normal"/>
        <w:numPr>
          <w:ilvl w:val="0"/>
          <w:numId w:val="34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Подсистема базовых данных и администрирования;</w:t>
      </w:r>
    </w:p>
    <w:p>
      <w:pPr>
        <w:pStyle w:val="Normal"/>
        <w:numPr>
          <w:ilvl w:val="0"/>
          <w:numId w:val="34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Подсистема мониторинга контрагентов;</w:t>
      </w:r>
    </w:p>
    <w:p>
      <w:pPr>
        <w:pStyle w:val="Normal"/>
        <w:numPr>
          <w:ilvl w:val="0"/>
          <w:numId w:val="34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Подсистема проверки участников закупочных процедур;</w:t>
      </w:r>
    </w:p>
    <w:p>
      <w:pPr>
        <w:pStyle w:val="Normal"/>
        <w:numPr>
          <w:ilvl w:val="0"/>
          <w:numId w:val="34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Подсистема учета бенефициаров контрагентов;</w:t>
      </w:r>
    </w:p>
    <w:p>
      <w:pPr>
        <w:pStyle w:val="Normal"/>
        <w:numPr>
          <w:ilvl w:val="0"/>
          <w:numId w:val="34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Личный кабинет контрагента.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lang w:eastAsia="x-none"/>
        </w:rPr>
        <w:t>Для наполнения ИС МПК базовыми данными осуществляется интеграция со смежными внутренними системами: ИС МАГНИТ, 1С:ФЭУ, ЕСУ НСИ, АИСА, ИС ПИР, АИСУЗ.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lang w:eastAsia="x-none"/>
        </w:rPr>
        <w:t>Для мониторинга контрагентов осуществляется обмен данными по юр. лицам и физ. лицам из внешней системы ИАС СФИНКС.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lang w:eastAsia="x-none"/>
        </w:rPr>
        <w:t>Для графического отображения адресов осуществляется обмен данными с внешними системами DaData и Яндекс.Карты.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  <w:lang w:eastAsia="x-none"/>
        </w:rPr>
        <w:t>ИС МПК предоставляет следующие возможности: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систематизированный сбор сведений о цепочке собственников (включая конечных бенефициаров) контрагента;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загрузка данных по контрагентам из внутренних и внешних источников;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автоматизированный мониторинг изменений данных контрагентов (юридических и физических лиц);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система оповещения ответственных сотрудников (при наступлении определенных событий);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выявление в автоматическом режиме конфликта интересов, личной заинтересованности, недостоверных данных и пр.;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автоматическая оценка надежности (деловой репутации) контрагентов и их финансового состояния;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автоматизированный функционал выявления связей между контрагентами и другими объектами взаимодействия;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учет результатов предварительных проверочных мероприятий, служебных проверок и расследований;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учет результатов направления в правоохранительные органы материалов о преступлениях/нарушении законодательства РФ;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функционал для отслеживания заполнения отчетности по направляемым формам;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функционал для оценки эффективности функционирования Блока безопасности, подразделений безопасности филиалов и ПО;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функционал управления внутренними задачами Блока безопасности, подразделений безопасности филиалов и ПО;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функционал по оценке надежности контрагентов при формировании резервов по сомнительным долгам;</w:t>
      </w:r>
    </w:p>
    <w:p>
      <w:pPr>
        <w:pStyle w:val="Normal"/>
        <w:numPr>
          <w:ilvl w:val="0"/>
          <w:numId w:val="35"/>
        </w:numPr>
        <w:spacing w:lineRule="auto" w:line="276"/>
        <w:ind w:firstLine="567" w:left="0"/>
        <w:jc w:val="both"/>
        <w:rPr>
          <w:color w:val="auto"/>
        </w:rPr>
      </w:pPr>
      <w:r>
        <w:rPr>
          <w:color w:val="auto"/>
          <w:szCs w:val="24"/>
          <w:lang w:eastAsia="x-none"/>
        </w:rPr>
        <w:t>обмен файлами.</w:t>
      </w:r>
    </w:p>
    <w:p>
      <w:pPr>
        <w:pStyle w:val="Normal"/>
        <w:spacing w:lineRule="auto" w:line="276" w:before="113" w:after="113"/>
        <w:jc w:val="both"/>
        <w:rPr>
          <w:color w:val="auto"/>
        </w:rPr>
      </w:pPr>
      <w:r>
        <w:rPr>
          <w:color w:val="auto"/>
          <w:szCs w:val="24"/>
          <w:lang w:eastAsia="x-none"/>
        </w:rPr>
        <w:t>Состав программно-технических средств Системы*</w:t>
      </w:r>
      <w:r>
        <w:rPr>
          <w:b/>
          <w:bCs/>
          <w:color w:val="auto"/>
          <w:szCs w:val="24"/>
          <w:lang w:eastAsia="x-none"/>
        </w:rPr>
        <w:t>: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387"/>
        <w:gridCol w:w="5685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№</w:t>
            </w:r>
            <w:r>
              <w:rPr>
                <w:b/>
                <w:bCs/>
                <w:color w:val="auto"/>
                <w:szCs w:val="24"/>
              </w:rPr>
              <w:br/>
              <w:t>п/п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 xml:space="preserve">Класс ИТ-актива / </w:t>
              <w:br/>
              <w:t>элемент Системы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Программная платформа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Продуктивный контур</w:t>
            </w:r>
          </w:p>
        </w:tc>
      </w:tr>
      <w:tr>
        <w:trPr/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1.1.</w:t>
            </w:r>
          </w:p>
        </w:tc>
        <w:tc>
          <w:tcPr>
            <w:tcW w:w="3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Сервер приложений и БД </w:t>
            </w:r>
          </w:p>
        </w:tc>
        <w:tc>
          <w:tcPr>
            <w:tcW w:w="5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ОС: Astra Linux Common Edition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PostgreSQL 11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MPK (версия, содержащая функционал, разработанный на платформе .NET Core)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1.2.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Хранилище файлов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ОС: Astra Linux Common Edition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MPKfiles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1.3.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Сервер приложений и БД ЛК контрагента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ОС: Astra Linux Special Edition</w:t>
            </w:r>
          </w:p>
          <w:p>
            <w:pPr>
              <w:pStyle w:val="Normal"/>
              <w:widowControl w:val="false"/>
              <w:numPr>
                <w:ilvl w:val="0"/>
                <w:numId w:val="29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Tantor в редакции Basic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Тестовый контур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2.1.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Сервер приложений и БД 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ОС: Astra Linux Common Edition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PostgreSQL 11</w:t>
            </w:r>
          </w:p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MPK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2.2.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Хранилище файлов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ОС: Astra Linux Common Edition</w:t>
            </w:r>
          </w:p>
          <w:p>
            <w:pPr>
              <w:pStyle w:val="Normal"/>
              <w:widowControl w:val="false"/>
              <w:numPr>
                <w:ilvl w:val="0"/>
                <w:numId w:val="28"/>
              </w:numPr>
              <w:spacing w:before="85" w:after="85"/>
              <w:rPr>
                <w:color w:val="auto"/>
              </w:rPr>
            </w:pPr>
            <w:r>
              <w:rPr>
                <w:color w:val="auto"/>
                <w:szCs w:val="24"/>
              </w:rPr>
              <w:t>MPKfiles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426" w:leader="none"/>
          <w:tab w:val="left" w:pos="993" w:leader="none"/>
        </w:tabs>
        <w:spacing w:before="113" w:after="113"/>
        <w:jc w:val="both"/>
        <w:rPr>
          <w:color w:val="auto"/>
        </w:rPr>
      </w:pPr>
      <w:r>
        <w:rPr>
          <w:color w:val="auto"/>
          <w:szCs w:val="24"/>
        </w:rPr>
        <w:t>* информация в таблице указана справочно на момент подготовки Технических требований и может быть изменена в период действия договора.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9" w:name="__RefHeading___Toc10741_3455020820"/>
      <w:bookmarkEnd w:id="9"/>
      <w:r>
        <w:rPr>
          <w:color w:val="auto"/>
          <w:lang w:val="ru-RU"/>
        </w:rPr>
        <w:t>Интеграция с другими системами</w:t>
      </w:r>
    </w:p>
    <w:tbl>
      <w:tblPr>
        <w:tblW w:w="9915" w:type="dxa"/>
        <w:jc w:val="left"/>
        <w:tblInd w:w="11" w:type="dxa"/>
        <w:tblLayout w:type="fixed"/>
        <w:tblCellMar>
          <w:top w:w="0" w:type="dxa"/>
          <w:left w:w="8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1289"/>
        <w:gridCol w:w="411"/>
        <w:gridCol w:w="1106"/>
        <w:gridCol w:w="7108"/>
      </w:tblGrid>
      <w:tr>
        <w:trPr>
          <w:trHeight w:val="520" w:hRule="atLeast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spacing w:val="-2"/>
                <w:sz w:val="22"/>
                <w:szCs w:val="22"/>
                <w:lang w:eastAsia="en-US"/>
              </w:rPr>
              <w:t>Подсистема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spacing w:val="-2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spacing w:val="-2"/>
                <w:sz w:val="22"/>
                <w:szCs w:val="22"/>
                <w:lang w:eastAsia="en-US"/>
              </w:rPr>
              <w:t>Название АС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spacing w:val="-2"/>
                <w:sz w:val="22"/>
                <w:szCs w:val="22"/>
                <w:lang w:eastAsia="en-US"/>
              </w:rPr>
              <w:t>Краткое описание</w:t>
            </w:r>
          </w:p>
        </w:tc>
      </w:tr>
      <w:tr>
        <w:trPr>
          <w:trHeight w:val="536" w:hRule="atLeast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АИСА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ИС МПК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Из ИС МПК в АИСА в рамках данной интеграции загружается следующая информация:</w:t>
            </w:r>
          </w:p>
          <w:p>
            <w:pPr>
              <w:pStyle w:val="Normal"/>
              <w:numPr>
                <w:ilvl w:val="0"/>
                <w:numId w:val="30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список контрагентов ИА ПАО «РусГидро», филиалов, ПО и ДО с информацией по ним;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Список контрагентов ПО с информацией по ним передается по данным, предоставленным ПО. Данные грузятся раз в квартал автоматически по настроенному расписанию.</w:t>
            </w:r>
          </w:p>
          <w:p>
            <w:pPr>
              <w:pStyle w:val="Normal"/>
              <w:numPr>
                <w:ilvl w:val="0"/>
                <w:numId w:val="30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расширенная справка по юр. лицу.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 по запросу из АИСА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ИС МПК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АИСУЗ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Функциональный объём интеграции между ИС МПК и АИСУЗ состоит из следующих интеграционных потоков:</w:t>
            </w:r>
          </w:p>
          <w:p>
            <w:pPr>
              <w:pStyle w:val="Normal"/>
              <w:numPr>
                <w:ilvl w:val="0"/>
                <w:numId w:val="30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реестр аккредитации и его изменения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 по запросу из ИС МПК к ЕИП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АИСА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Из АИСА в ИС МПК в рамках данной интеграции загружается следующая информация:</w:t>
            </w:r>
          </w:p>
          <w:p>
            <w:pPr>
              <w:pStyle w:val="Normal"/>
              <w:numPr>
                <w:ilvl w:val="0"/>
                <w:numId w:val="31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список декларантов с перечнем их родственников и персональных данных по ним;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раз в полгода автоматически по настроенному расписанию.</w:t>
            </w:r>
          </w:p>
          <w:p>
            <w:pPr>
              <w:pStyle w:val="Normal"/>
              <w:numPr>
                <w:ilvl w:val="0"/>
                <w:numId w:val="31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список кандидатов (декларирующихся и недекларирующихся) с перечнем их родственников и персональных данных по ним;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ежемесячно автоматически по настроенному расписанию.</w:t>
            </w:r>
          </w:p>
          <w:p>
            <w:pPr>
              <w:pStyle w:val="Normal"/>
              <w:numPr>
                <w:ilvl w:val="0"/>
                <w:numId w:val="31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список сотрудников организаций Группы РусГидро с информацией по ним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Список сотрудников ПО и информация по ним передается по данным, предоставленным ПО. Данные грузятся раз в квартал автоматически по настроенному расписанию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ИС ПИР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Функциональный объём реализованной интеграции между информационными системами ИС МПК и ИС ПИР состоит из следующих интеграционных потоков:</w:t>
            </w:r>
          </w:p>
          <w:p>
            <w:pPr>
              <w:pStyle w:val="Normal"/>
              <w:numPr>
                <w:ilvl w:val="0"/>
                <w:numId w:val="31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общих сведений об исковых работах;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 по запросу, который осуществляется ежедневно и по расписанию.</w:t>
            </w:r>
          </w:p>
          <w:p>
            <w:pPr>
              <w:pStyle w:val="Normal"/>
              <w:numPr>
                <w:ilvl w:val="0"/>
                <w:numId w:val="31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прилагаемых к исковым работам файлов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 по требованию (запрос направляется автоматически, когда осуществляется загрузка общих сведений об исковых работах)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ИС МАГНИТ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Из ИС МАГНИТ в ИС МПК передается организационно-штатная структура Группы РусГидро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 по запросу из ИС МПК к ЕИП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ИАС СФИНКС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Функциональный объём интеграции состоит из следующих потоков данных: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расширенной справки по российской компании;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ежеквартально, по текущим контрагентам Общества. А также предусмотрена пользовательская загрузка, инициированная из интерфейса ИС МПК по интересующей компании.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краткой справки по индивидуальному предпринимателю;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ежеквартально, по ИП, являющимся текущими контрагентами Общества. А также предусмотрена пользовательская загрузка, инициированная из интерфейса ИС МПК по ИП.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актуальной информации о совладельцах, филиалах, дочерних компаниях и некоммерческих партнерствах компании по данным самой компании (из анкеты эмитента), Росстата и ЕГРЮЛ;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ежеквартально, по текущим контрагентам Общества. А также предусмотрена пользовательская загрузка, инициированная из интерфейса ИС МПК по интересующей компании.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информации о структуре владения российской, украинской, казахской компанией;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списка выданных компании лицензий;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ежегодно, по текущим контрагентам Общества. А также предусмотрена пользовательская загрузка, инициированная из интерфейса ИС МПК по интересующей компании.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бухгалтерской отчетности;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ежегодно, по текущим контрагентам Общества.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факторов риска;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Получение информации о исполнительных производствах российских компаний;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ежеквартально, по текущим контрагентам Общества.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Добавление компаний (юр. лиц) в список мониторинга;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Добавление ИП в список мониторинга;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разово, по текущим и вновь появившимся контрагентам Общества.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Удаление из списка мониторинга компаний (юр. лиц);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Удаление из списка мониторинга ИП;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разово, по контрагентам, с которыми срок договора истек.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Получение краткого списка изменений по компаниям из списка мониторинга;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Получение подробной информации по изменениям по компании;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Получение краткого списка изменений по ИП из списка мониторинга;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Получение подробной информации по изменениям ИП;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 и ежедневно.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списка бывших совладельцев компании по данным ЕГРЮЛ, Росстата и данным компании;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исторических сведений о дочерних компаниях по данным источников ЕГРЮЛ, Росстат и Данные компании;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списка предшественников / преемников реорганизации.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автоматически, разово, по текущим и вновь появившимся контрагентам Общества. А также предусмотрена пользовательская загрузка, инициированная из интерфейса ИС МПК по интересующей компании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1С:ФЭУ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Функциональный объём интеграции между информационными системами ИС МПК и 1С:ФЭУ состоит из следующих потоков данных: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информации по контрагентам Общества.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Данные грузятся автоматически из 1С:ФЭУ в ИС МПК.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ЕСУ НСИ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Функциональный объём интеграции между информационными системами ИС МПК и ЕСУ НСИ состоит из следующих потоков данных:</w:t>
            </w:r>
          </w:p>
          <w:p>
            <w:pPr>
              <w:pStyle w:val="Normal"/>
              <w:numPr>
                <w:ilvl w:val="0"/>
                <w:numId w:val="32"/>
              </w:numPr>
              <w:ind w:hanging="0" w:left="0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Загрузка информации по контрагентам Общества.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DaData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Функциональный объём интеграции между информационными системами ИС МПК и DaData состоит из вызова метода стандартизации адреса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 xml:space="preserve">Данные грузятся автоматически по запросу из ИС МПК к </w:t>
            </w:r>
            <w:r>
              <w:rPr>
                <w:rFonts w:eastAsia="Calibri"/>
                <w:color w:val="auto"/>
                <w:spacing w:val="-2"/>
                <w:sz w:val="22"/>
                <w:szCs w:val="22"/>
                <w:lang w:val="en-US" w:eastAsia="en-US"/>
              </w:rPr>
              <w:t>DaData</w:t>
            </w:r>
          </w:p>
        </w:tc>
      </w:tr>
      <w:tr>
        <w:trPr>
          <w:trHeight w:val="536" w:hRule="atLeast"/>
        </w:trPr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" w:leader="none"/>
              </w:tabs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Яндекс.</w:t>
              <w:br/>
              <w:t>Карты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rFonts w:eastAsia="Calibri"/>
                <w:color w:val="auto"/>
                <w:spacing w:val="-2"/>
                <w:sz w:val="22"/>
                <w:szCs w:val="22"/>
                <w:lang w:eastAsia="en-US"/>
              </w:rPr>
              <w:t>Функциональный объём интеграции между информационными системами ИС МПК и Яндекс.Карты состоит из загрузки виджета по встраиваемой ссылке</w:t>
            </w:r>
          </w:p>
        </w:tc>
      </w:tr>
    </w:tbl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10" w:name="__RefHeading___Toc10743_3455020820"/>
      <w:bookmarkEnd w:id="10"/>
      <w:r>
        <w:rPr>
          <w:color w:val="auto"/>
          <w:lang w:val="ru-RU"/>
        </w:rPr>
        <w:t>Использование Системой существующих информационных сервисов</w:t>
      </w:r>
    </w:p>
    <w:p>
      <w:pPr>
        <w:pStyle w:val="Normal"/>
        <w:spacing w:before="113" w:after="113"/>
        <w:ind w:firstLine="567"/>
        <w:jc w:val="both"/>
        <w:rPr/>
      </w:pPr>
      <w:r>
        <w:rPr>
          <w:color w:val="auto"/>
          <w:szCs w:val="24"/>
          <w:lang w:eastAsia="x-none"/>
        </w:rPr>
        <w:t>Система использует следующие существующие информационные сервисы Общества:</w:t>
      </w:r>
    </w:p>
    <w:p>
      <w:pPr>
        <w:pStyle w:val="Normal"/>
        <w:numPr>
          <w:ilvl w:val="0"/>
          <w:numId w:val="24"/>
        </w:numPr>
        <w:spacing w:before="113" w:after="113"/>
        <w:jc w:val="both"/>
        <w:rPr/>
      </w:pPr>
      <w:r>
        <w:rPr>
          <w:color w:val="auto"/>
          <w:szCs w:val="24"/>
          <w:lang w:eastAsia="x-none"/>
        </w:rPr>
        <w:t>Система резервного копирования.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11" w:name="__RefHeading___Toc10745_3455020820"/>
      <w:bookmarkEnd w:id="11"/>
      <w:r>
        <w:rPr>
          <w:color w:val="auto"/>
          <w:lang w:val="ru-RU"/>
        </w:rPr>
        <w:t>Особенности реализации Системы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ИС МПК включает в себя Личный кабинет контрагентов.</w:t>
      </w:r>
    </w:p>
    <w:p>
      <w:pPr>
        <w:pStyle w:val="Heading1"/>
        <w:keepLines/>
        <w:numPr>
          <w:ilvl w:val="0"/>
          <w:numId w:val="0"/>
        </w:numPr>
        <w:spacing w:before="113" w:after="113"/>
        <w:ind w:hanging="0" w:left="0"/>
        <w:rPr>
          <w:color w:val="auto"/>
        </w:rPr>
      </w:pPr>
      <w:bookmarkStart w:id="12" w:name="__RefHeading___Toc62237_3104815314"/>
      <w:bookmarkEnd w:id="12"/>
      <w:r>
        <w:rPr>
          <w:color w:val="auto"/>
          <w:sz w:val="24"/>
          <w:szCs w:val="24"/>
          <w:lang w:val="ru-RU"/>
        </w:rPr>
        <w:t>Таблица 1. Перечень объектов Заказчика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1843"/>
        <w:gridCol w:w="2737"/>
        <w:gridCol w:w="2970"/>
        <w:gridCol w:w="1551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color w:val="auto"/>
                <w:szCs w:val="24"/>
              </w:rPr>
              <w:t>(место оказания услуг)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113" w:after="113"/>
              <w:ind w:left="0"/>
              <w:contextualSpacing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ИС МПК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г. Красноярск,</w:t>
              <w:br/>
              <w:t xml:space="preserve">ул. Перенсона, д. 2А </w:t>
              <w:br/>
              <w:t xml:space="preserve">(услуга оказывается </w:t>
              <w:br/>
              <w:t>дистанционно)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ИС МПК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113" w:after="113"/>
              <w:jc w:val="center"/>
              <w:rPr>
                <w:color w:val="auto"/>
              </w:rPr>
            </w:pPr>
            <w:r>
              <w:rPr>
                <w:iCs/>
                <w:color w:val="auto"/>
                <w:szCs w:val="24"/>
              </w:rPr>
              <w:t>-</w:t>
            </w:r>
          </w:p>
        </w:tc>
      </w:tr>
    </w:tbl>
    <w:p>
      <w:pPr>
        <w:pStyle w:val="Heading1"/>
        <w:keepLines/>
        <w:numPr>
          <w:ilvl w:val="0"/>
          <w:numId w:val="3"/>
        </w:numPr>
        <w:spacing w:before="227" w:after="227"/>
        <w:ind w:hanging="0" w:left="0"/>
        <w:jc w:val="center"/>
        <w:rPr>
          <w:color w:val="auto"/>
        </w:rPr>
      </w:pPr>
      <w:bookmarkStart w:id="13" w:name="__RefHeading___Toc62241_3104815314"/>
      <w:bookmarkEnd w:id="13"/>
      <w:r>
        <w:rPr>
          <w:iCs/>
          <w:color w:val="auto"/>
          <w:lang w:val="ru-RU"/>
        </w:rPr>
        <w:t>Требования к услугам</w:t>
      </w:r>
    </w:p>
    <w:p>
      <w:pPr>
        <w:pStyle w:val="Heading4"/>
        <w:numPr>
          <w:ilvl w:val="1"/>
          <w:numId w:val="3"/>
        </w:numPr>
        <w:spacing w:before="113" w:after="113"/>
        <w:ind w:hanging="431" w:left="431"/>
        <w:rPr>
          <w:color w:val="auto"/>
        </w:rPr>
      </w:pPr>
      <w:bookmarkStart w:id="14" w:name="__RefHeading___Toc62243_3104815314"/>
      <w:bookmarkEnd w:id="14"/>
      <w:r>
        <w:rPr>
          <w:color w:val="auto"/>
          <w:lang w:val="ru-RU"/>
        </w:rPr>
        <w:t>Требования к объемам и срокам оказания услуг</w:t>
      </w:r>
    </w:p>
    <w:p>
      <w:pPr>
        <w:pStyle w:val="Heading4"/>
        <w:numPr>
          <w:ilvl w:val="2"/>
          <w:numId w:val="3"/>
        </w:numPr>
        <w:spacing w:before="113" w:after="113"/>
        <w:rPr>
          <w:color w:val="auto"/>
        </w:rPr>
      </w:pPr>
      <w:bookmarkStart w:id="15" w:name="__RefHeading___Toc62243_3104815314_Копия"/>
      <w:bookmarkEnd w:id="15"/>
      <w:r>
        <w:rPr>
          <w:color w:val="auto"/>
          <w:lang w:val="ru-RU"/>
        </w:rPr>
        <w:t>Требования к перечню и объёму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Объем выполнения услуг определяется в соответствии с требованиями по качеству оказания услуг и соглашению об уровне предоставления услуг (SLA).</w:t>
      </w:r>
    </w:p>
    <w:p>
      <w:pPr>
        <w:pStyle w:val="Heading1"/>
        <w:keepLines/>
        <w:numPr>
          <w:ilvl w:val="0"/>
          <w:numId w:val="0"/>
        </w:numPr>
        <w:spacing w:before="113" w:after="113"/>
        <w:ind w:hanging="0" w:left="0"/>
        <w:rPr>
          <w:color w:val="auto"/>
        </w:rPr>
      </w:pPr>
      <w:bookmarkStart w:id="16" w:name="__RefHeading___Toc62245_3104815314"/>
      <w:bookmarkEnd w:id="16"/>
      <w:r>
        <w:rPr>
          <w:color w:val="auto"/>
          <w:sz w:val="24"/>
          <w:szCs w:val="24"/>
          <w:lang w:val="ru-RU"/>
        </w:rPr>
        <w:t>Таблица 2. Перечень оказываемых услуг</w:t>
      </w:r>
    </w:p>
    <w:tbl>
      <w:tblPr>
        <w:tblW w:w="9924" w:type="dxa"/>
        <w:jc w:val="left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715"/>
        <w:gridCol w:w="9208"/>
      </w:tblGrid>
      <w:tr>
        <w:trPr>
          <w:cantSplit w:val="true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5" w:after="45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№</w:t>
            </w:r>
            <w:r>
              <w:rPr>
                <w:b/>
                <w:bCs/>
                <w:color w:val="auto"/>
                <w:szCs w:val="24"/>
              </w:rPr>
              <w:br/>
              <w:t>п/п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5" w:after="45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Наименование услуг / этапа услуг</w:t>
            </w:r>
          </w:p>
        </w:tc>
      </w:tr>
      <w:tr>
        <w:trPr>
          <w:trHeight w:val="388" w:hRule="atLeast"/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5" w:after="45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5" w:after="45"/>
              <w:jc w:val="center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2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Перечень задач в рамках обеспечения работоспособности и производительности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процедур штатного обслуживания (регламентно-профилактических работ) согласно Регламенту штатного обслуживания Системы с ведением журнала выполненных работ.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1.2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45" w:after="45"/>
              <w:jc w:val="both"/>
              <w:rPr>
                <w:color w:val="auto"/>
              </w:rPr>
            </w:pPr>
            <w:r>
              <w:rPr>
                <w:color w:val="auto"/>
                <w:szCs w:val="24"/>
                <w:lang w:eastAsia="x-none"/>
              </w:rPr>
              <w:t>Анализ и решение Проблем, выявленных в процессе эксплуатации Системы, с последующим формированием базы знаний «известных ошибок» по их устранению.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Осуществление контроля и анализа состояния Системы с помощью системы мониторинга Заказчика с последующей выдачей рекомендаций по повышению производительности.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1.4.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Проведение восстановительных работ.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1.5.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Обеспечение накопления и анализа данных об ошибках, сбоях и отказах Системы в процессе эксплуатации с последующим предоставлением отчетности Заказчику с указанием выполненного комплекса мероприятий для устранения и предотвращения повторного возникновения ошибок, сбоев и отказов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1.6.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Обеспечение требуемого уровня предоставления услуги в соответствие с SLA.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1.7.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Устранение отказов и сбоев в работе Системы, выявленных в процессе эксплуатации.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1.8.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Исправление ошибок в работе Системы, выявленных в результате мониторинга системы, анализа обращений пользователей, проблем и нештатных ситуаций.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1.9.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Разработка и применение предложений по альтернативной настройке и применению обходного решения и/или предоставление исправлений (патчей), устраняющих выявленную Проблему.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1.10.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Обновление эксплуатационной документации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</w:rPr>
              <w:t>Внесение изменений в проектные решения Системы в целях восстановления штатной конфигурации и режима функционирования.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незначительных доработок в Системе, не затрагивающих основные технические решения.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1.13.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Обеспечение работоспособности интеграционных решений систем, входящих в состав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Перечень задач в рамках обеспечения поддержки пользователей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2.1.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Консультационная поддержка Заказчика (в т.ч. пользователей Системы Заказчика) по вопросам по возможностям и работоспособности Системы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2.2.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запросов на обслуживание пользователей Системы (предоставление сервисов Системы, управление компонентами Системы)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2.3.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Функциональное администрирование Системы (оказание методологической поддержки пользователям Системы).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Перечень задач в рамках осуществления настройки Системы по заявкам Заказчика.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3.1.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</w:rPr>
              <w:t>Документирование текущих конфигурации и состояния Системы.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</w:rPr>
              <w:t>Внесение изменений в конфигурацию и настройка Системы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3.3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Выполнение доработок Системы без изменения основной функциональности (объемом не более 10 рабочих часов в месяц)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3.2.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Проведение анализа необходимости внесения изменений в Системе с последующей выдачей рекомендаций Заказчику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3.3.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Формирование и согласование с Заказчиком частных технических заданий (далее – ЧТЗ) в случае необходимости внесения изменений/незначительных доработок в Системе. В ЧТЗ Исполнителем описывается: суть изменения, предлагаемое решение с оценкой трудоемкости и рисков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3.4.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В случае выхода релиза (обновления Системы) Исполнителем должно быть представлено описание исправленных ошибок, выполненных изменений/незначительных доработок, вошедших в релиз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45" w:after="45"/>
              <w:ind w:left="0"/>
              <w:contextualSpacing w:val="false"/>
              <w:rPr>
                <w:color w:val="auto"/>
              </w:rPr>
            </w:pPr>
            <w:r>
              <w:rPr>
                <w:color w:val="auto"/>
              </w:rPr>
              <w:t>3.5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45" w:after="45"/>
              <w:rPr>
                <w:color w:val="auto"/>
              </w:rPr>
            </w:pPr>
            <w:r>
              <w:rPr>
                <w:color w:val="auto"/>
                <w:szCs w:val="24"/>
              </w:rPr>
              <w:t>Проведение установки обновлений ПО Системы.</w:t>
            </w:r>
          </w:p>
        </w:tc>
      </w:tr>
    </w:tbl>
    <w:p>
      <w:pPr>
        <w:pStyle w:val="Heading4"/>
        <w:widowControl/>
        <w:numPr>
          <w:ilvl w:val="0"/>
          <w:numId w:val="0"/>
        </w:numPr>
        <w:suppressAutoHyphens w:val="true"/>
        <w:spacing w:lineRule="auto" w:line="276" w:before="113" w:after="113"/>
        <w:ind w:hanging="431" w:left="431"/>
        <w:jc w:val="both"/>
        <w:rPr>
          <w:color w:val="auto"/>
        </w:rPr>
      </w:pPr>
      <w:r>
        <w:rPr>
          <w:color w:val="auto"/>
        </w:rPr>
      </w:r>
      <w:r>
        <w:br w:type="page"/>
      </w:r>
    </w:p>
    <w:p>
      <w:pPr>
        <w:pStyle w:val="Heading4"/>
        <w:numPr>
          <w:ilvl w:val="2"/>
          <w:numId w:val="3"/>
        </w:numPr>
        <w:spacing w:before="113" w:after="113"/>
        <w:ind w:hanging="431" w:left="431"/>
        <w:rPr>
          <w:color w:val="auto"/>
        </w:rPr>
      </w:pPr>
      <w:bookmarkStart w:id="17" w:name="__RefHeading___Toc62247_3104815314"/>
      <w:bookmarkEnd w:id="17"/>
      <w:r>
        <w:rPr>
          <w:color w:val="auto"/>
          <w:lang w:val="ru-RU"/>
        </w:rPr>
        <w:t>Требования к срокам оказания услуг</w:t>
      </w:r>
    </w:p>
    <w:p>
      <w:pPr>
        <w:pStyle w:val="Normal"/>
        <w:spacing w:lineRule="auto" w:line="276" w:before="113" w:after="113"/>
        <w:ind w:firstLine="567"/>
        <w:rPr>
          <w:color w:val="auto"/>
        </w:rPr>
      </w:pPr>
      <w:r>
        <w:rPr>
          <w:color w:val="auto"/>
          <w:szCs w:val="24"/>
        </w:rPr>
        <w:t>Услуги оказываются Исполнителем в следующие сроки: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Начало оказания услуг: 01.04.2027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Окончание оказания услуг: 31.03.2028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 w:val="24"/>
          <w:szCs w:val="24"/>
        </w:rPr>
        <w:t>Все услуги из Таблицы 2 объединены в единую услугу «Сопровождение ИС МПК» и должны осуществляться в соответствии с этапами, приведенными в таблице, а также сопровождаться в конце каждого этапа отчетными документами: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Отчет по качеству предоставления услуг (Приложение № 2);</w:t>
      </w:r>
    </w:p>
    <w:p>
      <w:pPr>
        <w:pStyle w:val="Normal"/>
        <w:numPr>
          <w:ilvl w:val="0"/>
          <w:numId w:val="25"/>
        </w:numPr>
        <w:spacing w:lineRule="auto" w:line="276" w:before="113" w:after="113"/>
        <w:rPr/>
      </w:pPr>
      <w:r>
        <w:rPr>
          <w:color w:val="auto"/>
        </w:rPr>
        <w:t>Универсальный передаточный документ (УПД)</w:t>
      </w:r>
    </w:p>
    <w:p>
      <w:pPr>
        <w:pStyle w:val="Heading1"/>
        <w:pageBreakBefore w:val="false"/>
        <w:numPr>
          <w:ilvl w:val="0"/>
          <w:numId w:val="0"/>
        </w:numPr>
        <w:spacing w:before="113" w:after="113"/>
        <w:ind w:hanging="0" w:left="0"/>
        <w:rPr/>
      </w:pPr>
      <w:bookmarkStart w:id="18" w:name="__RefHeading___Toc62249_3104815314"/>
      <w:bookmarkEnd w:id="18"/>
      <w:r>
        <w:rPr>
          <w:color w:val="auto"/>
          <w:sz w:val="24"/>
          <w:szCs w:val="24"/>
          <w:lang w:val="ru-RU"/>
        </w:rPr>
        <w:t>Таблица 3. Требования к срокам оказания услуг</w:t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9"/>
        <w:gridCol w:w="4561"/>
        <w:gridCol w:w="1980"/>
        <w:gridCol w:w="2103"/>
      </w:tblGrid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br/>
              <w:t>этапа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Требования к началу срока оказания услуг / этапа услуг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57" w:after="57"/>
              <w:ind w:left="0" w:right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57" w:after="57"/>
              <w:ind w:left="0" w:right="0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01.04.2027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30.04.2027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01.05.2027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31.05.2027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01.06.2027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30.06.2027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01.07.2027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31.07.2027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01.08.2027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31.08.2027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01.09.2027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30.09.2027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01.10.2027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31.10.2027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01.11.2027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30.11.2027</w:t>
            </w:r>
          </w:p>
        </w:tc>
      </w:tr>
      <w:tr>
        <w:trPr/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01.12.2027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31.12.2027</w:t>
            </w:r>
          </w:p>
        </w:tc>
      </w:tr>
      <w:tr>
        <w:trPr/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01.01.2028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31.01.2028</w:t>
            </w:r>
          </w:p>
        </w:tc>
      </w:tr>
      <w:tr>
        <w:trPr/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01.02.2028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29.02.2028</w:t>
            </w:r>
          </w:p>
        </w:tc>
      </w:tr>
      <w:tr>
        <w:trPr/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Сопровождение ИС МПК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01.03.2028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31.03.2028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0" w:gutter="0" w:header="850" w:top="1304" w:footer="0" w:bottom="850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Heading4"/>
        <w:numPr>
          <w:ilvl w:val="1"/>
          <w:numId w:val="3"/>
        </w:numPr>
        <w:ind w:hanging="0" w:left="0"/>
        <w:rPr>
          <w:color w:val="auto"/>
        </w:rPr>
      </w:pPr>
      <w:bookmarkStart w:id="19" w:name="__RefHeading___Toc62251_3104815314"/>
      <w:bookmarkEnd w:id="19"/>
      <w:r>
        <w:rPr>
          <w:color w:val="auto"/>
          <w:lang w:val="ru-RU"/>
        </w:rPr>
        <w:t>Требования к качеству услуги</w:t>
      </w:r>
    </w:p>
    <w:p>
      <w:pPr>
        <w:pStyle w:val="Heading1"/>
        <w:keepLines/>
        <w:numPr>
          <w:ilvl w:val="0"/>
          <w:numId w:val="0"/>
        </w:numPr>
        <w:spacing w:before="113" w:after="113"/>
        <w:ind w:hanging="0" w:left="0"/>
        <w:rPr>
          <w:color w:val="auto"/>
        </w:rPr>
      </w:pPr>
      <w:bookmarkStart w:id="20" w:name="__RefHeading___Toc62253_3104815314"/>
      <w:bookmarkEnd w:id="20"/>
      <w:r>
        <w:rPr>
          <w:color w:val="auto"/>
          <w:sz w:val="24"/>
          <w:szCs w:val="24"/>
          <w:lang w:val="ru-RU"/>
        </w:rPr>
        <w:t xml:space="preserve">Таблица 4. Требования к качеству услуги </w:t>
      </w:r>
    </w:p>
    <w:p>
      <w:pPr>
        <w:pStyle w:val="Normal"/>
        <w:spacing w:before="113" w:after="113"/>
        <w:jc w:val="both"/>
        <w:rPr>
          <w:color w:val="auto"/>
        </w:rPr>
      </w:pPr>
      <w:r>
        <w:rPr>
          <w:b/>
          <w:bCs/>
          <w:color w:val="auto"/>
          <w:szCs w:val="24"/>
        </w:rPr>
        <w:t>Наименование услуг/этапа услуг:</w:t>
      </w:r>
      <w:r>
        <w:rPr>
          <w:color w:val="auto"/>
          <w:szCs w:val="24"/>
        </w:rPr>
        <w:t xml:space="preserve"> Сопровождение ИС МПК.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4"/>
        <w:gridCol w:w="1691"/>
        <w:gridCol w:w="6877"/>
        <w:gridCol w:w="1742"/>
        <w:gridCol w:w="2488"/>
        <w:gridCol w:w="1625"/>
      </w:tblGrid>
      <w:tr>
        <w:trPr/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  <w:r>
              <w:rPr>
                <w:b/>
                <w:bCs/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Наименование параметра</w:t>
            </w:r>
          </w:p>
        </w:tc>
        <w:tc>
          <w:tcPr>
            <w:tcW w:w="6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Требование заказчика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68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Согласие с требованием / указание характеристик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Общие требования к контролю качества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eastAsia="x-none"/>
              </w:rPr>
              <w:t>Заказчик контролирует качество оказания услуг в соответствии с показателями, приведенными в Приложении №3.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eastAsia="x-none"/>
              </w:rPr>
              <w:t>Контроль качества осуществляется посредством предоставления Исполнителем отчетов по качеству предоставления услуг, определенной в Приложении № 2.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  <w:lang w:eastAsia="x-none"/>
              </w:rPr>
              <w:t>Контроль исполнения требований субподрядчиками Исполнителя (при их наличии) осуществляется посредством предоставления Исполнителем отчетов по исполнению требований соответствующего договора субподряда по запросу Заказчика.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взаимодействию сторон в процессе оказания Услуги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Взаимодействие представителей Заказчика и Исполнителя осуществляется через КСА СПП Заказчика по форме, согласованной в Обществе, а также помимо этого может осуществляться лично, по телефону, либо посредством электронной почты.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Заявка подается пользователями в произвольной форме, и должна содержать следующую информацию: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Ф.И.О., номер телефона, местоположения пользователя, адрес электронной почты пользователя Заказчика;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Полное описание возникшей ситуации, при необходимости содержащее копии экранных форм, сообщения об ошибках и т.п.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При возникновении у Заказчика и/или пользователей Заказчика инцидента, проблемы, аварии, вопроса или предложения при эксплуатации Системы, Заказчик уведомляет об этом Исполнителя путем направления обращения (здесь и далее под Обращением понимается заявка пользователя Заказчика, зафиксированная в КСА СПП). 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По факту выяснения причины, вызвавшей Обращение (совместно с контактным лицом Заказчика и пользователем Заказчика) Исполнитель незамедлительно фиксирует данную информацию в обрабатываемом Обращении.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Решение о необходимых действиях для устранения Инцидента, выполнения ЗНО принимается специалистами Исполнителя на основании Обращения. Исполнитель в обязательном порядке фиксирует выполненные действия в обрабатываемом Обращении. При этом рекомендуется указывать суммарные трудозатраты на решение Обращения.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pacing w:val="-4"/>
                <w:sz w:val="22"/>
                <w:szCs w:val="22"/>
              </w:rPr>
              <w:t>В суммарные трудозатраты входит время на изучение проблемы, формирование решения, выполнение необходимых действий.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 xml:space="preserve">Обращение считается закрытым с момента выполнения заявки, подтвержденного реакцией Заказчика/пользователя Заказчика на запрос закрытия Обращения при условии восстановления работоспособности Системы. 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В случае, если в ходе процесса по устранению технической проблемы по обращению было выявлено, что проблема связана с другими сервисами, не входящими в зону ответственности по данному сервису, сроки и процесс устранения могут быть изменены.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Контрольное время закрытия Обращения не должно превышать установленного времени в Соглашении об уровне обслуживания для услуги.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Все техническое обслуживание, проводимое Исполнителем по собственной инициативе по согласованию с Заказчиком, или по заявке, полученной лично, по телефону либо посредством электронной почты, должно быть описано в системе КСА СПП указанным выше способом.</w:t>
            </w:r>
          </w:p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Организация поддержки пользователей Системы должна проводиться в соответствии с действующими в организации Заказчика регламентами.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iCs/>
                <w:color w:val="auto"/>
                <w:sz w:val="22"/>
                <w:szCs w:val="22"/>
              </w:rPr>
              <w:t>Услуга оказывается всеми необходимыми и имеющимися средствами и способами взаимодействия между Исполнителем и Заказчиком.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составу и содержанию мероприятий по обеспечению сопровождения Системы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Для создания условий, при которых гарантируется соответствие оказываемых услуг по сопровождению Системы настоящим Техническим требованиям, Заказчиком должен быть проведен комплекс технических и организационных мероприятий, включающий, как минимум: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Организацию рабочего места Исполнителя через удаленный доступ соответствующих специалистов Исполнителя в корпоративную сеть Заказчика по действующим в Обществе процедурам предоставления доступа и на срок действия Договора по данному проекту. Заказчик предоставляет удаленный доступ к Системе.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Организацию на базе инфраструктуры Заказчика тестовой среды для функционального тестирования, в случае необходимости.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Организацию доступа ключевых пользователей к тестовой среде на этапе функционального тестирования, в случае необходимости.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Организацию установки и обновления Системы в тестовой и рабочей среде в соответствии с регламентами управления изменениями, действующими в организации Заказчика.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Согласование передаваемой эксплуатационной документации.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Назначение ответственных за эксплуатацию Системы со стороны Заказчика, передачу Исполнителем Заказчику всех системных учетных записей и паролей.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Иные организационные мероприятия для обеспечения эксплуатации и незначительных доработок систем.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SLA (соглашению об уровне предоставления услуги) и контролю качества предоставления услуги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Заказчик контролирует качество оказания услуг в соответствии с показателями, приведенными в п 2.3.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Показатели качества предоставления услуги (ПКПУ) определяется в соответствии с Методикой оценки качества предоставления услуг и параметрами SLA.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Методика оценки качества предоставления услуг приведена в Приложении №3 к ТТ.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по аварийному восстановлению работоспособности Системы</w:t>
            </w:r>
          </w:p>
        </w:tc>
        <w:tc>
          <w:tcPr>
            <w:tcW w:w="6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В случае возникновения НШС, срок восстановления штатной работы Системы определяется в соответствии с Соглашением об уровне предоставления услуги.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После восстановления системы должен быть проведен анализ причин НШС и оценка исполнения процедур восстановления, вся информацию должна быть занесена в КСА СПП.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В случае обнаружения Исполнителем НШС 1 уровня, сотрудники Центральной диспетчерской Заказчика, Центра мониторинга Заказчика должны быть оповещены ответственным специалистом Исполнителя о прекращении услуги в связи с аварией по электронной почте или с помощью других средств связи.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проведению регламентно-профилактических работ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Регламентные профилактические работы проводятся на оборудовании и программном обеспечении Заказчика по эксплуатационно-технологическим картам (ЭТК) Системы с целью поддержки работоспособности, оптимизации настроек конфигураций и программного обеспечения систем, а также устранение выявленных проблем.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Исполнитель проводит регламентные профилактические работы в соответствии с Планом-графиком проведения регламентных профилактических работ. План-график проведения работ составляется Исполнителем и согласуется с Заказчиком в течение 20 дней после подписания Договора.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Выполнение регламентно-профилактических работ фиксируется Исполнителем в КСА СПП Заказчика с указанием содержания работ, даты их выполнения и перечня ИТ-активов, на которых проводятся работы.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Исполнитель проводит работы с учетом рекомендаций, указанных в технической и эксплуатационной документации обслуживаемых ИТ-активов. Состав регламентных профилактических работ представляется, но не ограничивается работами, указанными в ТТ.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При обслуживании Системы перечень регламентно-профилактических работ включает в себя, но не ограничивается: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Контроль резервного копирования;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Мониторинг состояния сервера баз данных;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Мониторинг интеграции систем;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Мониторинг актуальности данных системы оповещения;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Установка обновлений;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Обновление внешних справочников;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Проверка возможности доступа, включая удаленный;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Мониторинг системных сообщений.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Допускается проведение плановых регламентных работ (влияющих на доступность услуги) в период с 20:00 до 2:00 по московскому времени. По возможности такие работы следует проводить в выходные или праздничные дни.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При проведении регламентных и профилактических работ максимальное время простоя и период снижения объёма и качества предоставления услуг должно составлять не более 6 часов в нерабочее время ПАО «РусГидро». Регламентные работы должны проводиться во время технологического окна.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Исполнитель услуги обязан согласовывать все плановые регламентные работы с Заказчиком за 3 рабочих дня до проведения работ. Исполнитель обязан предупредить Заказчика по электронной почте и согласовать недоступность по телефону. Исполнитель обязуется предупреждать уполномоченных сотрудников Заказчика, не менее чем за 24 часа до проведения соответствующих работ. Оповещение уполномоченных сотрудников Заказчика производится по электронной почте.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В случае необходимости проведения экстренных сервисных работ Исполнитель обязан согласовать их с Заказчиком не менее чем за 4 часа. Исполнитель обязан предупредить Заказчика по электронной почте и согласовать недоступность по телефону. Заказчик оповестит всех пользователей данной услуги, на которых окажут влияние данные работы, не менее чем за 4 часа до проведения соответствующих работ. Оповещение пользователей производится по электронной почте.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Состав регламентных работ определяется документом «Регламент штатного обслуживания» поддерживаемой ИС.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для выполнения возложенных на Исполнителя задач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Для выполнения возложенных на Исполнителя задач и функций он должен быть обеспечен необходимыми ресурсами, в том числе экономически обоснованными и квалифицированными трудовыми ресурсами, материально-техническими средствами, материалами, методической литературой.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квалификации и опыту персонала Исполнителя</w:t>
            </w:r>
          </w:p>
        </w:tc>
        <w:tc>
          <w:tcPr>
            <w:tcW w:w="6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Персонал Исполнителя, обеспечивающий оказание Услуги должен иметь соответствующую квалификацию и опыт. Для оказания Услуги Исполнитель должен выделить специалистов, аттестованных и сертифицированных вендором-разработчиком отечественной платформы «Вектор Плюс». Соответствие данному требованию подтверждается путем представления Исполнителем копий сертификатов по работе с платформой «Вектор Плюс».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/>
              <w:t>-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составу команды Исполнителя</w:t>
            </w:r>
          </w:p>
        </w:tc>
        <w:tc>
          <w:tcPr>
            <w:tcW w:w="6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Состав команды Исполнителя, выполняющей обслуживание, должен быть согласован с Заказчиком. Любой специалист команды Исполнителя должен быть выведен из команды при наличии мотивированного требования от Заказчика.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Требования к результатам у</w:t>
            </w:r>
            <w:r>
              <w:rPr>
                <w:b/>
                <w:color w:val="auto"/>
                <w:sz w:val="22"/>
                <w:szCs w:val="22"/>
              </w:rPr>
              <w:t>слуг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Общие требования к результатам услуг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объему оказываемых услуг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Услуга должна быть оказана в полном объеме, в течение всего срока, указанного в Таблице 3 к ТТ.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информационной безопасности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информационной безопасности должны обеспечиваться на всех стадиях жизненного цикла систем,  с учетом всех сторон,  вовлеченных в процессы жизненного цикла (разработчиков, заказчиков, поставщиков продуктов и услуг, эксплуатирующих и надзорных подразделений Общества) и в соответствии с действующими политиками, регламентами и ОРД Заказчика.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/>
            </w:pPr>
            <w:r>
              <w:rPr>
                <w:b/>
                <w:bCs/>
                <w:color w:val="auto"/>
                <w:sz w:val="22"/>
                <w:szCs w:val="22"/>
              </w:rPr>
              <w:t>Требования к приемке результата оказания у</w:t>
            </w:r>
            <w:r>
              <w:rPr>
                <w:b/>
                <w:color w:val="auto"/>
                <w:sz w:val="22"/>
                <w:szCs w:val="22"/>
              </w:rPr>
              <w:t>слуг</w:t>
            </w:r>
            <w:r>
              <w:rPr>
                <w:rStyle w:val="Style8"/>
                <w:b w:val="false"/>
                <w:bCs/>
                <w:i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приемке результата оказанных услуг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По итогам каждого отчетного периода Исполнитель должен представлять отчет (Приложение № 2), который должен содержать: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Сведения об оказанных услугах, фиксирующие результат оказанных услуг;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Краткое описание оказанных Исполнителем в этом периоде услуг, необходимость которых возникла по инициативе Заказчика и Исполнителя, исходя из требований технической документации разработчика Системы, а также решенных Обращений с указанием их номеров в КСА СПП;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Сведения о состоянии сервиса.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Форма Отчета должна быть согласована с Заказчиком в течение 7 рабочих дней с даты подписания Договора. Форма отчета может быть изменена во время исполнения договора по согласованию Исполнителя и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Из КСА СПП должен формироваться отчет и содержать следующие данные: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Статистику по обращениям (количество обработанных /просроченных /повторных за период). Сбор статистики осуществляется средствами КСА СПП.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Информацию о количестве обновлений Системы в течение отчетного периода.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Информацию о количестве и тематике консультаций, предоставленных сотрудникам ДИТ в течение отчетного периода, а также лице, предоставившем консультацию.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Значения следующих показателей (расчеты производятся в соответствии с методиками, принятыми у Заказчика): 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Качество предоставления ИТ-услуг;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Доля своевременно решенных нештатных ситуаций (НШС);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Доля своевременно реализованных RFC;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Отсутствие неавторизованных RFC;</w:t>
            </w:r>
          </w:p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57" w:after="57"/>
              <w:ind w:hanging="227" w:left="454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Доля своевременно решенных проблем.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В случае, если в течение отчетного периода выполнялись обновления Системы, то предоставляется Протокол оценки обновления, подписанный представителями Заказчика и Исполнителя.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Заказчик обеспечивает возможность формирования отчетов из КСА СПП, соответствующих требованиям Заказчика по всему составу параметров, которые фиксируются в КСА СПП.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57" w:after="57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формам результата оказанных услуг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Форма отчета по КПУ приведена в Приложение № 2 к ТТ.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57" w:after="57"/>
              <w:jc w:val="left"/>
              <w:rPr>
                <w:color w:val="auto"/>
              </w:rPr>
            </w:pPr>
            <w:r>
              <w:rPr>
                <w:b w:val="false"/>
                <w:color w:val="auto"/>
                <w:sz w:val="22"/>
                <w:szCs w:val="22"/>
              </w:rPr>
              <w:t>Соблюдение нормативных требований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Исполнитель в ходе оказания услуги соблюдает требования положений нормативной и иной обязательной для исполнителя документации, определяемой данной услугой.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57" w:after="57"/>
              <w:jc w:val="left"/>
              <w:rPr>
                <w:color w:val="auto"/>
              </w:rPr>
            </w:pPr>
            <w:bookmarkStart w:id="21" w:name="__RefHeading___Toc62255_3104815314"/>
            <w:bookmarkEnd w:id="21"/>
            <w:r>
              <w:rPr>
                <w:rFonts w:eastAsia="Times New Roman"/>
                <w:b w:val="false"/>
                <w:color w:val="auto"/>
                <w:sz w:val="22"/>
                <w:szCs w:val="22"/>
                <w:lang w:val="ru-RU" w:eastAsia="ru-RU"/>
              </w:rPr>
              <w:t>Требования к обновлению эксплуатационной документации</w:t>
            </w:r>
          </w:p>
        </w:tc>
        <w:tc>
          <w:tcPr>
            <w:tcW w:w="6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При необходимости Исполнитель производит внесение изменений в эксплуатационную документацию по результатам устранения отказов и сбоев. Если при проведении технического сопровождения Системы происходит изменение в  существующей согласованной конфигурации Системы, Исполнитель оформляет внесенные изменения в соответствующую эксплуатационную документацию с указанием в листе изменений даты и причины внесения: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Руководство пользователя;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Руководство администратора;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Регламент штатного обслуживания;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Регламент аварийного обслуживания;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Регламент резервного копирования;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Руководство диспетчера службы поддержки;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57" w:after="57"/>
              <w:ind w:hanging="0" w:left="0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Рабочая и проектная документации.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Актуализированные изменения должны вносится в эксплуатационную документацию в виде файлового документа и передаваться по электронной почте в эксплуатационное подразделение Заказчика.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Исполнитель должен обеспечить соответствие оказываемой услуги настоящим Техническим требованиям.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 обязательствам</w:t>
            </w:r>
          </w:p>
        </w:tc>
        <w:tc>
          <w:tcPr>
            <w:tcW w:w="6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Исполнитель должен выполнить обязательства по договору в соответствие с настоящим Техническим требованиям в полном объеме.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Требования к мониторингу состояния Системы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Мониторинг работоспособности Системы осуществляется с помощью системы мониторинга Заказчика 24 часа в сутки. В случае фиксации отклонений от заданных параметров системой мониторинга, Исполнителю направляется почтовое сообщение на предварительно настроенный, например, при сдаче в промышленную эксплуатацию Системы почтовый ящик для оценки состояния Системы и принятия Исполнителем мер упреждающих отказ, прекращение функционирования Системы.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Согласие с требованием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Прочие требования к оказываемым услугам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57" w:after="57"/>
              <w:ind w:hanging="0" w:left="0"/>
              <w:contextualSpacing w:val="fals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57" w:after="57"/>
              <w:jc w:val="left"/>
              <w:rPr>
                <w:color w:val="auto"/>
              </w:rPr>
            </w:pPr>
            <w:bookmarkStart w:id="22" w:name="__RefHeading___Toc62257_3104815314"/>
            <w:bookmarkEnd w:id="22"/>
            <w:r>
              <w:rPr>
                <w:rFonts w:eastAsia="Times New Roman"/>
                <w:b w:val="false"/>
                <w:color w:val="auto"/>
                <w:sz w:val="22"/>
                <w:szCs w:val="22"/>
                <w:lang w:val="ru-RU" w:eastAsia="ru-RU"/>
              </w:rPr>
              <w:t>Прочие требования</w:t>
            </w:r>
          </w:p>
        </w:tc>
        <w:tc>
          <w:tcPr>
            <w:tcW w:w="6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color w:val="auto"/>
              </w:rPr>
            </w:pPr>
            <w:r>
              <w:rPr>
                <w:b w:val="false"/>
                <w:color w:val="auto"/>
                <w:sz w:val="22"/>
                <w:szCs w:val="22"/>
                <w:lang w:val="ru-RU"/>
              </w:rPr>
              <w:t>Прочие требования к оказанию услуг отсутствуют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widowControl w:val="false"/>
              <w:spacing w:before="57" w:after="57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850" w:right="850" w:gutter="0" w:header="850" w:top="1304" w:footer="0" w:bottom="850"/>
          <w:pgNumType w:fmt="decimal"/>
          <w:formProt w:val="false"/>
          <w:textDirection w:val="lrTb"/>
          <w:docGrid w:type="default" w:linePitch="381" w:charSpace="8192"/>
        </w:sectPr>
      </w:pPr>
      <w:r>
        <w:br w:type="page"/>
      </w:r>
    </w:p>
    <w:p>
      <w:pPr>
        <w:pStyle w:val="Heading3"/>
        <w:numPr>
          <w:ilvl w:val="1"/>
          <w:numId w:val="3"/>
        </w:numPr>
        <w:ind w:hanging="0" w:left="0"/>
        <w:rPr>
          <w:color w:val="auto"/>
        </w:rPr>
      </w:pPr>
      <w:bookmarkStart w:id="23" w:name="__RefHeading___Toc62259_3104815314"/>
      <w:bookmarkEnd w:id="23"/>
      <w:r>
        <w:rPr>
          <w:color w:val="auto"/>
          <w:lang w:val="ru-RU"/>
        </w:rPr>
        <w:t xml:space="preserve">Соглашение об уровне предоставления услуги (SLA) 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b/>
          <w:bCs/>
          <w:color w:val="auto"/>
        </w:rPr>
        <w:t>Режим предоставления услуги.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pacing w:val="-2"/>
        </w:rPr>
        <w:t>Услуга предоставляется 24 часа в сутки 7 дней в неделю.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pacing w:val="-2"/>
        </w:rPr>
        <w:t xml:space="preserve">Запланированный простой услуги для проведения регламентных работ не более 24 часа в месяц в нерабочее время. 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Обработка Запросов на обслуживание, ЗНИ и Инцидентов низкой и средней срочности производится с 9:00 до 18:00 по Московскому времени в рабочие дни.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Работы по устранению НШС 1 и 2 уровня производятся - 24 часа в сутки 7 дней в неделю.</w:t>
      </w:r>
    </w:p>
    <w:p>
      <w:pPr>
        <w:pStyle w:val="Style38"/>
        <w:ind w:firstLine="567"/>
        <w:jc w:val="both"/>
        <w:rPr>
          <w:color w:val="auto"/>
        </w:rPr>
      </w:pPr>
      <w:r>
        <w:rPr>
          <w:b/>
          <w:bCs/>
          <w:color w:val="auto"/>
          <w:szCs w:val="24"/>
        </w:rPr>
        <w:t>Сроки решения обращений.</w:t>
      </w:r>
    </w:p>
    <w:p>
      <w:pPr>
        <w:pStyle w:val="Style38"/>
        <w:ind w:firstLine="567"/>
        <w:jc w:val="both"/>
        <w:rPr>
          <w:color w:val="auto"/>
        </w:rPr>
      </w:pPr>
      <w:r>
        <w:rPr>
          <w:color w:val="auto"/>
          <w:szCs w:val="24"/>
        </w:rPr>
        <w:t>Классификация инцидентов производится сотрудниками Центральной диспетчерской службой Заказчика.</w:t>
      </w:r>
    </w:p>
    <w:tbl>
      <w:tblPr>
        <w:tblW w:w="99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16"/>
        <w:gridCol w:w="6117"/>
        <w:gridCol w:w="2383"/>
      </w:tblGrid>
      <w:tr>
        <w:trPr>
          <w:tblHeader w:val="true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Срочность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Описание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Срок устранения Инцидента (часы)*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Низкая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 работе КЕ Сервиса, не привёл к его отказу. КЕ продолжает выполнять свои функции, однако для отдельного пользователя недоступна часть функционала Сервиса или снижено качество его предоставления.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Средняя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 работе КЕ Сервиса привёл к снижению его эксплуатационных свойств (снижению производительности, надёжности и т.д.) или недоступности Сервиса для отдельного пользователя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24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Высокая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lineRule="auto" w:line="276"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вызвал недоступность КЕ Сервиса, но Сервис функционирует за счёт схем резервирования. (НШС 2 уровня)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8</w:t>
            </w:r>
          </w:p>
        </w:tc>
      </w:tr>
      <w:tr>
        <w:trPr>
          <w:trHeight w:val="60" w:hRule="atLeast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Наивысшая</w:t>
            </w:r>
          </w:p>
        </w:tc>
        <w:tc>
          <w:tcPr>
            <w:tcW w:w="6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Инцидент вызвал недоступность одного или нескольких Сервисов Заказчика или Сервис недоступен для VIP пользователя. (НШС 1 уровня)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4</w:t>
            </w:r>
          </w:p>
        </w:tc>
      </w:tr>
    </w:tbl>
    <w:p>
      <w:pPr>
        <w:pStyle w:val="Style38"/>
        <w:jc w:val="both"/>
        <w:rPr>
          <w:color w:val="auto"/>
        </w:rPr>
      </w:pPr>
      <w:r>
        <w:rPr>
          <w:b/>
          <w:bCs/>
          <w:color w:val="auto"/>
          <w:szCs w:val="24"/>
        </w:rPr>
        <w:t>Решение Запросов на обслуживание.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61"/>
        <w:gridCol w:w="4959"/>
      </w:tblGrid>
      <w:tr>
        <w:trPr>
          <w:tblHeader w:val="true"/>
          <w:trHeight w:val="519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Уровень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Срок решения Запроса (часы)*</w:t>
            </w:r>
          </w:p>
        </w:tc>
      </w:tr>
      <w:tr>
        <w:trPr>
          <w:trHeight w:val="555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Базовый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24</w:t>
            </w:r>
          </w:p>
        </w:tc>
      </w:tr>
    </w:tbl>
    <w:p>
      <w:pPr>
        <w:pStyle w:val="Normal"/>
        <w:jc w:val="both"/>
        <w:rPr>
          <w:color w:val="auto"/>
        </w:rPr>
      </w:pPr>
      <w:r>
        <w:rPr>
          <w:color w:val="auto"/>
          <w:szCs w:val="24"/>
        </w:rPr>
        <w:t>* Время устранения инцидентов и выполнения запросов на обслуживание может быть изменено по взаимному соглашению Сторон с предварительным обоснованием причин необходимого изменения.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b/>
          <w:bCs/>
          <w:color w:val="auto"/>
          <w:szCs w:val="24"/>
        </w:rPr>
        <w:t>Запросы на изменение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Срок проведения изменений определяется индивидуально для каждого запроса по результатам согласования между Исполнителем и Заказчиком.</w:t>
      </w:r>
    </w:p>
    <w:p>
      <w:pPr>
        <w:pStyle w:val="Style38"/>
        <w:ind w:firstLine="567"/>
        <w:jc w:val="both"/>
        <w:rPr>
          <w:color w:val="auto"/>
        </w:rPr>
      </w:pPr>
      <w:r>
        <w:rPr>
          <w:color w:val="auto"/>
        </w:rPr>
      </w:r>
    </w:p>
    <w:p>
      <w:pPr>
        <w:pStyle w:val="Style38"/>
        <w:ind w:firstLine="567"/>
        <w:jc w:val="both"/>
        <w:rPr>
          <w:color w:val="auto"/>
        </w:rPr>
      </w:pPr>
      <w:r>
        <w:rPr>
          <w:b/>
          <w:bCs/>
          <w:color w:val="auto"/>
          <w:szCs w:val="24"/>
        </w:rPr>
        <w:t>Показатели и контроль качества предоставления услуги:</w:t>
      </w:r>
    </w:p>
    <w:p>
      <w:pPr>
        <w:pStyle w:val="Style38"/>
        <w:ind w:firstLine="567"/>
        <w:jc w:val="both"/>
        <w:rPr>
          <w:color w:val="auto"/>
        </w:rPr>
      </w:pPr>
      <w:r>
        <w:rPr>
          <w:color w:val="auto"/>
          <w:szCs w:val="24"/>
        </w:rPr>
        <w:t xml:space="preserve">Показатели качества предоставления услуги (ПКПУ) определяется в соответствии с Методикой оценки качества предоставления услуг в Приложении № 3 и параметрами SLA. </w:t>
      </w:r>
      <w:r>
        <w:rPr>
          <w:bCs/>
          <w:iCs/>
          <w:color w:val="auto"/>
          <w:szCs w:val="24"/>
          <w:lang w:eastAsia="x-none"/>
        </w:rPr>
        <w:t xml:space="preserve">Ниже </w:t>
      </w:r>
      <w:r>
        <w:rPr>
          <w:color w:val="auto"/>
          <w:szCs w:val="24"/>
        </w:rPr>
        <w:t>приведены</w:t>
      </w:r>
      <w:r>
        <w:rPr>
          <w:bCs/>
          <w:iCs/>
          <w:color w:val="auto"/>
          <w:szCs w:val="24"/>
          <w:lang w:eastAsia="x-none"/>
        </w:rPr>
        <w:t xml:space="preserve"> пороговые значения ПКПУ услуг:</w:t>
      </w:r>
    </w:p>
    <w:tbl>
      <w:tblPr>
        <w:tblW w:w="96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3958"/>
        <w:gridCol w:w="1679"/>
        <w:gridCol w:w="1725"/>
        <w:gridCol w:w="171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№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ПКПУ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Нарушение</w:t>
              <w:br/>
              <w:t>SLA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Низкое</w:t>
              <w:br/>
              <w:t>качество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Нормальное</w:t>
              <w:br/>
              <w:t>качество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1.</w:t>
            </w:r>
          </w:p>
        </w:tc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Решение инцидентов и ЗНО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1.1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% просроченных Запросов.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10%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От 5% до 10%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Менее 5%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1.2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% повторно открытых Запросов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7%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От 3% до 7%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Менее 3%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1.3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Количество Запросов от VIP пользователей, закрытых с негативной оценкой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2 шт.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1 – 2 шт.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0 шт.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2.</w:t>
            </w:r>
          </w:p>
        </w:tc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Реализация Изменений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2.1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не своевременно реализованных ЗНИ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2 шт.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1 – 2 шт.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0 шт.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3.</w:t>
            </w:r>
          </w:p>
        </w:tc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НШС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3.1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НШС 1 уровня (недоступность услуги)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Более 3 шт.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1 – 2 шт.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spacing w:before="113" w:after="113"/>
              <w:rPr>
                <w:color w:val="auto"/>
              </w:rPr>
            </w:pPr>
            <w:r>
              <w:rPr>
                <w:color w:val="auto"/>
                <w:szCs w:val="24"/>
              </w:rPr>
              <w:t>0 шт.</w:t>
            </w:r>
          </w:p>
        </w:tc>
      </w:tr>
    </w:tbl>
    <w:p>
      <w:pPr>
        <w:pStyle w:val="Heading1"/>
        <w:numPr>
          <w:ilvl w:val="0"/>
          <w:numId w:val="3"/>
        </w:numPr>
        <w:spacing w:before="227" w:after="227"/>
        <w:ind w:hanging="0" w:left="0"/>
        <w:jc w:val="center"/>
        <w:rPr>
          <w:color w:val="auto"/>
        </w:rPr>
      </w:pPr>
      <w:bookmarkStart w:id="24" w:name="__RefHeading___Toc42797_1244722962"/>
      <w:bookmarkEnd w:id="24"/>
      <w:r>
        <w:rPr>
          <w:color w:val="auto"/>
          <w:lang w:val="ru-RU"/>
        </w:rPr>
        <w:t>Требования к документации по ценообразованию на этапе закупки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</w:rPr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Heading1"/>
        <w:numPr>
          <w:ilvl w:val="0"/>
          <w:numId w:val="3"/>
        </w:numPr>
        <w:spacing w:before="227" w:after="227"/>
        <w:ind w:hanging="0" w:left="0"/>
        <w:jc w:val="center"/>
        <w:rPr>
          <w:color w:val="auto"/>
        </w:rPr>
      </w:pPr>
      <w:bookmarkStart w:id="25" w:name="__RefHeading___Toc62263_3104815314"/>
      <w:bookmarkEnd w:id="25"/>
      <w:r>
        <w:rPr>
          <w:color w:val="auto"/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spacing w:lineRule="auto" w:line="276" w:before="113" w:after="113"/>
        <w:ind w:firstLine="567"/>
        <w:jc w:val="both"/>
        <w:rPr>
          <w:color w:val="auto"/>
        </w:rPr>
      </w:pPr>
      <w:r>
        <w:rPr>
          <w:color w:val="auto"/>
          <w:szCs w:val="24"/>
        </w:rPr>
        <w:t>Требования к оформлению и составлению документации по ценообразованию представлены в Приложении № 1 к настоящим Техническим требованиям.</w:t>
      </w:r>
    </w:p>
    <w:p>
      <w:pPr>
        <w:pStyle w:val="Heading1"/>
        <w:keepLines/>
        <w:numPr>
          <w:ilvl w:val="0"/>
          <w:numId w:val="3"/>
        </w:numPr>
        <w:spacing w:before="227" w:after="227"/>
        <w:ind w:hanging="0" w:left="0"/>
        <w:jc w:val="center"/>
        <w:rPr>
          <w:color w:val="auto"/>
        </w:rPr>
      </w:pPr>
      <w:bookmarkStart w:id="26" w:name="__RefHeading___Toc62265_3104815314"/>
      <w:bookmarkEnd w:id="26"/>
      <w:r>
        <w:rPr>
          <w:iCs/>
          <w:color w:val="auto"/>
          <w:lang w:val="ru-RU"/>
        </w:rPr>
        <w:t>Приложения</w:t>
      </w:r>
    </w:p>
    <w:p>
      <w:pPr>
        <w:pStyle w:val="Normal"/>
        <w:spacing w:lineRule="auto" w:line="276" w:before="113" w:after="113"/>
        <w:rPr>
          <w:color w:val="auto"/>
        </w:rPr>
      </w:pPr>
      <w:r>
        <w:rPr>
          <w:color w:val="auto"/>
          <w:szCs w:val="24"/>
        </w:rPr>
        <w:t>Приложение № 1: Требования к сметному ценообразованию</w:t>
      </w:r>
    </w:p>
    <w:p>
      <w:pPr>
        <w:pStyle w:val="Normal"/>
        <w:spacing w:lineRule="auto" w:line="276" w:before="113" w:after="113"/>
        <w:rPr>
          <w:color w:val="auto"/>
        </w:rPr>
      </w:pPr>
      <w:r>
        <w:rPr>
          <w:color w:val="auto"/>
          <w:szCs w:val="24"/>
        </w:rPr>
        <w:t>Приложение № 2: Форма о</w:t>
      </w:r>
      <w:r>
        <w:rPr>
          <w:rFonts w:eastAsia="Calibri"/>
          <w:color w:val="auto"/>
          <w:szCs w:val="24"/>
        </w:rPr>
        <w:t>тчета по качеству предоставления услуг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8192"/>
        </w:sectPr>
        <w:pStyle w:val="Normal"/>
        <w:spacing w:lineRule="auto" w:line="276" w:before="113" w:after="113"/>
        <w:rPr>
          <w:color w:val="auto"/>
        </w:rPr>
      </w:pPr>
      <w:r>
        <w:rPr>
          <w:color w:val="auto"/>
          <w:szCs w:val="24"/>
        </w:rPr>
        <w:t>Приложение № 3: Методика оценки качества предоставления услуг</w:t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hanging="0" w:left="0"/>
        <w:jc w:val="right"/>
        <w:rPr>
          <w:color w:val="auto"/>
        </w:rPr>
      </w:pPr>
      <w:bookmarkStart w:id="27" w:name="__RefHeading___Toc62267_3104815314"/>
      <w:bookmarkEnd w:id="27"/>
      <w:r>
        <w:rPr>
          <w:color w:val="auto"/>
          <w:sz w:val="24"/>
          <w:szCs w:val="24"/>
          <w:lang w:val="ru-RU"/>
        </w:rPr>
        <w:t xml:space="preserve">ПРИЛОЖЕНИЕ № 1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 xml:space="preserve">к Техническим требованиям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>на оказание услуг</w:t>
      </w:r>
    </w:p>
    <w:p>
      <w:pPr>
        <w:pStyle w:val="Normal"/>
        <w:tabs>
          <w:tab w:val="clear" w:pos="708"/>
          <w:tab w:val="left" w:pos="-2268" w:leader="none"/>
        </w:tabs>
        <w:spacing w:before="227" w:after="227"/>
        <w:jc w:val="center"/>
        <w:rPr>
          <w:color w:val="auto"/>
        </w:rPr>
      </w:pPr>
      <w:r>
        <w:rPr>
          <w:b/>
          <w:color w:val="auto"/>
          <w:szCs w:val="24"/>
        </w:rPr>
        <w:t>Требования к сметному ценообразованию</w:t>
      </w:r>
    </w:p>
    <w:p>
      <w:pPr>
        <w:pStyle w:val="Normal"/>
        <w:tabs>
          <w:tab w:val="clear" w:pos="708"/>
          <w:tab w:val="left" w:pos="1260" w:leader="none"/>
        </w:tabs>
        <w:spacing w:before="227" w:after="227"/>
        <w:jc w:val="center"/>
        <w:rPr>
          <w:color w:val="auto"/>
        </w:rPr>
      </w:pPr>
      <w:r>
        <w:rPr>
          <w:b/>
          <w:color w:val="auto"/>
          <w:szCs w:val="24"/>
        </w:rPr>
        <w:t>Требования к оформлению и составлению</w:t>
        <w:br/>
        <w:t>смет или расчетов на выполнение работ и оказание услуг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Настоящие требования разработаны для единого подхода к определению стоимости выполнения работ и оказания услуг (далее по тексту–Работы/Услуги).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Сметы или расчеты на Работы/Услуги составлять на основании технических требований (Задания на оказание Услуг) Заказчика, графиков производства работ.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Работ/Услуг (обследований, обмерных работ и т.д.), определяется на основе Справочников базовых цен и других нормативных сборников, внесенных в 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Пересчет сметной стоимости Работ/Услуг по состоянию на 01.01.2001г, 01.01.1995г. (1991г.) следует производить согласно индексам на указанные работы, рекомендованным к 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определении стоимости Работ/Услуг, затраты организации, расположенной в 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также надбавки за непрерывный стаж и других льгот, предусмотренных законодательством в районах Крайнего Севера и приравненных к ним местностям, на основании: «Рекомендаций по определению коэффициента к базовым ценам на проектные работы, учитывающего дополнительные затраты организаций на льготные выплаты по заработной плате», одобренных и рекомендованных к применению письмом Госстроя России от 30.06.98 № 9-10-17/40, дополнительно учитываются путем введения к итогу базовой цены повышающих коэффициентов. Указывать размер примененных коэффициентов, доплат и т.д. с обоснованиями из технической части, вводных указаний сборников или других нормативных документов.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Работ/Услуг, цены на которые отсутствуют в СБЦ, СЦ и других нормативных сборниках, внесенных в ФРСН, определять сметным расчетом по себестоимости и уровню рентабельности (форма №3п) по согласованию с Заказчиком.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Средства на выполнение Работ/Услуг определяются отдельными расчетами в соответствии с видом выполняемых работ и включаются (по необходимости) в сводный сметный расчет (Приложение №3).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 xml:space="preserve">В случае заключений дополнительных соглашений к договору (далее - д/с), сводный сметный расчет необходимо выполнять в накопительной форме с учетом ЛСР (ЛС) к основному договору и ко всем заключенным д/с к нему. В итогах сводного сметного расчета в накопительной форме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сводного сметного расчета в накопительной форме очередного д/с и стоимостью основного договора. Форма сводного сметного расчета в накопительной (образец приложение № 3.1) ЛСР (ЛС) разрабатываются отдельно на исключаемые и дополнительные объемы работ. </w:t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ЛС являются приложениями к сводному сметному расчету в накопительной форме. Нумерация приложений указывается по мере включения ЛС в Сводный сметный расчет в накопительной форме - по порядку.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Результаты вычислений (построчные) и итоговые данные округляются до целых рублей:</w:t>
      </w:r>
    </w:p>
    <w:p>
      <w:pPr>
        <w:pStyle w:val="Normal"/>
        <w:numPr>
          <w:ilvl w:val="0"/>
          <w:numId w:val="10"/>
        </w:numPr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 xml:space="preserve">графа 5 «Стоимость» (образец 2П приложения 2 к Требованиям к оформлению и составлению документации по ценообразованию); </w:t>
      </w:r>
    </w:p>
    <w:p>
      <w:pPr>
        <w:pStyle w:val="Normal"/>
        <w:numPr>
          <w:ilvl w:val="0"/>
          <w:numId w:val="10"/>
        </w:numPr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графа 7 «Оплата труда (всего)» (образец 3П приложения 2 к Требованиям к оформлению и составлению документации по ценообразованию).</w:t>
      </w:r>
    </w:p>
    <w:p>
      <w:pPr>
        <w:pStyle w:val="Normal"/>
        <w:widowControl w:val="false"/>
        <w:spacing w:lineRule="auto" w:line="240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Результаты вычислений (построчные) и итоговые данные в локальных сметных расчетах, (сметах), приводятся в рублях,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hanging="227" w:left="794"/>
        <w:contextualSpacing w:val="false"/>
        <w:jc w:val="both"/>
        <w:rPr>
          <w:color w:val="auto"/>
        </w:rPr>
      </w:pPr>
      <w:r>
        <w:rPr>
          <w:color w:val="auto"/>
        </w:rPr>
        <w:t>при базисно-индексном методе, с округлением до целых рублей;</w:t>
      </w:r>
    </w:p>
    <w:p>
      <w:pPr>
        <w:pStyle w:val="ListParagraph"/>
        <w:widowControl w:val="false"/>
        <w:numPr>
          <w:ilvl w:val="0"/>
          <w:numId w:val="11"/>
        </w:numPr>
        <w:tabs>
          <w:tab w:val="clear" w:pos="708"/>
          <w:tab w:val="left" w:pos="142" w:leader="none"/>
        </w:tabs>
        <w:spacing w:lineRule="auto" w:line="240" w:before="57" w:after="57"/>
        <w:ind w:hanging="227" w:left="794"/>
        <w:contextualSpacing w:val="false"/>
        <w:jc w:val="both"/>
        <w:rPr>
          <w:color w:val="auto"/>
        </w:rPr>
      </w:pPr>
      <w:r>
        <w:rPr>
          <w:color w:val="auto"/>
        </w:rPr>
        <w:t>при ресурсно-индексном и ресурсным методах, а также сметных расчетах на отдельные виды затрат - с округлением до целых единиц;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hanging="227" w:left="794"/>
        <w:contextualSpacing w:val="false"/>
        <w:jc w:val="both"/>
        <w:rPr>
          <w:color w:val="auto"/>
        </w:rPr>
      </w:pPr>
      <w:r>
        <w:rPr>
          <w:color w:val="auto"/>
        </w:rPr>
        <w:t>в сводной смете - в рублях с округлением до двух знаков после запятой.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Сметы предоставляются в 2-х вариантах: бумажном и электронном (в формате «Excel»).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определить в соответствии с действующим законодательством РФ и с учетом норм, определяемых внутренним документом организации.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Лимиты командировочных расходов при производстве Работ/Услуг по статьям затрат следующие: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42" w:leader="none"/>
          <w:tab w:val="left" w:pos="928" w:leader="none"/>
          <w:tab w:val="left" w:pos="993" w:leader="none"/>
        </w:tabs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суточные –700 руб./сутки;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42" w:leader="none"/>
          <w:tab w:val="left" w:pos="928" w:leader="none"/>
          <w:tab w:val="left" w:pos="993" w:leader="none"/>
        </w:tabs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проживание – 5000 руб./сутки;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142" w:leader="none"/>
          <w:tab w:val="left" w:pos="928" w:leader="none"/>
          <w:tab w:val="left" w:pos="993" w:leader="none"/>
        </w:tabs>
        <w:spacing w:lineRule="auto" w:line="240" w:before="57" w:after="57"/>
        <w:ind w:hanging="227" w:left="794"/>
        <w:jc w:val="both"/>
        <w:rPr>
          <w:color w:val="auto"/>
        </w:rPr>
      </w:pPr>
      <w:r>
        <w:rPr>
          <w:color w:val="auto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>
      <w:pPr>
        <w:pStyle w:val="Normal"/>
        <w:tabs>
          <w:tab w:val="clear" w:pos="708"/>
          <w:tab w:val="left" w:pos="142" w:leader="none"/>
          <w:tab w:val="left" w:pos="284" w:leader="none"/>
          <w:tab w:val="left" w:pos="993" w:leader="none"/>
        </w:tabs>
        <w:spacing w:lineRule="auto" w:line="240" w:before="57" w:after="57"/>
        <w:ind w:firstLine="567"/>
        <w:jc w:val="both"/>
        <w:rPr>
          <w:color w:val="auto"/>
        </w:rPr>
      </w:pPr>
      <w:r>
        <w:rPr>
          <w:b/>
          <w:bCs/>
          <w:i/>
          <w:iCs/>
          <w:color w:val="auto"/>
          <w:szCs w:val="24"/>
        </w:rPr>
        <w:t>Данные лимиты могут быть пересмотрены на этапе согласования технических требований.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случае учета строительно-монтажных работ в рамках исполнения работ при производстве Работ/Услуг необходимо руководствоваться соответствующими требованиями к оформлению и составлению сметной документации при ремонте, реконструкции и техническом перевооружении.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случае применения понижающего коэффициента к итогу смет или расчетов, корректирующего их стоимость в меньшую сторону, величину данного коэффициента необходимо учитывать с округлением до 3 знаков после запятой.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 xml:space="preserve">Стоимость субподрядных работ (в случае наличия таковых) следует отразить отдельной строкой в Сводной смете (образец приложение № 3 к Требованиям к оформлению и составлению документации по ценообразованию) с представлением соответствующих расчетов. 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материальных ресурсов и комплектующих, необходимых для создания опытных образцов, следует отразить отдельными строками в Сводной смете (образец приложение № 3 к Требованиям к оформлению и составлению документации по ценообразованию).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134" w:right="850" w:gutter="0" w:header="850" w:top="1275" w:footer="0" w:bottom="850"/>
          <w:pgNumType w:fmt="decimal"/>
          <w:formProt w:val="false"/>
          <w:textDirection w:val="lrTb"/>
          <w:docGrid w:type="default" w:linePitch="360" w:charSpace="8192"/>
        </w:sectPr>
        <w:pStyle w:val="Normal"/>
        <w:numPr>
          <w:ilvl w:val="0"/>
          <w:numId w:val="8"/>
        </w:numPr>
        <w:tabs>
          <w:tab w:val="clear" w:pos="708"/>
          <w:tab w:val="left" w:pos="142" w:leader="none"/>
          <w:tab w:val="left" w:pos="567" w:leader="none"/>
        </w:tabs>
        <w:spacing w:lineRule="auto" w:line="240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Стоимость строительно-монтажных работ, выполняемым в целях создания опытных образов и макетов, следует отразить отдельными строками в Сводной смете (образец приложение № 3 к Требованиям к оформлению и составлению документации по ценообразованию) с представлением соответствующих расчетов (в случае наличия таковых).</w:t>
      </w:r>
    </w:p>
    <w:p>
      <w:pPr>
        <w:pStyle w:val="Normal"/>
        <w:spacing w:lineRule="auto" w:line="276" w:before="0" w:after="113"/>
        <w:jc w:val="right"/>
        <w:rPr>
          <w:color w:val="auto"/>
        </w:rPr>
      </w:pPr>
      <w:r>
        <w:rPr>
          <w:color w:val="auto"/>
          <w:szCs w:val="40"/>
        </w:rPr>
        <w:t>Приложение №1</w:t>
      </w:r>
    </w:p>
    <w:p>
      <w:pPr>
        <w:pStyle w:val="Normal"/>
        <w:spacing w:lineRule="auto" w:line="276"/>
        <w:jc w:val="right"/>
        <w:rPr>
          <w:color w:val="auto"/>
        </w:rPr>
      </w:pPr>
      <w:r>
        <w:rPr>
          <w:color w:val="auto"/>
          <w:szCs w:val="40"/>
        </w:rPr>
        <w:t>к Требованиям к сметному</w:t>
        <w:br/>
        <w:t>ценообразованию</w:t>
      </w:r>
    </w:p>
    <w:p>
      <w:pPr>
        <w:pStyle w:val="Normal"/>
        <w:spacing w:lineRule="auto" w:line="276" w:before="227" w:after="227"/>
        <w:jc w:val="center"/>
        <w:rPr>
          <w:color w:val="auto"/>
        </w:rPr>
      </w:pPr>
      <w:r>
        <w:rPr>
          <w:b/>
          <w:color w:val="auto"/>
          <w:szCs w:val="24"/>
        </w:rPr>
        <w:t>ПОЯСНИТЕЛЬНАЯ ЗАПИСКА</w:t>
        <w:br/>
        <w:t>по заполнению формы №3п</w:t>
        <w:br/>
        <w:t xml:space="preserve"> при составлении смет на Работы/Услуги</w:t>
      </w:r>
    </w:p>
    <w:p>
      <w:pPr>
        <w:pStyle w:val="Normal"/>
        <w:numPr>
          <w:ilvl w:val="0"/>
          <w:numId w:val="38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При составлении сметного расчета по трудозатратам (форма №3п), разработанным организацией, выполняющей Работы/Услуги,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Расчетом по трудозатратам (форма №3п) рекомендуется определять стоимость работ, цены на которые отсутствуют в СБЦ, СЦ и других нормативных сборниках, внесенных в 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 (далее – ФРСН)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 xml:space="preserve">Форма сметы для определения затрат по себестоимости и уровню рентабельности (форма №3п) приведена в Образце 3П (Приложение № 2 к пояснительной записке по заполнению формы 3П) 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Результаты вычислений и итоговые данные по разделам расчета округлять до целых рублей.</w:t>
      </w:r>
    </w:p>
    <w:p>
      <w:pPr>
        <w:pStyle w:val="Normal"/>
        <w:numPr>
          <w:ilvl w:val="0"/>
          <w:numId w:val="9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Особенности заполнения формы 3П.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1 приводится нумерация выполняемых работ;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2 приводится наименование выполняемых работ;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4 указывается наименование должности (при необходимости, с указанием конкретных фамилий) работников, участвующих в выполнении каждой из приведенных работ в графе 2;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 штатному расписанию основного производственного персонала исходя из установленных в 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6"/>
        </w:numPr>
        <w:spacing w:lineRule="auto" w:line="276" w:before="57" w:after="57"/>
        <w:ind w:firstLine="567" w:left="0"/>
        <w:jc w:val="both"/>
        <w:rPr>
          <w:color w:val="auto"/>
        </w:rPr>
      </w:pPr>
      <w:r>
        <w:rPr>
          <w:color w:val="auto"/>
          <w:spacing w:val="-4"/>
          <w:szCs w:val="24"/>
        </w:rPr>
        <w:t>в графе 7 указывается заработная плата в рублях (</w:t>
      </w:r>
      <w:r>
        <w:rPr>
          <w:b/>
          <w:color w:val="auto"/>
          <w:spacing w:val="-4"/>
          <w:szCs w:val="24"/>
          <w:u w:val="single"/>
        </w:rPr>
        <w:t>результат перемножения граф 5 и 6</w:t>
      </w:r>
      <w:r>
        <w:rPr>
          <w:color w:val="auto"/>
          <w:spacing w:val="-4"/>
          <w:szCs w:val="24"/>
        </w:rPr>
        <w:t>);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</w:rPr>
        <w:t>Раздел 2. Расчет стоимости выполнения работ: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в пункте 2.1 указывается процент заработной платы производственного персонала в составе себестоимости (</w:t>
      </w:r>
      <w:r>
        <w:rPr>
          <w:b/>
          <w:color w:val="auto"/>
          <w:szCs w:val="24"/>
          <w:u w:val="single"/>
        </w:rPr>
        <w:t>без учета субподрядных работ</w:t>
      </w:r>
      <w:r>
        <w:rPr>
          <w:color w:val="auto"/>
          <w:szCs w:val="24"/>
        </w:rPr>
        <w:t>), находящийся в пределах не менее 30% – уточняется по данным организации в соответствии с бизнес-планом. Данные по оплате труда, процент заработной платы в составе себестоимости,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организации.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в пункте 2.2 производится расчет себестоимости работ на основании выполненного в разделе 1 расчета заработной платы и ее процента в составе себестоимости работ (отношение итога графы 7 раздела 1 к пункту 2.1);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7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уровень рентабельности по отношению к себестоимости может составлять до 15%.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К сметной документации необходимо приложить все справочные данные по вышеуказанным экономическим характеристикам предприятия в виде официальной справки (образец в Приложении №1 к пояснительной записке по заполнению формы 3П).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  <w:u w:val="single"/>
        </w:rPr>
        <w:t>Раздел 3. Расчет командировочных расходов.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Командировочные расходы включаются в сметный расчет отдельной строкой (пункт 3 формы 3П) по отдельно выполненному расчету с расшифровкой затрат на проезд, проживание, суточные расходы.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Стоимость проезда необходимо указывать по каждому виду транспорта отдельно туда и отдельно обратно.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Размер расходов на проезд и стоимость проживания в гостинице определяется на момент составления расчета. Форма расчета приведена в Приложении 3.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Лимиты командировочных расходов при производстве Работ/Услуг:</w:t>
      </w:r>
    </w:p>
    <w:p>
      <w:pPr>
        <w:pStyle w:val="Normal"/>
        <w:numPr>
          <w:ilvl w:val="0"/>
          <w:numId w:val="21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суточные – 700 руб./сутки;</w:t>
      </w:r>
    </w:p>
    <w:p>
      <w:pPr>
        <w:pStyle w:val="Normal"/>
        <w:numPr>
          <w:ilvl w:val="0"/>
          <w:numId w:val="21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проживание – 5000 руб./сутки;</w:t>
      </w:r>
    </w:p>
    <w:p>
      <w:pPr>
        <w:pStyle w:val="Normal"/>
        <w:numPr>
          <w:ilvl w:val="0"/>
          <w:numId w:val="21"/>
        </w:numPr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проезд: поезд (купе) или самолет (класс – эконом с багажом до 20 (двадцати) кг, ручная кладь до 10 (десяти) кг).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b/>
          <w:i/>
          <w:color w:val="auto"/>
          <w:szCs w:val="24"/>
        </w:rPr>
        <w:t xml:space="preserve">Данные лимиты могут быть пересмотрены на этапе согласования технических требований. 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При учете командировочных расходов стоимость проезда (авиа-, ж/д, …) и проживания определяется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</w:t>
      </w:r>
    </w:p>
    <w:p>
      <w:pPr>
        <w:pStyle w:val="Normal"/>
        <w:spacing w:lineRule="auto" w:line="276" w:before="57" w:after="57"/>
        <w:ind w:firstLine="567"/>
        <w:jc w:val="both"/>
        <w:rPr>
          <w:color w:val="auto"/>
        </w:rPr>
      </w:pPr>
      <w:r>
        <w:rPr>
          <w:color w:val="auto"/>
          <w:szCs w:val="24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Normal"/>
        <w:spacing w:before="113" w:after="113"/>
        <w:jc w:val="right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  <w:r>
        <w:br w:type="page"/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Приложение №1</w:t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к Пояснительной записке по заполнению формы 3п</w:t>
      </w:r>
    </w:p>
    <w:p>
      <w:pPr>
        <w:pStyle w:val="Normal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spacing w:lineRule="auto" w:line="276" w:before="0" w:after="120"/>
        <w:jc w:val="center"/>
        <w:rPr>
          <w:color w:val="auto"/>
        </w:rPr>
      </w:pPr>
      <w:r>
        <w:rPr>
          <w:b/>
          <w:color w:val="auto"/>
          <w:szCs w:val="24"/>
        </w:rPr>
        <w:t>СПРАВКА (Образец)</w:t>
      </w:r>
    </w:p>
    <w:p>
      <w:pPr>
        <w:pStyle w:val="Normal"/>
        <w:spacing w:lineRule="auto" w:line="276" w:before="0" w:after="120"/>
        <w:rPr>
          <w:color w:val="auto"/>
        </w:rPr>
      </w:pPr>
      <w:r>
        <w:rPr>
          <w:color w:val="auto"/>
          <w:szCs w:val="24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spacing w:lineRule="auto" w:line="276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879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7"/>
        <w:gridCol w:w="3942"/>
        <w:gridCol w:w="3104"/>
      </w:tblGrid>
      <w:tr>
        <w:trPr>
          <w:trHeight w:val="325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№ </w:t>
            </w:r>
            <w:r>
              <w:rPr>
                <w:color w:val="auto"/>
                <w:szCs w:val="24"/>
              </w:rPr>
              <w:t>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</w:tbl>
    <w:p>
      <w:pPr>
        <w:pStyle w:val="Normal"/>
        <w:spacing w:lineRule="auto" w:line="276"/>
        <w:rPr>
          <w:color w:val="auto"/>
        </w:rPr>
      </w:pPr>
      <w:r>
        <w:rPr>
          <w:color w:val="auto"/>
          <w:szCs w:val="24"/>
        </w:rPr>
        <w:tab/>
      </w:r>
    </w:p>
    <w:p>
      <w:pPr>
        <w:pStyle w:val="Normal"/>
        <w:spacing w:lineRule="auto" w:line="276"/>
        <w:rPr>
          <w:color w:val="auto"/>
        </w:rPr>
      </w:pPr>
      <w:r>
        <w:rPr>
          <w:color w:val="auto"/>
          <w:szCs w:val="24"/>
        </w:rPr>
        <w:t>Доля заработной платы в себестоимости работ, выполняемых с/с………  (%)</w:t>
        <w:tab/>
        <w:tab/>
        <w:tab/>
        <w:tab/>
        <w:tab/>
        <w:tab/>
        <w:t>__</w:t>
      </w:r>
    </w:p>
    <w:p>
      <w:pPr>
        <w:pStyle w:val="Normal"/>
        <w:spacing w:lineRule="auto" w:line="276"/>
        <w:rPr>
          <w:color w:val="auto"/>
        </w:rPr>
      </w:pPr>
      <w:r>
        <w:rPr>
          <w:color w:val="auto"/>
          <w:szCs w:val="24"/>
        </w:rPr>
        <w:t>Рентабельность предприятия……………………….. (%)</w:t>
        <w:tab/>
        <w:tab/>
        <w:tab/>
        <w:tab/>
        <w:tab/>
        <w:tab/>
        <w:tab/>
        <w:tab/>
        <w:tab/>
        <w:t xml:space="preserve"> </w:t>
      </w:r>
    </w:p>
    <w:p>
      <w:pPr>
        <w:pStyle w:val="Normal"/>
        <w:spacing w:lineRule="auto" w:line="276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spacing w:lineRule="auto" w:line="276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(Должность единоличного исполнительного органа контрагента/подрядчика)</w:t>
        <w:tab/>
        <w:tab/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(Краткое/Полное наименование организации) ________________ (ФИО)</w:t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м.п</w:t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(Главный бухгалтер)</w:t>
      </w:r>
      <w:r>
        <w:rPr>
          <w:rStyle w:val="FootnoteReference"/>
          <w:color w:val="auto"/>
          <w:szCs w:val="24"/>
        </w:rPr>
        <w:footnoteReference w:id="2"/>
      </w:r>
      <w:r>
        <w:rPr>
          <w:color w:val="auto"/>
          <w:szCs w:val="24"/>
        </w:rPr>
        <w:tab/>
        <w:tab/>
      </w:r>
    </w:p>
    <w:p>
      <w:p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(Краткое/Полное наименование организации контрагента/подрядчика) _________ (ФИО)</w:t>
      </w:r>
    </w:p>
    <w:p>
      <w:pPr>
        <w:sectPr>
          <w:headerReference w:type="default" r:id="rId12"/>
          <w:headerReference w:type="first" r:id="rId13"/>
          <w:footnotePr>
            <w:numFmt w:val="decimal"/>
            <w:numRestart w:val="eachPage"/>
          </w:footnotePr>
          <w:type w:val="nextPage"/>
          <w:pgSz w:w="11906" w:h="16838"/>
          <w:pgMar w:left="1134" w:right="850" w:gutter="0" w:header="850" w:top="907" w:footer="0" w:bottom="850"/>
          <w:pgNumType w:fmt="decimal"/>
          <w:formProt w:val="false"/>
          <w:textDirection w:val="lrTb"/>
          <w:docGrid w:type="default" w:linePitch="100" w:charSpace="8192"/>
        </w:sectPr>
        <w:pStyle w:val="Normal"/>
        <w:spacing w:lineRule="auto" w:line="276"/>
        <w:jc w:val="both"/>
        <w:rPr>
          <w:color w:val="auto"/>
        </w:rPr>
      </w:pPr>
      <w:r>
        <w:rPr>
          <w:color w:val="auto"/>
          <w:szCs w:val="24"/>
        </w:rPr>
        <w:t>м.п</w:t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Приложение № 2</w:t>
      </w:r>
    </w:p>
    <w:p>
      <w:pPr>
        <w:pStyle w:val="Normal"/>
        <w:spacing w:lineRule="auto" w:line="276" w:before="0" w:after="120"/>
        <w:ind w:left="5670"/>
        <w:jc w:val="right"/>
        <w:rPr>
          <w:color w:val="auto"/>
        </w:rPr>
      </w:pPr>
      <w:r>
        <w:rPr>
          <w:color w:val="auto"/>
          <w:szCs w:val="40"/>
        </w:rPr>
        <w:t>к Требованиям к сметному ценообразованию</w:t>
      </w:r>
    </w:p>
    <w:p>
      <w:pPr>
        <w:pStyle w:val="Normal"/>
        <w:shd w:val="clear" w:color="auto" w:fill="FFFFFF"/>
        <w:ind w:firstLine="284"/>
        <w:jc w:val="center"/>
        <w:rPr>
          <w:b/>
          <w:bCs/>
          <w:iCs/>
          <w:color w:val="auto"/>
          <w:spacing w:val="-4"/>
          <w:szCs w:val="24"/>
        </w:rPr>
      </w:pPr>
      <w:r>
        <w:rPr>
          <w:b/>
          <w:bCs/>
          <w:iCs/>
          <w:color w:val="auto"/>
          <w:spacing w:val="-4"/>
          <w:szCs w:val="24"/>
        </w:rPr>
      </w:r>
    </w:p>
    <w:p>
      <w:pPr>
        <w:pStyle w:val="Normal"/>
        <w:shd w:val="clear" w:color="auto" w:fill="FFFFFF"/>
        <w:ind w:firstLine="284"/>
        <w:jc w:val="center"/>
        <w:rPr>
          <w:color w:val="auto"/>
        </w:rPr>
      </w:pPr>
      <w:r>
        <w:rPr>
          <w:b/>
          <w:bCs/>
          <w:iCs/>
          <w:color w:val="auto"/>
          <w:spacing w:val="-4"/>
          <w:szCs w:val="24"/>
        </w:rPr>
        <w:t>Образцы оформления сметной документации на  работы/услуг</w:t>
      </w:r>
    </w:p>
    <w:p>
      <w:pPr>
        <w:pStyle w:val="Normal"/>
        <w:shd w:val="clear" w:color="auto" w:fill="FFFFFF"/>
        <w:spacing w:before="360" w:after="240"/>
        <w:rPr>
          <w:color w:val="auto"/>
        </w:rPr>
      </w:pPr>
      <w:r>
        <w:rPr>
          <w:b/>
          <w:color w:val="auto"/>
          <w:szCs w:val="24"/>
        </w:rPr>
        <w:t>Б.1 Образец 1п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firstLine="4396"/>
              <w:rPr>
                <w:color w:val="auto"/>
              </w:rPr>
            </w:pPr>
            <w:r>
              <w:rPr>
                <w:color w:val="auto"/>
                <w:szCs w:val="24"/>
              </w:rPr>
              <w:t>Приложение № ___к договору № ____ от</w:t>
            </w:r>
          </w:p>
          <w:p>
            <w:pPr>
              <w:pStyle w:val="Normal"/>
              <w:widowControl w:val="false"/>
              <w:shd w:val="clear" w:color="auto" w:fill="FFFFFF"/>
              <w:ind w:firstLine="276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_________________(Подрядчик)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Сводная смета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на работы/услуги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строительства и стадии проектирования___________________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проектной организации/генерального проектировщика______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479"/>
              <w:gridCol w:w="1783"/>
              <w:gridCol w:w="1852"/>
              <w:gridCol w:w="1509"/>
              <w:gridCol w:w="1686"/>
              <w:gridCol w:w="1162"/>
              <w:gridCol w:w="602"/>
            </w:tblGrid>
            <w:tr>
              <w:trPr>
                <w:tblHeader w:val="true"/>
              </w:trPr>
              <w:tc>
                <w:tcPr>
                  <w:tcW w:w="47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№ </w:t>
                  </w:r>
                  <w:r>
                    <w:rPr>
                      <w:color w:val="auto"/>
                      <w:szCs w:val="24"/>
                    </w:rPr>
                    <w:t>п.п.</w:t>
                  </w:r>
                </w:p>
              </w:tc>
              <w:tc>
                <w:tcPr>
                  <w:tcW w:w="178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185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Характеристика проектируемого объекта</w:t>
                  </w:r>
                </w:p>
              </w:tc>
              <w:tc>
                <w:tcPr>
                  <w:tcW w:w="15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Ссылка на № смет по формам № 2п и 3п</w:t>
                  </w:r>
                </w:p>
              </w:tc>
              <w:tc>
                <w:tcPr>
                  <w:tcW w:w="345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Стоимость работ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7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783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852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509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68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работ/услуг</w:t>
                  </w: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проектных</w:t>
                  </w:r>
                </w:p>
              </w:tc>
              <w:tc>
                <w:tcPr>
                  <w:tcW w:w="60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всего</w:t>
                  </w:r>
                </w:p>
              </w:tc>
            </w:tr>
            <w:tr>
              <w:trPr>
                <w:tblHeader w:val="true"/>
                <w:trHeight w:val="253" w:hRule="atLeast"/>
              </w:trPr>
              <w:tc>
                <w:tcPr>
                  <w:tcW w:w="4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178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2</w:t>
                  </w: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3</w:t>
                  </w:r>
                </w:p>
              </w:tc>
              <w:tc>
                <w:tcPr>
                  <w:tcW w:w="15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4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5</w:t>
                  </w:r>
                </w:p>
              </w:tc>
              <w:tc>
                <w:tcPr>
                  <w:tcW w:w="116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6</w:t>
                  </w:r>
                </w:p>
              </w:tc>
              <w:tc>
                <w:tcPr>
                  <w:tcW w:w="60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7</w:t>
                  </w:r>
                </w:p>
              </w:tc>
            </w:tr>
            <w:tr>
              <w:trPr>
                <w:trHeight w:val="59" w:hRule="atLeast"/>
              </w:trPr>
              <w:tc>
                <w:tcPr>
                  <w:tcW w:w="47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85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5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60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  <w:tr>
              <w:trPr>
                <w:trHeight w:val="69" w:hRule="atLeast"/>
              </w:trPr>
              <w:tc>
                <w:tcPr>
                  <w:tcW w:w="47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7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85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5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60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widowControl w:val="false"/>
                    <w:shd w:val="clear" w:color="auto" w:fill="FFFFFF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Итого по смете 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1845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spacing w:before="480" w:after="0"/>
              <w:rPr>
                <w:color w:val="auto"/>
              </w:rPr>
            </w:pPr>
            <w:r>
              <w:rPr>
                <w:color w:val="auto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>
            <w:pPr>
              <w:pStyle w:val="Normal"/>
              <w:widowControl w:val="false"/>
              <w:spacing w:lineRule="auto" w:line="276"/>
              <w:rPr>
                <w:color w:val="auto"/>
              </w:rPr>
            </w:pPr>
            <w:r>
              <w:rPr>
                <w:color w:val="auto"/>
                <w:szCs w:val="24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</w:tbl>
    <w:p>
      <w:pPr>
        <w:pStyle w:val="Normal"/>
        <w:shd w:val="clear" w:color="auto" w:fill="FFFFFF"/>
        <w:spacing w:before="360" w:after="240"/>
        <w:rPr>
          <w:color w:val="auto"/>
        </w:rPr>
      </w:pPr>
      <w:r>
        <w:br w:type="page"/>
      </w:r>
      <w:r>
        <w:rPr>
          <w:b/>
          <w:color w:val="auto"/>
          <w:szCs w:val="24"/>
        </w:rPr>
        <w:t>Б.2 Образец № 2п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ind w:left="3829"/>
              <w:rPr>
                <w:color w:val="auto"/>
              </w:rPr>
            </w:pPr>
            <w:r>
              <w:rPr>
                <w:color w:val="auto"/>
                <w:szCs w:val="24"/>
              </w:rPr>
              <w:t>Приложение №   к договору №   от ____</w:t>
            </w:r>
          </w:p>
          <w:p>
            <w:pPr>
              <w:pStyle w:val="Normal"/>
              <w:widowControl w:val="false"/>
              <w:shd w:val="clear" w:color="auto" w:fill="FFFFFF"/>
              <w:ind w:left="3829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_________________(Подрядчик)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__________________ И.О.Ф.</w:t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before="480" w:after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 xml:space="preserve">СМЕТА № </w:t>
              <w:br/>
              <w:t>на работы/услуги</w:t>
            </w:r>
          </w:p>
          <w:p>
            <w:pPr>
              <w:pStyle w:val="Normal"/>
              <w:widowControl w:val="false"/>
              <w:shd w:val="clear" w:color="auto" w:fill="FFFFFF"/>
              <w:spacing w:before="480" w:after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предприятия, здания, сооружения, стадии проектирования, этапа, вида работ/услуг__________________________________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услуг__________________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jc w:val="right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341"/>
              <w:gridCol w:w="2222"/>
              <w:gridCol w:w="3217"/>
              <w:gridCol w:w="2127"/>
              <w:gridCol w:w="1167"/>
            </w:tblGrid>
            <w:tr>
              <w:trPr>
                <w:tblHeader w:val="true"/>
              </w:trPr>
              <w:tc>
                <w:tcPr>
                  <w:tcW w:w="34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№ </w:t>
                  </w:r>
                  <w:r>
                    <w:rPr>
                      <w:color w:val="auto"/>
                      <w:szCs w:val="24"/>
                    </w:rPr>
                    <w:t>пп</w:t>
                  </w:r>
                </w:p>
              </w:tc>
              <w:tc>
                <w:tcPr>
                  <w:tcW w:w="222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Характеристика предприятия, здания, сооружения или виды работ</w:t>
                  </w:r>
                </w:p>
              </w:tc>
              <w:tc>
                <w:tcPr>
                  <w:tcW w:w="32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Номер частей, глав, таблиц, процентов, параграфов и пунктов указаний к разделу Справочника базовых цен 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Расчет стоимости: (a + bx) </w:t>
                  </w:r>
                  <w:r>
                    <w:rPr>
                      <w:rFonts w:eastAsia="Symbol" w:cs="Symbol" w:ascii="Symbol" w:hAnsi="Symbol"/>
                      <w:color w:val="auto"/>
                      <w:szCs w:val="24"/>
                    </w:rPr>
                    <w:sym w:font="Symbol" w:char="f0b4"/>
                  </w:r>
                  <w:r>
                    <w:rPr>
                      <w:color w:val="auto"/>
                      <w:szCs w:val="24"/>
                    </w:rPr>
                    <w:t xml:space="preserve"> K</w:t>
                  </w:r>
                  <w:r>
                    <w:rPr>
                      <w:color w:val="auto"/>
                      <w:szCs w:val="24"/>
                      <w:vertAlign w:val="subscript"/>
                    </w:rPr>
                    <w:t>i</w:t>
                  </w:r>
                  <w:r>
                    <w:rPr>
                      <w:color w:val="auto"/>
                      <w:szCs w:val="24"/>
                    </w:rPr>
                    <w:t xml:space="preserve">, или (объем строительно-монтажных работ) </w:t>
                  </w:r>
                  <w:r>
                    <w:rPr>
                      <w:rFonts w:eastAsia="Symbol" w:cs="Symbol" w:ascii="Symbol" w:hAnsi="Symbol"/>
                      <w:color w:val="auto"/>
                      <w:szCs w:val="24"/>
                    </w:rPr>
                    <w:sym w:font="Symbol" w:char="f0b4"/>
                  </w:r>
                  <w:r>
                    <w:rPr>
                      <w:color w:val="auto"/>
                      <w:szCs w:val="24"/>
                    </w:rPr>
                    <w:t xml:space="preserve"> проц.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Стоимость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341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2222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3217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21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100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или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количество </w:t>
                  </w:r>
                  <w:r>
                    <w:rPr>
                      <w:rFonts w:eastAsia="Symbol" w:cs="Symbol" w:ascii="Symbol" w:hAnsi="Symbol"/>
                      <w:color w:val="auto"/>
                      <w:szCs w:val="24"/>
                    </w:rPr>
                    <w:sym w:font="Symbol" w:char="f0b4"/>
                  </w:r>
                  <w:r>
                    <w:rPr>
                      <w:color w:val="auto"/>
                      <w:szCs w:val="24"/>
                    </w:rPr>
                    <w:t xml:space="preserve"> цена</w:t>
                  </w:r>
                </w:p>
              </w:tc>
              <w:tc>
                <w:tcPr>
                  <w:tcW w:w="1167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3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222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2</w:t>
                  </w:r>
                </w:p>
              </w:tc>
              <w:tc>
                <w:tcPr>
                  <w:tcW w:w="32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4</w:t>
                  </w:r>
                </w:p>
              </w:tc>
              <w:tc>
                <w:tcPr>
                  <w:tcW w:w="11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5</w:t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32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32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6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before="480" w:after="0"/>
              <w:rPr>
                <w:color w:val="auto"/>
              </w:rPr>
            </w:pPr>
            <w:r>
              <w:rPr>
                <w:color w:val="auto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>
            <w:pPr>
              <w:pStyle w:val="Normal"/>
              <w:widowControl w:val="false"/>
              <w:spacing w:lineRule="auto" w:line="276"/>
              <w:rPr>
                <w:color w:val="auto"/>
              </w:rPr>
            </w:pPr>
            <w:r>
              <w:rPr>
                <w:color w:val="auto"/>
                <w:szCs w:val="24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</w:tbl>
    <w:p>
      <w:pPr>
        <w:pStyle w:val="Normal"/>
        <w:shd w:val="clear" w:color="auto" w:fill="FFFFFF"/>
        <w:rPr>
          <w:b/>
          <w:color w:val="auto"/>
          <w:szCs w:val="24"/>
        </w:rPr>
      </w:pPr>
      <w:r>
        <w:rPr>
          <w:b/>
          <w:color w:val="auto"/>
          <w:szCs w:val="24"/>
        </w:rPr>
      </w:r>
      <w:r>
        <w:br w:type="page"/>
      </w:r>
    </w:p>
    <w:p>
      <w:pPr>
        <w:pStyle w:val="Normal"/>
        <w:shd w:val="clear" w:color="auto" w:fill="FFFFFF"/>
        <w:rPr>
          <w:color w:val="auto"/>
        </w:rPr>
      </w:pPr>
      <w:r>
        <w:rPr>
          <w:b/>
          <w:color w:val="auto"/>
          <w:szCs w:val="24"/>
        </w:rPr>
        <w:t>Б.3 Образец № 3п</w:t>
      </w:r>
    </w:p>
    <w:p>
      <w:pPr>
        <w:pStyle w:val="Normal"/>
        <w:shd w:val="clear" w:color="auto" w:fill="FFFFFF"/>
        <w:rPr>
          <w:b/>
          <w:color w:val="auto"/>
          <w:szCs w:val="24"/>
        </w:rPr>
      </w:pPr>
      <w:r>
        <w:rPr>
          <w:b/>
          <w:color w:val="auto"/>
          <w:szCs w:val="24"/>
        </w:rPr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Приложение к 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2761"/>
              <w:rPr>
                <w:color w:val="auto"/>
              </w:rPr>
            </w:pPr>
            <w:r>
              <w:rPr>
                <w:color w:val="auto"/>
                <w:szCs w:val="24"/>
              </w:rPr>
              <w:t>(договору, дополнительному соглашению)</w:t>
            </w:r>
          </w:p>
          <w:tbl>
            <w:tblPr>
              <w:tblW w:w="906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529"/>
              <w:gridCol w:w="4530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 (Подрядчик)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4530" w:type="dxa"/>
                  <w:tcBorders/>
                </w:tcPr>
                <w:p>
                  <w:pPr>
                    <w:pStyle w:val="Normal"/>
                    <w:widowControl w:val="false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rPr>
                      <w:bCs/>
                      <w:color w:val="auto"/>
                      <w:szCs w:val="24"/>
                    </w:rPr>
                  </w:pPr>
                  <w:r>
                    <w:rPr>
                      <w:bCs/>
                      <w:color w:val="auto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_________________ И.О.Ф.</w:t>
                  </w:r>
                </w:p>
                <w:p>
                  <w:pPr>
                    <w:pStyle w:val="Normal"/>
                    <w:widowControl w:val="false"/>
                    <w:spacing w:lineRule="auto" w:line="276"/>
                    <w:rPr>
                      <w:b/>
                      <w:bCs/>
                      <w:color w:val="auto"/>
                      <w:szCs w:val="24"/>
                    </w:rPr>
                  </w:pPr>
                  <w:r>
                    <w:rPr>
                      <w:b/>
                      <w:bCs/>
                      <w:color w:val="auto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 xml:space="preserve">СМЕТА № </w:t>
              <w:br/>
              <w:t>на работы/услуги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предприятия, здания, сооружения, стадии проектирования, этапа, вида работ/услуг__________________________________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работ/услуг__________________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before="240" w:after="0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1. Расчет заработной платы</w:t>
            </w:r>
            <w:r>
              <w:rPr>
                <w:color w:val="auto"/>
                <w:szCs w:val="24"/>
              </w:rPr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430"/>
              <w:gridCol w:w="2220"/>
              <w:gridCol w:w="1219"/>
              <w:gridCol w:w="1152"/>
              <w:gridCol w:w="1260"/>
              <w:gridCol w:w="1109"/>
              <w:gridCol w:w="1683"/>
            </w:tblGrid>
            <w:tr>
              <w:trPr>
                <w:tblHeader w:val="true"/>
              </w:trPr>
              <w:tc>
                <w:tcPr>
                  <w:tcW w:w="43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№ </w:t>
                  </w:r>
                  <w:r>
                    <w:rPr>
                      <w:color w:val="auto"/>
                      <w:szCs w:val="24"/>
                    </w:rPr>
                    <w:t>п.п.</w:t>
                  </w:r>
                </w:p>
              </w:tc>
              <w:tc>
                <w:tcPr>
                  <w:tcW w:w="222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2371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Исполнители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Количество человеко-дней</w:t>
                  </w:r>
                </w:p>
              </w:tc>
              <w:tc>
                <w:tcPr>
                  <w:tcW w:w="110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 xml:space="preserve"> </w:t>
                  </w:r>
                  <w:r>
                    <w:rPr>
                      <w:color w:val="auto"/>
                      <w:szCs w:val="24"/>
                    </w:rPr>
                    <w:t>за 1 день</w:t>
                  </w:r>
                </w:p>
              </w:tc>
              <w:tc>
                <w:tcPr>
                  <w:tcW w:w="168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30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222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21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количество</w:t>
                  </w:r>
                </w:p>
              </w:tc>
              <w:tc>
                <w:tcPr>
                  <w:tcW w:w="115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должность</w:t>
                  </w:r>
                </w:p>
              </w:tc>
              <w:tc>
                <w:tcPr>
                  <w:tcW w:w="126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10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  <w:tc>
                <w:tcPr>
                  <w:tcW w:w="1683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rPr>
                      <w:color w:val="auto"/>
                      <w:szCs w:val="24"/>
                    </w:rPr>
                  </w:pPr>
                  <w:r>
                    <w:rPr>
                      <w:color w:val="auto"/>
                      <w:szCs w:val="24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4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1</w:t>
                  </w:r>
                </w:p>
              </w:tc>
              <w:tc>
                <w:tcPr>
                  <w:tcW w:w="222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2</w:t>
                  </w:r>
                </w:p>
              </w:tc>
              <w:tc>
                <w:tcPr>
                  <w:tcW w:w="121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3</w:t>
                  </w:r>
                </w:p>
              </w:tc>
              <w:tc>
                <w:tcPr>
                  <w:tcW w:w="115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4</w:t>
                  </w:r>
                </w:p>
              </w:tc>
              <w:tc>
                <w:tcPr>
                  <w:tcW w:w="126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5</w:t>
                  </w:r>
                </w:p>
              </w:tc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6</w:t>
                  </w:r>
                </w:p>
              </w:tc>
              <w:tc>
                <w:tcPr>
                  <w:tcW w:w="168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7</w:t>
                  </w:r>
                </w:p>
              </w:tc>
            </w:tr>
            <w:tr>
              <w:trPr/>
              <w:tc>
                <w:tcPr>
                  <w:tcW w:w="430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1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0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430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222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1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10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  <w:tc>
                <w:tcPr>
                  <w:tcW w:w="16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76"/>
                    <w:rPr>
                      <w:color w:val="auto"/>
                    </w:rPr>
                  </w:pPr>
                  <w:r>
                    <w:rPr>
                      <w:color w:val="auto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Итого заработной платы, в руб.______________________________________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2. Расчет стоимости выполнения работ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2.1 Процент заработной платы в составе себестоимости, %_______________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2.2 Себестоимость работ____________________________________________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2.3 Уровень рентабельности, %______________________________________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Итого:</w:t>
            </w:r>
            <w:r>
              <w:rPr>
                <w:color w:val="auto"/>
                <w:szCs w:val="24"/>
              </w:rPr>
              <w:t>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3 Командировочные расходы (по предварительному расчету)_____________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Всего (руб.)</w:t>
            </w:r>
            <w:r>
              <w:rPr>
                <w:color w:val="auto"/>
                <w:szCs w:val="24"/>
              </w:rPr>
              <w:t>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ind w:firstLine="2070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Составил:            /должность, организация/                                    /подпись/   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76"/>
              <w:rPr>
                <w:color w:val="auto"/>
              </w:rPr>
            </w:pPr>
            <w:r>
              <w:rPr>
                <w:color w:val="auto"/>
                <w:szCs w:val="24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</w:tbl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  <w:r>
        <w:br w:type="page"/>
      </w:r>
    </w:p>
    <w:p>
      <w:pPr>
        <w:pStyle w:val="Normal"/>
        <w:rPr>
          <w:color w:val="auto"/>
        </w:rPr>
      </w:pPr>
      <w:r>
        <w:rPr>
          <w:b/>
          <w:color w:val="auto"/>
          <w:szCs w:val="24"/>
        </w:rPr>
        <w:t>Образец</w:t>
      </w:r>
    </w:p>
    <w:p>
      <w:pPr>
        <w:pStyle w:val="Normal"/>
        <w:shd w:val="clear" w:color="auto" w:fill="FFFFFF"/>
        <w:ind w:left="5530"/>
        <w:rPr>
          <w:color w:val="auto"/>
        </w:rPr>
      </w:pPr>
      <w:r>
        <w:rPr>
          <w:color w:val="auto"/>
          <w:szCs w:val="24"/>
        </w:rPr>
        <w:t>Приложение №_____</w:t>
      </w:r>
    </w:p>
    <w:p>
      <w:pPr>
        <w:pStyle w:val="Normal"/>
        <w:shd w:val="clear" w:color="auto" w:fill="FFFFFF"/>
        <w:ind w:left="5530"/>
        <w:rPr>
          <w:color w:val="auto"/>
        </w:rPr>
      </w:pPr>
      <w:r>
        <w:rPr>
          <w:color w:val="auto"/>
          <w:szCs w:val="24"/>
        </w:rPr>
        <w:t>к договору, дополнительному соглашению №____от _______</w:t>
      </w:r>
    </w:p>
    <w:p>
      <w:pPr>
        <w:pStyle w:val="Normal"/>
        <w:shd w:val="clear" w:color="auto" w:fill="FFFFFF"/>
        <w:ind w:left="5530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930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27"/>
        <w:gridCol w:w="4779"/>
      </w:tblGrid>
      <w:tr>
        <w:trPr>
          <w:trHeight w:val="417" w:hRule="atLeast"/>
        </w:trPr>
        <w:tc>
          <w:tcPr>
            <w:tcW w:w="4527" w:type="dxa"/>
            <w:tcBorders/>
            <w:vAlign w:val="bottom"/>
          </w:tcPr>
          <w:p>
            <w:pPr>
              <w:pStyle w:val="Normal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СОГЛАСОВАНО: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_________________(Подрядчик)</w:t>
            </w:r>
          </w:p>
          <w:p>
            <w:pPr>
              <w:pStyle w:val="Normal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_________________Ф.И.О.</w:t>
            </w:r>
          </w:p>
          <w:p>
            <w:pPr>
              <w:pStyle w:val="Normal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4779" w:type="dxa"/>
            <w:tcBorders/>
          </w:tcPr>
          <w:p>
            <w:pPr>
              <w:pStyle w:val="Normal"/>
              <w:ind w:left="1460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УТВЕРЖДАЮ:</w:t>
            </w:r>
          </w:p>
          <w:p>
            <w:pPr>
              <w:pStyle w:val="Normal"/>
              <w:ind w:left="1460"/>
              <w:rPr>
                <w:color w:val="auto"/>
              </w:rPr>
            </w:pPr>
            <w:r>
              <w:rPr>
                <w:bCs/>
                <w:color w:val="auto"/>
                <w:szCs w:val="24"/>
              </w:rPr>
              <w:t>_________________(Заказчик)</w:t>
            </w:r>
          </w:p>
          <w:p>
            <w:pPr>
              <w:pStyle w:val="Normal"/>
              <w:ind w:left="1460"/>
              <w:rPr>
                <w:color w:val="auto"/>
              </w:rPr>
            </w:pPr>
            <w:r>
              <w:rPr>
                <w:color w:val="auto"/>
                <w:szCs w:val="24"/>
              </w:rPr>
              <w:t>_________________Ф.И.О.</w:t>
            </w:r>
          </w:p>
          <w:p>
            <w:pPr>
              <w:pStyle w:val="Normal"/>
              <w:rPr>
                <w:b/>
                <w:b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</w:r>
          </w:p>
        </w:tc>
      </w:tr>
    </w:tbl>
    <w:p>
      <w:pPr>
        <w:pStyle w:val="Normal"/>
        <w:shd w:val="clear" w:color="auto" w:fill="FFFFFF"/>
        <w:jc w:val="center"/>
        <w:rPr>
          <w:color w:val="auto"/>
        </w:rPr>
      </w:pPr>
      <w:r>
        <w:rPr>
          <w:b/>
          <w:bCs/>
          <w:color w:val="auto"/>
          <w:szCs w:val="24"/>
        </w:rPr>
        <w:t xml:space="preserve">СВОДНАЯ СМЕТА № </w:t>
        <w:br/>
        <w:t>на выполнение работ/оказание услуг</w:t>
      </w:r>
    </w:p>
    <w:p>
      <w:pPr>
        <w:pStyle w:val="Normal"/>
        <w:shd w:val="clear" w:color="auto" w:fill="FFFFFF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 xml:space="preserve">Наименование предприятия, здания, сооружения, стадии проектирования, этапа, вида 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Работ/Услуг___________________________________________________________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__________________________________________________________________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Наименование подрядной организации_________________________________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__________________________________________________________________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Наименование организации заказчика_________________________________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__________________________________________________________________</w:t>
      </w:r>
    </w:p>
    <w:p>
      <w:pPr>
        <w:pStyle w:val="Normal"/>
        <w:rPr>
          <w:color w:val="auto"/>
        </w:rPr>
      </w:pPr>
      <w:r>
        <w:rPr>
          <w:color w:val="auto"/>
          <w:szCs w:val="24"/>
        </w:rPr>
        <w:t>Составлена в текущих ценах, соответствующих периоду выполнения работ по договору</w:t>
      </w:r>
    </w:p>
    <w:p>
      <w:pPr>
        <w:pStyle w:val="Normal"/>
        <w:jc w:val="right"/>
        <w:rPr>
          <w:color w:val="auto"/>
        </w:rPr>
      </w:pPr>
      <w:r>
        <w:rPr>
          <w:color w:val="auto"/>
          <w:szCs w:val="24"/>
        </w:rPr>
        <w:t>руб.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11"/>
        <w:gridCol w:w="3980"/>
        <w:gridCol w:w="1653"/>
        <w:gridCol w:w="3777"/>
      </w:tblGrid>
      <w:tr>
        <w:trPr>
          <w:tblHeader w:val="true"/>
          <w:trHeight w:val="873" w:hRule="atLeas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№</w:t>
            </w:r>
            <w:r>
              <w:rPr>
                <w:rFonts w:eastAsia="Liberation Serif;Times New Roma" w:cs="Liberation Serif;Times New Roma"/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п.п.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Перечень (наименование) выполняемых работ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Ссылка на № смет и расчетов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Стоимость работ</w:t>
            </w:r>
          </w:p>
          <w:p>
            <w:pPr>
              <w:pStyle w:val="Normal"/>
              <w:shd w:val="clear" w:color="auto" w:fill="FFFFFF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>
          <w:tblHeader w:val="true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hd w:val="clear" w:color="auto" w:fill="FFFFFF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4</w:t>
            </w:r>
          </w:p>
        </w:tc>
      </w:tr>
      <w:tr>
        <w:trPr/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9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</w:tr>
      <w:tr>
        <w:trPr/>
        <w:tc>
          <w:tcPr>
            <w:tcW w:w="51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98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  <w:tc>
          <w:tcPr>
            <w:tcW w:w="37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shd w:val="clear" w:color="auto" w:fill="FFFFFF"/>
              <w:rPr>
                <w:color w:val="auto"/>
              </w:rPr>
            </w:pPr>
            <w:r>
              <w:rPr>
                <w:color w:val="auto"/>
                <w:szCs w:val="24"/>
              </w:rPr>
              <w:t> </w:t>
            </w:r>
          </w:p>
        </w:tc>
      </w:tr>
    </w:tbl>
    <w:p>
      <w:pPr>
        <w:pStyle w:val="Normal"/>
        <w:shd w:val="clear" w:color="auto" w:fill="FFFFFF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Итого по смете ___________________________________________________</w:t>
      </w:r>
    </w:p>
    <w:p>
      <w:pPr>
        <w:pStyle w:val="Normal"/>
        <w:shd w:val="clear" w:color="auto" w:fill="FFFFFF"/>
        <w:ind w:firstLine="1845"/>
        <w:jc w:val="center"/>
        <w:rPr>
          <w:color w:val="auto"/>
        </w:rPr>
      </w:pPr>
      <w:r>
        <w:rPr>
          <w:color w:val="auto"/>
          <w:szCs w:val="24"/>
        </w:rPr>
        <w:t>(сумма прописью)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Составил:</w:t>
      </w:r>
    </w:p>
    <w:p>
      <w:pPr>
        <w:pStyle w:val="Normal"/>
        <w:shd w:val="clear" w:color="auto" w:fill="FFFFFF"/>
        <w:rPr>
          <w:color w:val="auto"/>
        </w:rPr>
      </w:pPr>
      <w:r>
        <w:rPr>
          <w:color w:val="auto"/>
          <w:szCs w:val="24"/>
        </w:rPr>
        <w:t>_________/должность, организация/ _______/подпись/________/расшифровка подписи/</w:t>
      </w:r>
    </w:p>
    <w:p>
      <w:pPr>
        <w:pStyle w:val="Normal"/>
        <w:shd w:val="clear" w:color="auto" w:fill="FFFFFF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</w:rPr>
      </w:pPr>
      <w:r>
        <w:rPr>
          <w:color w:val="auto"/>
          <w:szCs w:val="24"/>
        </w:rPr>
        <w:t>Проверил:</w:t>
      </w:r>
    </w:p>
    <w:p>
      <w:pPr>
        <w:pStyle w:val="Normal"/>
        <w:rPr>
          <w:color w:val="auto"/>
        </w:rPr>
      </w:pPr>
      <w:r>
        <w:rPr>
          <w:color w:val="auto"/>
          <w:szCs w:val="24"/>
        </w:rPr>
        <w:t>__________/должность, организация/_______ /подпись/_______/расшифровка подписи/</w:t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hanging="0" w:left="0"/>
        <w:jc w:val="right"/>
        <w:rPr>
          <w:color w:val="auto"/>
        </w:rPr>
      </w:pPr>
      <w:bookmarkStart w:id="28" w:name="__RefHeading___Toc62269_3104815314"/>
      <w:bookmarkEnd w:id="28"/>
      <w:r>
        <w:rPr>
          <w:color w:val="auto"/>
          <w:sz w:val="24"/>
          <w:szCs w:val="24"/>
          <w:lang w:val="ru-RU"/>
        </w:rPr>
        <w:t xml:space="preserve">ПРИЛОЖЕНИЕ № 2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 xml:space="preserve">к Техническим требованиям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>на оказание услуг</w:t>
      </w:r>
    </w:p>
    <w:p>
      <w:pPr>
        <w:pStyle w:val="Normal"/>
        <w:widowControl w:val="false"/>
        <w:jc w:val="right"/>
        <w:rPr>
          <w:b/>
          <w:color w:val="auto"/>
          <w:szCs w:val="24"/>
          <w:lang w:eastAsia="x-none"/>
        </w:rPr>
      </w:pPr>
      <w:r>
        <w:rPr>
          <w:b/>
          <w:color w:val="auto"/>
          <w:szCs w:val="24"/>
          <w:lang w:eastAsia="x-none"/>
        </w:rPr>
      </w:r>
    </w:p>
    <w:p>
      <w:pPr>
        <w:pStyle w:val="Normal"/>
        <w:widowControl w:val="false"/>
        <w:rPr>
          <w:color w:val="auto"/>
        </w:rPr>
      </w:pPr>
      <w:r>
        <w:rPr>
          <w:b/>
          <w:color w:val="auto"/>
          <w:szCs w:val="24"/>
          <w:lang w:eastAsia="x-none"/>
        </w:rPr>
        <w:t>Форма отчета КПУ</w:t>
      </w:r>
    </w:p>
    <w:p>
      <w:pPr>
        <w:pStyle w:val="Normal"/>
        <w:jc w:val="center"/>
        <w:rPr>
          <w:rFonts w:eastAsia="Calibri"/>
          <w:b/>
          <w:bCs/>
          <w:color w:val="auto"/>
          <w:szCs w:val="24"/>
          <w:u w:val="single"/>
        </w:rPr>
      </w:pPr>
      <w:r>
        <w:rPr>
          <w:rFonts w:eastAsia="Calibri"/>
          <w:b/>
          <w:bCs/>
          <w:color w:val="auto"/>
          <w:szCs w:val="24"/>
          <w:u w:val="single"/>
        </w:rPr>
      </w:r>
    </w:p>
    <w:p>
      <w:pPr>
        <w:pStyle w:val="Normal"/>
        <w:jc w:val="center"/>
        <w:rPr>
          <w:rFonts w:eastAsia="Calibri"/>
          <w:b/>
          <w:bCs/>
          <w:color w:val="auto"/>
          <w:szCs w:val="24"/>
          <w:u w:val="single"/>
        </w:rPr>
      </w:pPr>
      <w:r>
        <w:rPr>
          <w:rFonts w:eastAsia="Calibri"/>
          <w:b/>
          <w:bCs/>
          <w:color w:val="auto"/>
          <w:szCs w:val="24"/>
          <w:u w:val="single"/>
        </w:rPr>
      </w:r>
    </w:p>
    <w:p>
      <w:pPr>
        <w:pStyle w:val="Normal"/>
        <w:jc w:val="center"/>
        <w:rPr>
          <w:color w:val="auto"/>
        </w:rPr>
      </w:pPr>
      <w:r>
        <w:rPr>
          <w:rFonts w:eastAsia="Calibri"/>
          <w:b/>
          <w:bCs/>
          <w:color w:val="auto"/>
        </w:rPr>
        <w:t xml:space="preserve">Отчет по качеству </w:t>
      </w:r>
      <w:r>
        <w:rPr>
          <w:rFonts w:eastAsia="Calibri"/>
          <w:b/>
          <w:color w:val="auto"/>
        </w:rPr>
        <w:t xml:space="preserve">предоставления </w:t>
      </w:r>
      <w:r>
        <w:rPr>
          <w:rFonts w:eastAsia="Calibri"/>
          <w:b/>
          <w:bCs/>
          <w:color w:val="auto"/>
        </w:rPr>
        <w:t>услуг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Основание: Договор № </w:t>
      </w:r>
      <w:r>
        <w:rPr>
          <w:rFonts w:eastAsia="Calibri"/>
          <w:color w:val="auto"/>
          <w:szCs w:val="24"/>
          <w:u w:val="single"/>
        </w:rPr>
        <w:t>номер</w:t>
      </w:r>
      <w:r>
        <w:rPr>
          <w:rFonts w:eastAsia="Calibri"/>
          <w:color w:val="auto"/>
          <w:szCs w:val="24"/>
        </w:rPr>
        <w:t xml:space="preserve"> от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месяц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год</w:t>
      </w:r>
      <w:r>
        <w:rPr>
          <w:rFonts w:eastAsia="Calibri"/>
          <w:color w:val="auto"/>
          <w:szCs w:val="24"/>
        </w:rPr>
        <w:t> г.</w:t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Дата составления: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месяц год г.</w:t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Период (этап) оказания услуг: с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месяц год</w:t>
      </w:r>
      <w:r>
        <w:rPr>
          <w:rFonts w:eastAsia="Calibri"/>
          <w:color w:val="auto"/>
          <w:szCs w:val="24"/>
        </w:rPr>
        <w:t> по </w:t>
      </w:r>
      <w:r>
        <w:rPr>
          <w:rFonts w:eastAsia="Calibri"/>
          <w:color w:val="auto"/>
          <w:szCs w:val="24"/>
          <w:u w:val="single"/>
        </w:rPr>
        <w:t>«число»</w:t>
      </w:r>
      <w:r>
        <w:rPr>
          <w:rFonts w:eastAsia="Calibri"/>
          <w:color w:val="auto"/>
          <w:szCs w:val="24"/>
        </w:rPr>
        <w:t> </w:t>
      </w:r>
      <w:r>
        <w:rPr>
          <w:rFonts w:eastAsia="Calibri"/>
          <w:color w:val="auto"/>
          <w:szCs w:val="24"/>
          <w:u w:val="single"/>
        </w:rPr>
        <w:t>месяц</w:t>
      </w:r>
      <w:r>
        <w:rPr>
          <w:rFonts w:eastAsia="Calibri"/>
          <w:color w:val="auto"/>
          <w:szCs w:val="24"/>
        </w:rPr>
        <w:t> год г. (№ этапа)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eastAsia="Calibri"/>
          <w:b/>
          <w:color w:val="auto"/>
          <w:szCs w:val="24"/>
        </w:rPr>
        <w:t>Наименование услуги: </w:t>
      </w:r>
      <w:r>
        <w:rPr>
          <w:rFonts w:eastAsia="Calibri"/>
          <w:b/>
          <w:color w:val="auto"/>
          <w:szCs w:val="24"/>
          <w:u w:val="single"/>
        </w:rPr>
        <w:t>согласно договору</w:t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rPr>
          <w:color w:val="auto"/>
        </w:rPr>
      </w:pPr>
      <w:r>
        <w:rPr>
          <w:rFonts w:eastAsia="Calibri"/>
          <w:color w:val="auto"/>
          <w:szCs w:val="24"/>
        </w:rPr>
        <w:t>Исполнитель услуги: сокращенное название юридического лица согласно договору</w:t>
      </w:r>
    </w:p>
    <w:p>
      <w:pPr>
        <w:pStyle w:val="Normal"/>
        <w:numPr>
          <w:ilvl w:val="0"/>
          <w:numId w:val="12"/>
        </w:numPr>
        <w:spacing w:before="0" w:after="0"/>
        <w:contextualSpacing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SLA диаграмма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15"/>
        <w:gridCol w:w="619"/>
        <w:gridCol w:w="610"/>
        <w:gridCol w:w="621"/>
        <w:gridCol w:w="616"/>
        <w:gridCol w:w="621"/>
        <w:gridCol w:w="619"/>
        <w:gridCol w:w="622"/>
        <w:gridCol w:w="619"/>
        <w:gridCol w:w="619"/>
        <w:gridCol w:w="615"/>
        <w:gridCol w:w="625"/>
        <w:gridCol w:w="600"/>
      </w:tblGrid>
      <w:tr>
        <w:trPr>
          <w:trHeight w:val="1871" w:hRule="atLeast"/>
          <w:cantSplit w:val="true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пАРАМЕТРЫ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МЕТОДИКИ расчёта показателей качества*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8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0"/>
              <w:ind w:left="113" w:right="113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Этап 12</w:t>
            </w:r>
          </w:p>
        </w:tc>
      </w:tr>
      <w:tr>
        <w:trPr>
          <w:trHeight w:val="375" w:hRule="atLeast"/>
          <w:cantSplit w:val="true"/>
        </w:trPr>
        <w:tc>
          <w:tcPr>
            <w:tcW w:w="9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ind w:right="113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Группа параметров “Решение инцидентов и ЗНО”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Параметр 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Параметр 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</w:tr>
      <w:tr>
        <w:trPr>
          <w:trHeight w:val="375" w:hRule="atLeast"/>
          <w:cantSplit w:val="true"/>
        </w:trPr>
        <w:tc>
          <w:tcPr>
            <w:tcW w:w="99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ind w:right="113"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Группа параметров “реализация ЗНИ”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  <w:t>…………</w:t>
            </w:r>
            <w:r>
              <w:rPr>
                <w:b/>
                <w:caps/>
                <w:color w:val="auto"/>
                <w:sz w:val="22"/>
                <w:szCs w:val="22"/>
              </w:rPr>
              <w:t>..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Параметр N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2D659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b/>
                <w:caps/>
                <w:color w:val="auto"/>
                <w:sz w:val="22"/>
                <w:szCs w:val="22"/>
              </w:rPr>
            </w:pPr>
            <w:r>
              <w:rPr>
                <w:b/>
                <w:caps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9"/>
        <w:gridCol w:w="8446"/>
      </w:tblGrid>
      <w:tr>
        <w:trPr>
          <w:trHeight w:val="427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2DC4B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>З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 xml:space="preserve">- </w:t>
            </w:r>
            <w:r>
              <w:rPr>
                <w:color w:val="auto"/>
                <w:szCs w:val="24"/>
              </w:rPr>
              <w:t>фактическое значение параметра соответствует SLA</w:t>
            </w:r>
          </w:p>
        </w:tc>
      </w:tr>
      <w:tr>
        <w:trPr>
          <w:trHeight w:val="427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>Ж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 xml:space="preserve">- </w:t>
            </w:r>
            <w:r>
              <w:rPr>
                <w:color w:val="auto"/>
                <w:szCs w:val="24"/>
              </w:rPr>
              <w:t xml:space="preserve">не удовлетворительное качество предоставления услуг по данному параметру </w:t>
            </w:r>
          </w:p>
        </w:tc>
      </w:tr>
      <w:tr>
        <w:trPr>
          <w:trHeight w:val="427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>К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aps/>
                <w:color w:val="auto"/>
                <w:szCs w:val="24"/>
              </w:rPr>
              <w:t xml:space="preserve">- </w:t>
            </w:r>
            <w:r>
              <w:rPr>
                <w:color w:val="auto"/>
                <w:szCs w:val="24"/>
              </w:rPr>
              <w:t xml:space="preserve">грубое нарушение SLA по данному параметру. </w:t>
            </w:r>
          </w:p>
        </w:tc>
      </w:tr>
    </w:tbl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numPr>
          <w:ilvl w:val="0"/>
          <w:numId w:val="12"/>
        </w:numPr>
        <w:spacing w:before="0" w:after="0"/>
        <w:contextualSpacing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Значения ПКПУ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"/>
        <w:gridCol w:w="5096"/>
        <w:gridCol w:w="2048"/>
        <w:gridCol w:w="2273"/>
      </w:tblGrid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№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ПКПУ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Фактическое значение ПКПУ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Оценка ПКПУ согласно SLA</w:t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/>
                <w:bCs/>
                <w:iCs/>
                <w:color w:val="auto"/>
                <w:szCs w:val="24"/>
                <w:lang w:eastAsia="x-none"/>
              </w:rPr>
              <w:t>1.</w:t>
            </w:r>
          </w:p>
        </w:tc>
        <w:tc>
          <w:tcPr>
            <w:tcW w:w="5096" w:type="dxa"/>
            <w:tcBorders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048" w:type="dxa"/>
            <w:tcBorders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273" w:type="dxa"/>
            <w:tcBorders/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1.1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Название ПКПУ 1.1.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…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……</w:t>
            </w:r>
            <w:r>
              <w:rPr>
                <w:color w:val="auto"/>
                <w:szCs w:val="24"/>
              </w:rPr>
              <w:t>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</w:tr>
      <w:tr>
        <w:trPr/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п. п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color w:val="auto"/>
                <w:szCs w:val="24"/>
              </w:rPr>
              <w:t>Название ПКПУ n.n.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/>
                <w:iCs/>
                <w:color w:val="auto"/>
                <w:szCs w:val="24"/>
                <w:lang w:eastAsia="x-none"/>
              </w:rPr>
              <w:t>Требуется заполнить</w:t>
            </w:r>
          </w:p>
        </w:tc>
      </w:tr>
      <w:tr>
        <w:trPr/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Общая оценка качества Услуги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i/>
                <w:i/>
                <w:iCs/>
                <w:color w:val="auto"/>
                <w:szCs w:val="24"/>
                <w:lang w:eastAsia="x-none"/>
              </w:rPr>
            </w:pPr>
            <w:r>
              <w:rPr>
                <w:b/>
                <w:bCs/>
                <w:i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i/>
                <w:i/>
                <w:iCs/>
                <w:color w:val="auto"/>
                <w:szCs w:val="24"/>
                <w:lang w:eastAsia="x-none"/>
              </w:rPr>
            </w:pPr>
            <w:r>
              <w:rPr>
                <w:b/>
                <w:bCs/>
                <w:i/>
                <w:iCs/>
                <w:color w:val="auto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0"/>
        <w:ind w:left="720"/>
        <w:contextualSpacing/>
        <w:rPr>
          <w:bCs/>
          <w:iCs/>
          <w:color w:val="auto"/>
          <w:szCs w:val="24"/>
          <w:lang w:eastAsia="x-none"/>
        </w:rPr>
      </w:pPr>
      <w:r>
        <w:rPr>
          <w:bCs/>
          <w:iCs/>
          <w:color w:val="auto"/>
          <w:szCs w:val="24"/>
          <w:lang w:eastAsia="x-none"/>
        </w:rPr>
      </w:r>
    </w:p>
    <w:p>
      <w:pPr>
        <w:pStyle w:val="Normal"/>
        <w:numPr>
          <w:ilvl w:val="0"/>
          <w:numId w:val="12"/>
        </w:numPr>
        <w:spacing w:before="0" w:after="0"/>
        <w:contextualSpacing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 xml:space="preserve">Общая статистика обращений. </w:t>
      </w:r>
    </w:p>
    <w:p>
      <w:pPr>
        <w:pStyle w:val="Normal"/>
        <w:spacing w:before="0" w:after="0"/>
        <w:ind w:left="720"/>
        <w:contextualSpacing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Заполняется для всех предоставляемых услуг в едином отчёте.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4"/>
        <w:gridCol w:w="1254"/>
        <w:gridCol w:w="1022"/>
        <w:gridCol w:w="1263"/>
        <w:gridCol w:w="1006"/>
        <w:gridCol w:w="1195"/>
        <w:gridCol w:w="1071"/>
        <w:gridCol w:w="1233"/>
        <w:gridCol w:w="1033"/>
      </w:tblGrid>
      <w:tr>
        <w:trPr/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Услуга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Инциденты/ЗНО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Изменения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НШС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Проблемы</w:t>
            </w:r>
          </w:p>
        </w:tc>
      </w:tr>
      <w:tr>
        <w:trPr/>
        <w:tc>
          <w:tcPr>
            <w:tcW w:w="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Зарегистрировано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Решено</w:t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Услуга1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…</w:t>
            </w:r>
            <w:r>
              <w:rPr>
                <w:bCs/>
                <w:iCs/>
                <w:color w:val="auto"/>
                <w:szCs w:val="24"/>
                <w:lang w:eastAsia="x-none"/>
              </w:rPr>
              <w:t>..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Услуга 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Cs/>
                <w:iCs/>
                <w:color w:val="auto"/>
                <w:szCs w:val="24"/>
                <w:lang w:eastAsia="x-none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0"/>
        <w:ind w:left="720"/>
        <w:contextualSpacing/>
        <w:rPr>
          <w:bCs/>
          <w:iCs/>
          <w:color w:val="auto"/>
          <w:szCs w:val="24"/>
          <w:lang w:eastAsia="x-none"/>
        </w:rPr>
      </w:pPr>
      <w:r>
        <w:rPr>
          <w:bCs/>
          <w:iCs/>
          <w:color w:val="auto"/>
          <w:szCs w:val="24"/>
          <w:lang w:eastAsia="x-none"/>
        </w:rPr>
      </w:r>
    </w:p>
    <w:p>
      <w:pPr>
        <w:pStyle w:val="Normal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803"/>
        <w:gridCol w:w="583"/>
        <w:gridCol w:w="4819"/>
      </w:tblGrid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От Заказчика:</w:t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color w:val="auto"/>
                <w:szCs w:val="24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От Исполнителя:</w:t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Должность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Должность</w:t>
            </w:r>
          </w:p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Сокращенное наименование юридического лица</w:t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80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_________________ Инициалы, фамилия</w:t>
            </w:r>
          </w:p>
        </w:tc>
        <w:tc>
          <w:tcPr>
            <w:tcW w:w="583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color w:val="auto"/>
                <w:szCs w:val="24"/>
              </w:rPr>
              <w:t>_________________ Инициалы, фамилия</w:t>
            </w:r>
          </w:p>
        </w:tc>
      </w:tr>
    </w:tbl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</w:p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</w:p>
    <w:p>
      <w:pPr>
        <w:pStyle w:val="Normal"/>
        <w:spacing w:before="0" w:after="120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</w:p>
    <w:p>
      <w:pPr>
        <w:pStyle w:val="Normal"/>
        <w:rPr>
          <w:i/>
          <w:i/>
          <w:iCs/>
          <w:color w:val="auto"/>
          <w:szCs w:val="24"/>
          <w:shd w:fill="FFFF99" w:val="clear"/>
        </w:rPr>
      </w:pPr>
      <w:r>
        <w:rPr>
          <w:i/>
          <w:iCs/>
          <w:color w:val="000000"/>
          <w:szCs w:val="24"/>
          <w:shd w:fill="FFFF99" w:val="clear"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hanging="0" w:left="0"/>
        <w:jc w:val="right"/>
        <w:rPr>
          <w:color w:val="auto"/>
        </w:rPr>
      </w:pPr>
      <w:bookmarkStart w:id="29" w:name="__RefHeading___Toc62271_3104815314"/>
      <w:bookmarkEnd w:id="29"/>
      <w:r>
        <w:rPr>
          <w:color w:val="auto"/>
          <w:sz w:val="24"/>
          <w:szCs w:val="24"/>
          <w:lang w:val="ru-RU"/>
        </w:rPr>
        <w:t>ПРИЛОЖЕНИЕ № 3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 xml:space="preserve">к Техническим требованиям </w:t>
      </w:r>
    </w:p>
    <w:p>
      <w:pPr>
        <w:pStyle w:val="Normal"/>
        <w:tabs>
          <w:tab w:val="clear" w:pos="708"/>
          <w:tab w:val="left" w:pos="-2268" w:leader="none"/>
        </w:tabs>
        <w:jc w:val="right"/>
        <w:rPr>
          <w:color w:val="auto"/>
        </w:rPr>
      </w:pPr>
      <w:r>
        <w:rPr>
          <w:color w:val="auto"/>
          <w:szCs w:val="24"/>
        </w:rPr>
        <w:t>на оказание услуг</w:t>
      </w:r>
    </w:p>
    <w:p>
      <w:pPr>
        <w:pStyle w:val="Normal"/>
        <w:spacing w:lineRule="auto" w:line="276" w:before="227" w:after="227"/>
        <w:jc w:val="center"/>
        <w:rPr>
          <w:color w:val="auto"/>
        </w:rPr>
      </w:pPr>
      <w:r>
        <w:rPr>
          <w:b/>
          <w:color w:val="auto"/>
        </w:rPr>
        <w:t>Методика оценки качества предоставления услуг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Оценка качества для каждой услуги, осуществляется на основании показателей качества предоставления услуг (далее – ПКПУ), приведённых в таблице 1.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По окончании отчётного периода для каждой предоставленной услуги Исполнитель проводит расчет значений ПКПУ на основании пороговых значений ПКПУ, указанных в настоящем документе в Таблице 1.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color w:val="auto"/>
          <w:szCs w:val="24"/>
        </w:rPr>
        <w:t>На основании проведённой первичной оценки, Исполнитель формирует отчёт</w:t>
        <w:br/>
        <w:t>в соответствии с Порядком подготовки отчета по качеству предоставления комплексных ИТ-услуг. Отчёты формируются на основании информации из КСА СПП. Для их проверки могут быть использованы данные из системы мониторинга Заказчика. В течении 5 рабочих дней Заказчик обязан ознакомиться с указанными отчетами, представить замечания в случае их наличия или согласовать их.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В случае, если какие-то ПКПУ имеют оценку “Низкое качество” или “Неудовлетворительное качество”, Исполнитель обязан провести анализ причин снижения качества такой услуги, разработать план работ по устранению причин и реализовать мероприятия по исправлению ситуации. Результаты анализа и план работ в таких случаях прилагаются к отчёту в формате аналитической записки.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В течении 5 дней с даты заключения договора, каждая из сторон, обязана назначить одного или несколько сотрудников для осуществления контроля и решения спорных вопросов в области качества предоставляемых услуг. Из указанных сотрудников может формироваться Комитет качества услуг (далее – ККУ).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Если Исполнитель считает, что оценка ПКПУ не достоверна или снижение качества предоставляемых услуг произошло в силу не зависящих от него обстоятельств, он имеет право инициировать заседание ККУ, представив обоснования и доказательства своей позиции. По результатам данного заседания, членами ККУ со стороны Заказчика проводится окончательная оценка качества предоставленных услуг и может быть принято решение о применении к Исполнителю штрафных санкций.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О любых изменениях условий предоставления и оценки услуг (изменение состава или содержания регламентирующих документов, изменение требований к форматам отчетов, изменение состава и параметров предоставления Услуг и т.д.) Заказчик обязан уведомить и согласовать с ККУ письменно, не позднее чем за 2 календарных месяца до вступления в силу предполагаемых изменений.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Исполнитель имеет право сформировать и вынести на обсуждение ККУ предложения по корректировке условий предоставления и оценки услуг (изменение состава или содержания регламентирующих документов, изменение требований к форматам отчетов, изменение состава и параметров предоставления Услуг и т.д.).</w:t>
      </w:r>
    </w:p>
    <w:p>
      <w:p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На основании решения ККУ, подтверждённого соответствующим протоколом может быть актуализирован состав и пороговые значения ПКПУ, а также формат и состав отчётов.</w:t>
      </w:r>
    </w:p>
    <w:p>
      <w:pPr>
        <w:sectPr>
          <w:headerReference w:type="default" r:id="rId14"/>
          <w:headerReference w:type="first" r:id="rId15"/>
          <w:footnotePr>
            <w:numFmt w:val="decimal"/>
            <w:numRestart w:val="eachPage"/>
          </w:footnotePr>
          <w:type w:val="nextPage"/>
          <w:pgSz w:w="11906" w:h="16838"/>
          <w:pgMar w:left="1134" w:right="850" w:gutter="0" w:header="850" w:top="1275" w:footer="0" w:bottom="850"/>
          <w:pgNumType w:fmt="decimal"/>
          <w:formProt w:val="false"/>
          <w:textDirection w:val="lrTb"/>
          <w:docGrid w:type="default" w:linePitch="100" w:charSpace="8192"/>
        </w:sectPr>
        <w:pStyle w:val="Normal"/>
        <w:numPr>
          <w:ilvl w:val="0"/>
          <w:numId w:val="14"/>
        </w:numPr>
        <w:spacing w:before="113" w:after="113"/>
        <w:ind w:firstLine="567" w:left="0"/>
        <w:jc w:val="both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Описание ПКПУ, таблица 1.</w:t>
      </w:r>
    </w:p>
    <w:p>
      <w:pPr>
        <w:pStyle w:val="Normal"/>
        <w:spacing w:lineRule="auto" w:line="276" w:before="120" w:after="120"/>
        <w:ind w:left="170"/>
        <w:contextualSpacing/>
        <w:jc w:val="both"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Таблица 1. Описание ПКПУ</w:t>
      </w:r>
    </w:p>
    <w:tbl>
      <w:tblPr>
        <w:tblW w:w="1445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731"/>
        <w:gridCol w:w="1869"/>
        <w:gridCol w:w="1984"/>
        <w:gridCol w:w="2265"/>
        <w:gridCol w:w="5442"/>
        <w:gridCol w:w="2165"/>
      </w:tblGrid>
      <w:tr>
        <w:trPr>
          <w:tblHeader w:val="true"/>
          <w:trHeight w:val="340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91"/>
              <w:ind w:left="12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 xml:space="preserve">№ </w:t>
            </w:r>
            <w:r>
              <w:rPr>
                <w:b/>
                <w:bCs/>
                <w:color w:val="auto"/>
                <w:szCs w:val="24"/>
              </w:rPr>
              <w:t>пп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91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Название параметра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91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Краткое описание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91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Метод определения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91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Формула для расчета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91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Предельное значение</w:t>
            </w:r>
          </w:p>
        </w:tc>
      </w:tr>
      <w:tr>
        <w:trPr>
          <w:trHeight w:val="377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1.</w:t>
            </w:r>
          </w:p>
        </w:tc>
        <w:tc>
          <w:tcPr>
            <w:tcW w:w="13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ЗНО и Инцидентов</w:t>
            </w:r>
          </w:p>
        </w:tc>
      </w:tr>
      <w:tr>
        <w:trPr>
          <w:trHeight w:val="2354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1.1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% просроченных Запросов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Процент Запросов (инцидентов, ЗНО), разрешенных с нарушением срока решения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признака “Просрочен” да/нет в КСА СПП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К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>=(N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3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6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7</w:t>
            </w:r>
            <w:r>
              <w:rPr>
                <w:color w:val="auto"/>
                <w:szCs w:val="24"/>
              </w:rPr>
              <w:t>)*100/(N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2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3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5</w:t>
            </w:r>
            <w:r>
              <w:rPr>
                <w:color w:val="auto"/>
                <w:szCs w:val="24"/>
              </w:rPr>
              <w:t>+N</w:t>
            </w:r>
            <w:r>
              <w:rPr>
                <w:color w:val="auto"/>
                <w:szCs w:val="24"/>
                <w:vertAlign w:val="subscript"/>
              </w:rPr>
              <w:t>8</w:t>
            </w:r>
            <w:r>
              <w:rPr>
                <w:color w:val="auto"/>
                <w:szCs w:val="24"/>
              </w:rPr>
              <w:t>), где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1</w:t>
            </w:r>
            <w:r>
              <w:rPr>
                <w:color w:val="auto"/>
                <w:szCs w:val="24"/>
              </w:rPr>
              <w:t xml:space="preserve"> – количество открытых и просроченных на начало периода обращений, зарегистрированных в предыдущие отчётные периоды;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2</w:t>
            </w:r>
            <w:r>
              <w:rPr>
                <w:color w:val="auto"/>
                <w:szCs w:val="24"/>
              </w:rPr>
              <w:t xml:space="preserve"> – количество открытых на начало периода непросроченных обращений, зарегистрированных в предыдущие отчётные периоды;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3</w:t>
            </w:r>
            <w:r>
              <w:rPr>
                <w:color w:val="auto"/>
                <w:szCs w:val="24"/>
              </w:rPr>
              <w:t xml:space="preserve"> – количество открытых просроченных обращений, зарегистрированных в текущем отчётном периоде на момент формирования отчета;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 xml:space="preserve"> – количество закрытых просроченных обращений, зарегистрированных в текущем отчётном периоде на момент формирования отчета;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5</w:t>
            </w:r>
            <w:r>
              <w:rPr>
                <w:color w:val="auto"/>
                <w:szCs w:val="24"/>
              </w:rPr>
              <w:t xml:space="preserve"> – количество закрытых непросроченных обращений, зарегистрированных в текущем отчётном периоде на момент формирования отчета;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6</w:t>
            </w:r>
            <w:r>
              <w:rPr>
                <w:color w:val="auto"/>
                <w:szCs w:val="24"/>
              </w:rPr>
              <w:t xml:space="preserve"> – количество закрытых и просроченных в отчетном периоде обращений, зарегистрированных в предыдущие отчётные периоды;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7</w:t>
            </w:r>
            <w:r>
              <w:rPr>
                <w:color w:val="auto"/>
                <w:szCs w:val="24"/>
              </w:rPr>
              <w:t xml:space="preserve"> – количество открытых и просроченных в отчетном периоде обращений, зарегистрированных в предыдущие отчётные периоды.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</w:t>
            </w:r>
            <w:r>
              <w:rPr>
                <w:color w:val="auto"/>
                <w:szCs w:val="24"/>
                <w:vertAlign w:val="subscript"/>
              </w:rPr>
              <w:t>8</w:t>
            </w:r>
            <w:r>
              <w:rPr>
                <w:color w:val="auto"/>
                <w:szCs w:val="24"/>
              </w:rPr>
              <w:t xml:space="preserve"> – количество открытых и непросроченных в отчетном периоде обращений, зарегистрированных в текущем отчётном  периоде.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менее 5%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от 5% - до 10%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Неудовлетворительное качество</w:t>
            </w:r>
            <w:r>
              <w:rPr>
                <w:color w:val="auto"/>
                <w:szCs w:val="24"/>
              </w:rPr>
              <w:t xml:space="preserve"> – более 10%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1.2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% повторно открытых Запросов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Процент Запросов, закрытие которых было отклонено пользователем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основании поля “Количество возобновлений” в КСА СПП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К2 = (N8/Nобщ) * 100%, где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N8 – количество Запросов, закрытых в отчётном периоде и возвращённых Пользователем в работу после выполнения;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Nобщ – общее количество Запросов, закрытых в отчётном периоде.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менее 3%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от 3% - до 7%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 xml:space="preserve">Неудовлетворительное качество – </w:t>
            </w:r>
            <w:r>
              <w:rPr>
                <w:color w:val="auto"/>
                <w:szCs w:val="24"/>
              </w:rPr>
              <w:t>более 7%</w:t>
            </w:r>
          </w:p>
        </w:tc>
      </w:tr>
      <w:tr>
        <w:trPr>
          <w:trHeight w:val="340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1.3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5" w:left="12" w:right="-88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Запросов от VIP пользователей, закрытых с негативной оценкой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Запросов от VIP пользователей, получивших в отчетном периоде при закрытии негативную оценку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негативной оценки VIP пользователей – «Есть претензии» и «Нет серьезных замечаний», при закрытии обращения в КСА СПП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К3 = количество запросов от VIP пользователей, получивших в отчетном периоде при закрытии негативную оценку.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не более 0 шт.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1-2 шт.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 xml:space="preserve">Неудовлетворительное качество </w:t>
            </w:r>
            <w:r>
              <w:rPr>
                <w:color w:val="auto"/>
                <w:szCs w:val="24"/>
              </w:rPr>
              <w:t>более 2 шт.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>
          <w:trHeight w:val="516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2.</w:t>
            </w:r>
          </w:p>
        </w:tc>
        <w:tc>
          <w:tcPr>
            <w:tcW w:w="13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изменений</w:t>
            </w:r>
          </w:p>
        </w:tc>
      </w:tr>
      <w:tr>
        <w:trPr>
          <w:trHeight w:val="238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2.1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несвоевременно реализованных ЗНИ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ЗНИ выполненных с превышением  согласованного с Функциональным заказчиком планового срока реализации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сравнения плановой и фактической даты реализации ЗНИ в КСА СПП.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</w:t>
            </w:r>
            <w:r>
              <w:rPr>
                <w:color w:val="auto"/>
                <w:szCs w:val="24"/>
                <w:vertAlign w:val="subscript"/>
              </w:rPr>
              <w:t>4</w:t>
            </w:r>
            <w:r>
              <w:rPr>
                <w:color w:val="auto"/>
                <w:szCs w:val="24"/>
              </w:rPr>
              <w:t xml:space="preserve"> – количество несвоевременно реализованных ЗНИ.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0 шт.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–1 -2 шт.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Неудовлетворительное качество</w:t>
            </w:r>
            <w:r>
              <w:rPr>
                <w:color w:val="auto"/>
                <w:szCs w:val="24"/>
              </w:rPr>
              <w:t xml:space="preserve"> – более 2 шт.</w:t>
            </w:r>
          </w:p>
          <w:p>
            <w:pPr>
              <w:pStyle w:val="Normal"/>
              <w:widowControl w:val="false"/>
              <w:spacing w:lineRule="auto" w:line="259" w:before="0" w:after="91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  <w:tr>
        <w:trPr>
          <w:trHeight w:val="534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3.</w:t>
            </w:r>
          </w:p>
        </w:tc>
        <w:tc>
          <w:tcPr>
            <w:tcW w:w="137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b/>
                <w:bCs/>
                <w:color w:val="auto"/>
                <w:szCs w:val="24"/>
              </w:rPr>
              <w:t>Контроль НШС</w:t>
            </w:r>
          </w:p>
        </w:tc>
      </w:tr>
      <w:tr>
        <w:trPr>
          <w:trHeight w:val="238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3.1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НШС 1 уровня (недоступность услуги)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Количество инцидентов, вызвавших не запланированную недоступность Сервиса.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Определяется на основе данных о количестве зарегистрированных НШС по вине Исполнителя, зарегистрированных в КСА СПП в отчётный период.</w:t>
            </w:r>
          </w:p>
          <w:p>
            <w:pPr>
              <w:pStyle w:val="Normal"/>
              <w:widowControl w:val="false"/>
              <w:ind w:left="12"/>
              <w:rPr>
                <w:color w:val="auto"/>
              </w:rPr>
            </w:pPr>
            <w:r>
              <w:rPr>
                <w:color w:val="auto"/>
                <w:szCs w:val="24"/>
              </w:rPr>
              <w:t>Данные по НШС могут быть проверены по системам мониторинга Заказчика. Критерии определения доступности устанавливаются в Картах мониторинга, разрабатываемых Исполнителем и согласованных с Заказчиком до начала действия договора. При спорных ситуациях ответственность за НШС определяет ККУ.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Cs w:val="24"/>
              </w:rPr>
              <w:t>К</w:t>
            </w:r>
            <w:r>
              <w:rPr>
                <w:color w:val="auto"/>
                <w:szCs w:val="24"/>
                <w:vertAlign w:val="subscript"/>
              </w:rPr>
              <w:t>5</w:t>
            </w:r>
            <w:r>
              <w:rPr>
                <w:color w:val="auto"/>
                <w:szCs w:val="24"/>
              </w:rPr>
              <w:t xml:space="preserve"> – количество инцидентов, вызвавших не запланированную недоступность Сервиса, по вине Исполнителя.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Cs w:val="24"/>
              </w:rPr>
              <w:t>Нормальное качество – 0 шт.</w:t>
            </w:r>
          </w:p>
          <w:p>
            <w:pPr>
              <w:pStyle w:val="Normal"/>
              <w:widowControl w:val="false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Cs w:val="24"/>
              </w:rPr>
              <w:t>Низкое качество – 1-2 шт.</w:t>
            </w:r>
          </w:p>
          <w:p>
            <w:pPr>
              <w:pStyle w:val="Normal"/>
              <w:widowControl w:val="false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bCs/>
                <w:iCs/>
                <w:color w:val="auto"/>
                <w:szCs w:val="24"/>
                <w:lang w:eastAsia="x-none"/>
              </w:rPr>
              <w:t>Неудовлетворительное качество</w:t>
            </w:r>
            <w:r>
              <w:rPr>
                <w:color w:val="auto"/>
                <w:szCs w:val="24"/>
              </w:rPr>
              <w:t xml:space="preserve"> – более 2 шт.</w:t>
            </w:r>
          </w:p>
          <w:p>
            <w:pPr>
              <w:pStyle w:val="Normal"/>
              <w:widowControl w:val="false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</w:tbl>
    <w:p>
      <w:pPr>
        <w:pStyle w:val="Normal"/>
        <w:rPr>
          <w:color w:val="auto"/>
        </w:rPr>
      </w:pPr>
      <w:r>
        <w:rPr>
          <w:color w:val="auto"/>
          <w:szCs w:val="24"/>
        </w:rPr>
        <w:t xml:space="preserve"> </w:t>
      </w:r>
    </w:p>
    <w:p>
      <w:pPr>
        <w:sectPr>
          <w:headerReference w:type="default" r:id="rId16"/>
          <w:headerReference w:type="first" r:id="rId17"/>
          <w:footerReference w:type="default" r:id="rId18"/>
          <w:footnotePr>
            <w:numFmt w:val="decimal"/>
            <w:numRestart w:val="eachPage"/>
          </w:footnotePr>
          <w:type w:val="nextPage"/>
          <w:pgSz w:orient="landscape" w:w="16838" w:h="11906"/>
          <w:pgMar w:left="1134" w:right="1134" w:gutter="0" w:header="567" w:top="1134" w:footer="567" w:bottom="1701"/>
          <w:pgNumType w:fmt="decimal"/>
          <w:formProt w:val="false"/>
          <w:textDirection w:val="lrTb"/>
          <w:docGrid w:type="default" w:linePitch="100" w:charSpace="8192"/>
        </w:sectPr>
        <w:pStyle w:val="Normal"/>
        <w:jc w:val="both"/>
        <w:rPr>
          <w:color w:val="auto"/>
        </w:rPr>
      </w:pPr>
      <w:r>
        <w:rPr>
          <w:color w:val="auto"/>
          <w:szCs w:val="24"/>
        </w:rPr>
        <w:t>* Пакет регламентирующих документов должен быть направлен и согласован с Исполнителем средствами электронного документооборота КСД не менее, чем за 1 месяц до начала оказания Услуг по соответствующему Этапу. В случае изменения в течение действия договора регламентирующих документов, актуальные документы направляются и согласуются с Исполнителем не менее, чем за 1 месяц до даты их вступления в силу.</w:t>
      </w:r>
    </w:p>
    <w:p>
      <w:pPr>
        <w:pStyle w:val="Normal"/>
        <w:rPr>
          <w:i/>
          <w:i/>
          <w:color w:val="auto"/>
          <w:szCs w:val="24"/>
        </w:rPr>
      </w:pPr>
      <w:r>
        <w:rPr>
          <w:i/>
          <w:color w:val="auto"/>
          <w:szCs w:val="24"/>
        </w:rPr>
      </w:r>
    </w:p>
    <w:p>
      <w:pPr>
        <w:pStyle w:val="Normal"/>
        <w:widowControl w:val="false"/>
        <w:spacing w:lineRule="exact" w:line="278"/>
        <w:jc w:val="center"/>
        <w:rPr>
          <w:color w:val="auto"/>
        </w:rPr>
      </w:pPr>
      <w:r>
        <w:rPr>
          <w:b/>
          <w:bCs/>
          <w:color w:val="auto"/>
          <w:szCs w:val="24"/>
          <w:lang w:bidi="ru-RU"/>
        </w:rPr>
        <w:t>Порядок перерасчета платежа за оказанные услуги</w:t>
      </w:r>
    </w:p>
    <w:p>
      <w:pPr>
        <w:pStyle w:val="Normal"/>
        <w:widowControl w:val="false"/>
        <w:spacing w:lineRule="exact" w:line="278"/>
        <w:jc w:val="center"/>
        <w:rPr>
          <w:color w:val="auto"/>
        </w:rPr>
      </w:pPr>
      <w:r>
        <w:rPr>
          <w:b/>
          <w:bCs/>
          <w:color w:val="auto"/>
          <w:szCs w:val="24"/>
          <w:lang w:bidi="ru-RU"/>
        </w:rPr>
        <w:t>за отчетный период</w:t>
      </w:r>
    </w:p>
    <w:p>
      <w:pPr>
        <w:pStyle w:val="Normal"/>
        <w:widowControl w:val="false"/>
        <w:spacing w:lineRule="exact" w:line="278"/>
        <w:jc w:val="center"/>
        <w:rPr>
          <w:bCs/>
          <w:color w:val="auto"/>
          <w:szCs w:val="24"/>
          <w:lang w:bidi="ru-RU"/>
        </w:rPr>
      </w:pPr>
      <w:r>
        <w:rPr>
          <w:bCs/>
          <w:color w:val="auto"/>
          <w:szCs w:val="24"/>
          <w:lang w:bidi="ru-RU"/>
        </w:rPr>
      </w:r>
    </w:p>
    <w:p>
      <w:pPr>
        <w:pStyle w:val="Normal"/>
        <w:jc w:val="both"/>
        <w:rPr>
          <w:color w:val="auto"/>
        </w:rPr>
      </w:pPr>
      <w:r>
        <w:rPr>
          <w:rFonts w:eastAsia="Calibri"/>
          <w:color w:val="auto"/>
          <w:szCs w:val="24"/>
          <w:lang w:eastAsia="en-US"/>
        </w:rPr>
        <w:t xml:space="preserve">Исполнитель гарантирует соблюдение Сводного показателя качества по каждой услуге, сокращенно «СПКУ». При снижении показателей, </w:t>
      </w:r>
      <w:r>
        <w:rPr>
          <w:rFonts w:eastAsia="Calibri"/>
          <w:color w:val="auto"/>
          <w:szCs w:val="24"/>
          <w:lang w:eastAsia="x-none"/>
        </w:rPr>
        <w:t>по решению Заказчика к Исполнителю могут быть применены штрафные санкции в следующем размере:</w:t>
      </w:r>
    </w:p>
    <w:p>
      <w:pPr>
        <w:pStyle w:val="Normal"/>
        <w:jc w:val="both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</w:r>
    </w:p>
    <w:tbl>
      <w:tblPr>
        <w:tblW w:w="93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46"/>
        <w:gridCol w:w="4688"/>
      </w:tblGrid>
      <w:tr>
        <w:trPr/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ПКУ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 xml:space="preserve">Максимально допустимое снижение размера оплаты стоимости услуги </w:t>
            </w:r>
            <w:r>
              <w:rPr>
                <w:rFonts w:eastAsia="Calibri"/>
                <w:color w:val="auto"/>
                <w:szCs w:val="24"/>
              </w:rPr>
              <w:t>(%)</w:t>
            </w:r>
          </w:p>
        </w:tc>
      </w:tr>
      <w:tr>
        <w:trPr/>
        <w:tc>
          <w:tcPr>
            <w:tcW w:w="46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СПКУ ≤ 0</w:t>
            </w:r>
          </w:p>
        </w:tc>
        <w:tc>
          <w:tcPr>
            <w:tcW w:w="46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0%</w:t>
            </w:r>
          </w:p>
        </w:tc>
      </w:tr>
      <w:tr>
        <w:trPr/>
        <w:tc>
          <w:tcPr>
            <w:tcW w:w="46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 &lt; СПКУ ≤ 0,25</w:t>
            </w:r>
          </w:p>
        </w:tc>
        <w:tc>
          <w:tcPr>
            <w:tcW w:w="46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1%</w:t>
            </w:r>
          </w:p>
        </w:tc>
      </w:tr>
      <w:tr>
        <w:trPr/>
        <w:tc>
          <w:tcPr>
            <w:tcW w:w="46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0,25 &lt; СПКУ ≤ 0,5</w:t>
            </w:r>
          </w:p>
        </w:tc>
        <w:tc>
          <w:tcPr>
            <w:tcW w:w="4688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3%</w:t>
            </w:r>
          </w:p>
        </w:tc>
      </w:tr>
      <w:tr>
        <w:trPr/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0,5 &lt; СПКУ ≤ 0,75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5%</w:t>
            </w:r>
          </w:p>
        </w:tc>
      </w:tr>
      <w:tr>
        <w:trPr>
          <w:trHeight w:val="243" w:hRule="atLeast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0,75 &lt; СПКУ &lt; 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7%</w:t>
            </w:r>
          </w:p>
        </w:tc>
      </w:tr>
      <w:tr>
        <w:trPr>
          <w:trHeight w:val="243" w:hRule="atLeast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/>
                <w:b/>
                <w:bCs/>
                <w:color w:val="auto"/>
                <w:szCs w:val="24"/>
              </w:rPr>
              <w:t>1 ≤СПКУ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78"/>
              <w:jc w:val="center"/>
              <w:rPr>
                <w:color w:val="auto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10%</w:t>
            </w:r>
          </w:p>
        </w:tc>
      </w:tr>
    </w:tbl>
    <w:p>
      <w:pPr>
        <w:pStyle w:val="Normal"/>
        <w:spacing w:lineRule="exact" w:line="278"/>
        <w:jc w:val="center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</w:r>
    </w:p>
    <w:p>
      <w:pPr>
        <w:pStyle w:val="Normal"/>
        <w:spacing w:lineRule="auto" w:line="276" w:before="0" w:after="0"/>
        <w:ind w:left="142"/>
        <w:contextualSpacing/>
        <w:jc w:val="both"/>
        <w:rPr>
          <w:color w:val="auto"/>
        </w:rPr>
      </w:pPr>
      <w:r>
        <w:rPr>
          <w:b/>
          <w:bCs/>
          <w:iCs/>
          <w:color w:val="auto"/>
          <w:szCs w:val="24"/>
          <w:lang w:eastAsia="x-none"/>
        </w:rPr>
        <w:t>Сводный Показатель качества услуги (СПКУ)</w:t>
      </w:r>
      <w:r>
        <w:rPr>
          <w:bCs/>
          <w:iCs/>
          <w:color w:val="auto"/>
          <w:szCs w:val="24"/>
          <w:lang w:eastAsia="x-none"/>
        </w:rPr>
        <w:t>, определяется по каждой услуге по формуле:</w:t>
      </w:r>
    </w:p>
    <w:p>
      <w:pPr>
        <w:pStyle w:val="Normal"/>
        <w:spacing w:lineRule="auto" w:line="276" w:before="0" w:after="0"/>
        <w:ind w:left="142"/>
        <w:contextualSpacing/>
        <w:jc w:val="center"/>
        <w:rPr>
          <w:color w:val="auto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СПКУ</m:t>
          </m:r>
          <m:r>
            <w:rPr>
              <w:rFonts w:ascii="Cambria Math" w:hAnsi="Cambria Math"/>
            </w:rPr>
            <m:t xml:space="preserve">=</m:t>
          </m:r>
          <m:f>
            <m:num>
              <m:nary>
                <m:naryPr>
                  <m:chr m:val="∑"/>
                </m:naryPr>
                <m:sub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n</m:t>
                  </m:r>
                </m:sup>
                <m:e>
                  <m:r>
                    <w:rPr>
                      <w:rFonts w:ascii="Cambria Math" w:hAnsi="Cambria Math"/>
                    </w:rPr>
                    <m:t xml:space="preserve">Ki</m:t>
                  </m:r>
                </m:e>
              </m:nary>
            </m:num>
            <m:den>
              <m:r>
                <w:rPr>
                  <w:rFonts w:ascii="Cambria Math" w:hAnsi="Cambria Math"/>
                </w:rPr>
                <m:t xml:space="preserve">n</m:t>
              </m:r>
            </m:den>
          </m:f>
        </m:oMath>
      </m:oMathPara>
    </w:p>
    <w:p>
      <w:pPr>
        <w:pStyle w:val="Normal"/>
        <w:ind w:hanging="707" w:left="1276"/>
        <w:rPr>
          <w:color w:val="auto"/>
        </w:rPr>
      </w:pPr>
      <w:r>
        <w:rPr>
          <w:bCs/>
          <w:iCs/>
          <w:color w:val="auto"/>
          <w:szCs w:val="24"/>
          <w:lang w:eastAsia="x-none"/>
        </w:rPr>
        <w:t>Где:</w:t>
      </w:r>
    </w:p>
    <w:p>
      <w:pPr>
        <w:pStyle w:val="Normal"/>
        <w:spacing w:before="120" w:after="0"/>
        <w:ind w:hanging="709" w:left="1276"/>
        <w:rPr>
          <w:color w:val="auto"/>
        </w:rPr>
      </w:pPr>
      <w:r>
        <w:rPr>
          <w:bCs/>
          <w:i/>
          <w:iCs/>
          <w:color w:val="auto"/>
          <w:szCs w:val="24"/>
          <w:lang w:eastAsia="x-none"/>
        </w:rPr>
        <w:t>СПКУ- Сводный показатель качества услуги (СПКУ).</w:t>
      </w:r>
    </w:p>
    <w:p>
      <w:pPr>
        <w:pStyle w:val="Normal"/>
        <w:spacing w:before="120" w:after="0"/>
        <w:ind w:hanging="707" w:left="1276"/>
        <w:rPr>
          <w:color w:val="auto"/>
        </w:rPr>
      </w:pPr>
      <w:r>
        <w:rPr>
          <w:bCs/>
          <w:i/>
          <w:iCs/>
          <w:color w:val="auto"/>
          <w:szCs w:val="24"/>
          <w:lang w:eastAsia="x-none"/>
        </w:rPr>
        <w:t xml:space="preserve">n- Количество ПКУ, по которым проводится оценка качества Услуги </w:t>
      </w:r>
    </w:p>
    <w:p>
      <w:pPr>
        <w:pStyle w:val="Normal"/>
        <w:spacing w:before="120" w:after="0"/>
        <w:ind w:hanging="707" w:left="1276"/>
        <w:rPr>
          <w:color w:val="auto"/>
        </w:rPr>
      </w:pPr>
      <w:r>
        <w:rPr/>
      </w:r>
      <m:oMath xmlns:m="http://schemas.openxmlformats.org/officeDocument/2006/math"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n</m:t>
            </m:r>
          </m:sup>
          <m:e>
            <m:r>
              <w:rPr>
                <w:rFonts w:ascii="Cambria Math" w:hAnsi="Cambria Math"/>
              </w:rPr>
              <m:t xml:space="preserve">Ki</m:t>
            </m:r>
          </m:e>
        </m:nary>
      </m:oMath>
      <w:r>
        <w:rPr>
          <w:bCs/>
          <w:i/>
          <w:iCs/>
          <w:color w:val="auto"/>
          <w:szCs w:val="24"/>
          <w:lang w:eastAsia="x-none"/>
        </w:rPr>
        <w:t>- Сумма баллов, полученных при оценке СПКУ</w:t>
      </w:r>
    </w:p>
    <w:p>
      <w:pPr>
        <w:pStyle w:val="Normal"/>
        <w:spacing w:before="120" w:after="0"/>
        <w:ind w:left="567"/>
        <w:jc w:val="both"/>
        <w:rPr>
          <w:color w:val="auto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Ki</m:t>
        </m:r>
      </m:oMath>
      <w:r>
        <w:rPr>
          <w:rFonts w:eastAsia="Calibri"/>
          <w:i/>
          <w:color w:val="auto"/>
          <w:szCs w:val="24"/>
          <w:lang w:eastAsia="x-none"/>
        </w:rPr>
        <w:t xml:space="preserve"> – </w:t>
      </w:r>
      <w:r>
        <w:rPr>
          <w:rFonts w:eastAsia="Calibri"/>
          <w:i/>
          <w:color w:val="auto"/>
          <w:szCs w:val="24"/>
          <w:lang w:eastAsia="x-none"/>
        </w:rPr>
        <w:t>оценка параметра качества, которое принимается из следующих условий:</w:t>
      </w:r>
    </w:p>
    <w:p>
      <w:pPr>
        <w:pStyle w:val="Normal"/>
        <w:numPr>
          <w:ilvl w:val="0"/>
          <w:numId w:val="13"/>
        </w:numPr>
        <w:spacing w:before="120" w:after="0"/>
        <w:ind w:hanging="360" w:left="993"/>
        <w:jc w:val="both"/>
        <w:rPr>
          <w:color w:val="auto"/>
        </w:rPr>
      </w:pPr>
      <w:r>
        <w:rPr>
          <w:rFonts w:eastAsia="Calibri"/>
          <w:i/>
          <w:color w:val="auto"/>
          <w:szCs w:val="24"/>
          <w:lang w:eastAsia="x-none"/>
        </w:rPr>
        <w:t>К = 0 соответствует критерию «Нормальное качество»</w:t>
      </w:r>
    </w:p>
    <w:p>
      <w:pPr>
        <w:pStyle w:val="Normal"/>
        <w:numPr>
          <w:ilvl w:val="0"/>
          <w:numId w:val="13"/>
        </w:numPr>
        <w:spacing w:before="120" w:after="0"/>
        <w:ind w:hanging="360" w:left="993"/>
        <w:jc w:val="both"/>
        <w:rPr>
          <w:color w:val="auto"/>
        </w:rPr>
      </w:pPr>
      <w:r>
        <w:rPr>
          <w:rFonts w:eastAsia="Calibri"/>
          <w:i/>
          <w:color w:val="auto"/>
          <w:szCs w:val="24"/>
          <w:lang w:eastAsia="x-none"/>
        </w:rPr>
        <w:t>К = 1 соответствует критерию «Низкое качество»</w:t>
      </w:r>
    </w:p>
    <w:p>
      <w:pPr>
        <w:pStyle w:val="Normal"/>
        <w:numPr>
          <w:ilvl w:val="0"/>
          <w:numId w:val="13"/>
        </w:numPr>
        <w:spacing w:before="120" w:after="0"/>
        <w:ind w:hanging="360" w:left="993"/>
        <w:jc w:val="both"/>
        <w:rPr>
          <w:color w:val="auto"/>
        </w:rPr>
      </w:pPr>
      <w:r>
        <w:rPr>
          <w:rFonts w:eastAsia="Calibri"/>
          <w:i/>
          <w:color w:val="auto"/>
          <w:szCs w:val="24"/>
          <w:lang w:eastAsia="x-none"/>
        </w:rPr>
        <w:t>К = 4 соответствует критерию «Неудовлетворительное качество»</w:t>
      </w:r>
    </w:p>
    <w:p>
      <w:pPr>
        <w:pStyle w:val="Normal"/>
        <w:jc w:val="center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b/>
          <w:color w:val="auto"/>
          <w:szCs w:val="24"/>
        </w:rPr>
        <w:t>ПОДПИСИ СТОРОН</w:t>
      </w:r>
    </w:p>
    <w:p>
      <w:pPr>
        <w:pStyle w:val="Normal"/>
        <w:jc w:val="both"/>
        <w:rPr>
          <w:color w:val="auto"/>
          <w:szCs w:val="24"/>
        </w:rPr>
      </w:pPr>
      <w:r>
        <w:rPr>
          <w:color w:val="auto"/>
          <w:szCs w:val="24"/>
        </w:rPr>
      </w:r>
    </w:p>
    <w:p>
      <w:pPr>
        <w:pStyle w:val="Normal"/>
        <w:jc w:val="both"/>
        <w:rPr>
          <w:color w:val="auto"/>
          <w:szCs w:val="24"/>
        </w:rPr>
      </w:pPr>
      <w:r>
        <w:rPr>
          <w:color w:val="auto"/>
          <w:szCs w:val="24"/>
        </w:rPr>
      </w:r>
    </w:p>
    <w:tbl>
      <w:tblPr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7"/>
        <w:gridCol w:w="4742"/>
      </w:tblGrid>
      <w:tr>
        <w:trPr/>
        <w:tc>
          <w:tcPr>
            <w:tcW w:w="4827" w:type="dxa"/>
            <w:tcBorders/>
          </w:tcPr>
          <w:p>
            <w:pPr>
              <w:pStyle w:val="Normal"/>
              <w:widowControl w:val="false"/>
              <w:jc w:val="both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Заказчик:</w:t>
            </w:r>
          </w:p>
        </w:tc>
        <w:tc>
          <w:tcPr>
            <w:tcW w:w="4742" w:type="dxa"/>
            <w:tcBorders/>
          </w:tcPr>
          <w:p>
            <w:pPr>
              <w:pStyle w:val="Normal"/>
              <w:widowControl w:val="false"/>
              <w:jc w:val="both"/>
              <w:rPr>
                <w:color w:val="auto"/>
              </w:rPr>
            </w:pPr>
            <w:r>
              <w:rPr>
                <w:b/>
                <w:color w:val="auto"/>
                <w:szCs w:val="24"/>
              </w:rPr>
              <w:t>Исполнитель:</w:t>
            </w:r>
          </w:p>
        </w:tc>
      </w:tr>
      <w:tr>
        <w:trPr/>
        <w:tc>
          <w:tcPr>
            <w:tcW w:w="4827" w:type="dxa"/>
            <w:tcBorders/>
          </w:tcPr>
          <w:p>
            <w:pPr>
              <w:pStyle w:val="Normal"/>
              <w:widowControl w:val="false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</w:r>
          </w:p>
        </w:tc>
        <w:tc>
          <w:tcPr>
            <w:tcW w:w="4742" w:type="dxa"/>
            <w:tcBorders/>
          </w:tcPr>
          <w:p>
            <w:pPr>
              <w:pStyle w:val="Normal"/>
              <w:widowControl w:val="false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</w:p>
        </w:tc>
      </w:tr>
    </w:tbl>
    <w:p>
      <w:pPr>
        <w:pStyle w:val="Normal"/>
        <w:spacing w:before="0" w:after="120"/>
        <w:rPr>
          <w:i/>
          <w:i/>
          <w:iCs/>
          <w:color w:val="auto"/>
          <w:sz w:val="22"/>
          <w:szCs w:val="22"/>
          <w:shd w:fill="FFFF99" w:val="clear"/>
        </w:rPr>
      </w:pPr>
      <w:r>
        <w:rPr>
          <w:i/>
          <w:iCs/>
          <w:color w:val="000000"/>
          <w:sz w:val="22"/>
          <w:szCs w:val="22"/>
          <w:shd w:fill="FFFF99" w:val="clear"/>
        </w:rPr>
      </w:r>
    </w:p>
    <w:sectPr>
      <w:headerReference w:type="default" r:id="rId19"/>
      <w:headerReference w:type="first" r:id="rId20"/>
      <w:footerReference w:type="default" r:id="rId21"/>
      <w:footerReference w:type="first" r:id="rId22"/>
      <w:footnotePr>
        <w:numFmt w:val="decimal"/>
        <w:numRestart w:val="eachPage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случае, если в организации функции главного бухгалтера выполняет генеральный директор–ставится только его виза.</w:t>
      </w:r>
    </w:p>
    <w:p>
      <w:pPr>
        <w:pStyle w:val="FootnoteText"/>
        <w:widowControl w:val="false"/>
        <w:rPr/>
      </w:pPr>
      <w:r>
        <w:rPr/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28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35</w:t>
    </w:r>
    <w:r>
      <w:rPr/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39</w:t>
    </w:r>
    <w:r>
      <w:rPr/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1C62DA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1C62DA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  <w:lang w:val="ru-RU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4"/>
        <w:szCs w:val="24"/>
        <w:lang w:val="ru-RU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>
        <w:b/>
        <w:bCs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28" w:hanging="360"/>
      </w:pPr>
      <w:rPr>
        <w:sz w:val="24"/>
        <w:szCs w:val="24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/>
    </w:lvl>
  </w:abstractNum>
  <w:abstractNum w:abstractNumId="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1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b w:val="false"/>
        <w:szCs w:val="22"/>
        <w:b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b w:val="false"/>
        <w:szCs w:val="22"/>
        <w:b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b w:val="false"/>
        <w:szCs w:val="22"/>
        <w:b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2"/>
        <w:b w:val="false"/>
        <w:szCs w:val="22"/>
        <w:b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2"/>
        <w:b w:val="false"/>
        <w:szCs w:val="22"/>
        <w:b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2"/>
        <w:b w:val="false"/>
        <w:szCs w:val="22"/>
        <w:b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2"/>
        <w:b w:val="false"/>
        <w:szCs w:val="22"/>
        <w:b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2"/>
        <w:b w:val="false"/>
        <w:szCs w:val="22"/>
        <w:b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2"/>
        <w:b w:val="false"/>
        <w:szCs w:val="22"/>
        <w:bCs w:val="false"/>
      </w:rPr>
    </w:lvl>
  </w:abstractNum>
  <w:abstractNum w:abstractNumId="23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67"/>
      </w:pPr>
      <w:rPr>
        <w:sz w:val="22"/>
        <w:b w:val="false"/>
        <w:szCs w:val="22"/>
        <w:b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2"/>
        <w:b w:val="false"/>
        <w:szCs w:val="22"/>
        <w:b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2"/>
        <w:b w:val="false"/>
        <w:szCs w:val="22"/>
        <w:b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2"/>
        <w:b w:val="false"/>
        <w:szCs w:val="22"/>
        <w:b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2"/>
        <w:b w:val="false"/>
        <w:szCs w:val="22"/>
        <w:b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2"/>
        <w:b w:val="false"/>
        <w:szCs w:val="22"/>
        <w:b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2"/>
        <w:b w:val="false"/>
        <w:szCs w:val="22"/>
        <w:b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2"/>
        <w:b w:val="false"/>
        <w:szCs w:val="22"/>
        <w:b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2"/>
        <w:b w:val="false"/>
        <w:szCs w:val="22"/>
        <w:bCs w:val="false"/>
      </w:rPr>
    </w:lvl>
  </w:abstractNum>
  <w:abstractNum w:abstractNumId="24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5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6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567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7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8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300"/>
        </w:tabs>
        <w:ind w:left="130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660"/>
        </w:tabs>
        <w:ind w:left="166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380"/>
        </w:tabs>
        <w:ind w:left="238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740"/>
        </w:tabs>
        <w:ind w:left="274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460"/>
        </w:tabs>
        <w:ind w:left="346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820"/>
        </w:tabs>
        <w:ind w:left="382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29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300"/>
        </w:tabs>
        <w:ind w:left="130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660"/>
        </w:tabs>
        <w:ind w:left="166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380"/>
        </w:tabs>
        <w:ind w:left="238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740"/>
        </w:tabs>
        <w:ind w:left="274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460"/>
        </w:tabs>
        <w:ind w:left="346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820"/>
        </w:tabs>
        <w:ind w:left="382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30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34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  <w:rPr>
        <w:sz w:val="22"/>
        <w:b w:val="false"/>
        <w:szCs w:val="22"/>
        <w:bCs w:val="fals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35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  <w:szCs w:val="24"/>
      </w:rPr>
    </w:lvl>
  </w:abstractNum>
  <w:abstractNum w:abstractNumId="3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tabs>
            <w:tab w:val="num" w:pos="0"/>
          </w:tabs>
          <w:ind w:left="720" w:hanging="360"/>
        </w:pPr>
        <w:rPr>
          <w:b w:val="false"/>
          <w:bCs w:val="false"/>
        </w:rPr>
      </w:lvl>
      <w:startOverride w:val="1"/>
    </w:lvlOverride>
    <w:lvlOverride w:ilvl="0">
      <w:startOverride w:val="1"/>
    </w:lvlOverride>
    <w:lvlOverride w:ilvl="1"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440" w:hanging="360"/>
        </w:pPr>
        <w:rPr>
          <w:b w:val="false"/>
          <w:bCs w:val="false"/>
        </w:rPr>
      </w:lvl>
    </w:lvlOverride>
    <w:lvlOverride w:ilvl="1">
      <w:startOverride w:val="1"/>
    </w:lvlOverride>
    <w:lvlOverride w:ilvl="2">
      <w:lvl w:ilvl="2">
        <w:start w:val="1"/>
        <w:numFmt w:val="decimal"/>
        <w:suff w:val="space"/>
        <w:lvlText w:val="%1.%2.%3."/>
        <w:lvlJc w:val="left"/>
        <w:pPr>
          <w:tabs>
            <w:tab w:val="num" w:pos="0"/>
          </w:tabs>
          <w:ind w:left="0" w:hanging="0"/>
        </w:pPr>
        <w:rPr>
          <w:b w:val="false"/>
          <w:bCs w:val="false"/>
        </w:rPr>
      </w:lvl>
    </w:lvlOverride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a36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lineRule="auto" w:line="276" w:before="0" w:after="113"/>
      <w:jc w:val="both"/>
      <w:outlineLvl w:val="2"/>
    </w:pPr>
    <w:rPr>
      <w:rFonts w:eastAsia="Calibri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hanging="432" w:left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Times New Roman" w:hAnsi="Times New Roman" w:eastAsia="OpenSymbol" w:cs="OpenSymbol"/>
      <w:sz w:val="24"/>
      <w:szCs w:val="24"/>
    </w:rPr>
  </w:style>
  <w:style w:type="character" w:styleId="Linenumber1">
    <w:name w:val="line number1"/>
    <w:qFormat/>
    <w:rPr/>
  </w:style>
  <w:style w:type="character" w:styleId="Style16" w:customStyle="1">
    <w:name w:val="Символ нумерации"/>
    <w:qFormat/>
    <w:rPr>
      <w:b w:val="false"/>
      <w:bCs w:val="false"/>
      <w:sz w:val="22"/>
      <w:szCs w:val="22"/>
    </w:rPr>
  </w:style>
  <w:style w:type="character" w:styleId="LineNumber">
    <w:name w:val="Line Number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Cs w:val="24"/>
    </w:rPr>
  </w:style>
  <w:style w:type="paragraph" w:styleId="BodyTextIndent">
    <w:name w:val="Body Text Indent"/>
    <w:basedOn w:val="Normal"/>
    <w:rsid w:val="0076353a"/>
    <w:pPr>
      <w:ind w:left="360"/>
    </w:pPr>
    <w:rPr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/>
      <w:jc w:val="center"/>
    </w:pPr>
    <w:rPr>
      <w:b/>
      <w:bCs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40628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Cs w:val="24"/>
    </w:rPr>
  </w:style>
  <w:style w:type="paragraph" w:styleId="TOC3">
    <w:name w:val="TOC 3"/>
    <w:basedOn w:val="Normal"/>
    <w:next w:val="Normal"/>
    <w:autoRedefine/>
    <w:uiPriority w:val="39"/>
    <w:rsid w:val="007f4280"/>
    <w:pPr>
      <w:tabs>
        <w:tab w:val="clear" w:pos="708"/>
        <w:tab w:val="left" w:pos="1120" w:leader="none"/>
        <w:tab w:val="right" w:pos="9911" w:leader="dot"/>
      </w:tabs>
      <w:ind w:left="28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firstLine="709" w:left="1066"/>
    </w:pPr>
    <w:rPr>
      <w:rFonts w:ascii="Cambria" w:hAnsi="Cambria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1"/>
    <w:qFormat/>
    <w:rsid w:val="00d22f6d"/>
    <w:pPr>
      <w:spacing w:before="0" w:after="0"/>
      <w:ind w:left="720"/>
      <w:contextualSpacing/>
    </w:pPr>
    <w:rPr>
      <w:rFonts w:eastAsia="Calibri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hanging="567" w:left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/>
    </w:pPr>
    <w:rPr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 w:customStyle="1">
    <w:name w:val="Базовый (отступ)"/>
    <w:basedOn w:val="Normal"/>
    <w:qFormat/>
    <w:pPr>
      <w:spacing w:lineRule="auto" w:line="276" w:before="113" w:after="113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StyleOutlinenumbered14ptBold4" w:customStyle="1">
    <w:name w:val="Style Outline numbered 14 pt Bold4"/>
    <w:qFormat/>
    <w:rsid w:val="003107a2"/>
  </w:style>
  <w:style w:type="numbering" w:styleId="DSOList11" w:customStyle="1">
    <w:name w:val="DSO_List11"/>
    <w:qFormat/>
    <w:rsid w:val="002f438e"/>
  </w:style>
  <w:style w:type="numbering" w:styleId="23376704341" w:customStyle="1">
    <w:name w:val="23376704341"/>
    <w:qFormat/>
  </w:style>
  <w:style w:type="numbering" w:styleId="24089253481" w:customStyle="1">
    <w:name w:val="24089253481"/>
    <w:qFormat/>
  </w:style>
  <w:style w:type="numbering" w:styleId="9340826441" w:customStyle="1">
    <w:name w:val="9340826441"/>
    <w:qFormat/>
  </w:style>
  <w:style w:type="numbering" w:styleId="14152156651" w:customStyle="1">
    <w:name w:val="14152156651"/>
    <w:qFormat/>
  </w:style>
  <w:style w:type="numbering" w:styleId="37622873871" w:customStyle="1">
    <w:name w:val="37622873871"/>
    <w:qFormat/>
  </w:style>
  <w:style w:type="numbering" w:styleId="19172256531" w:customStyle="1">
    <w:name w:val="19172256531"/>
    <w:qFormat/>
  </w:style>
  <w:style w:type="numbering" w:styleId="20416233651" w:customStyle="1">
    <w:name w:val="20416233651"/>
    <w:qFormat/>
  </w:style>
  <w:style w:type="numbering" w:styleId="ABC" w:customStyle="1">
    <w:name w:val="Нумерованный ABC"/>
    <w:qFormat/>
  </w:style>
  <w:style w:type="numbering" w:styleId="38576359301" w:customStyle="1">
    <w:name w:val="38576359301"/>
    <w:qFormat/>
  </w:style>
  <w:style w:type="numbering" w:styleId="711460201" w:customStyle="1">
    <w:name w:val="711460201"/>
    <w:qFormat/>
  </w:style>
  <w:style w:type="numbering" w:styleId="40045188931" w:customStyle="1">
    <w:name w:val="40045188931"/>
    <w:qFormat/>
  </w:style>
  <w:style w:type="numbering" w:styleId="12019955061" w:customStyle="1">
    <w:name w:val="12019955061"/>
    <w:qFormat/>
  </w:style>
  <w:style w:type="numbering" w:styleId="28389337501" w:customStyle="1">
    <w:name w:val="28389337501"/>
    <w:qFormat/>
  </w:style>
  <w:style w:type="numbering" w:styleId="12225129141" w:customStyle="1">
    <w:name w:val="12225129141"/>
    <w:qFormat/>
  </w:style>
  <w:style w:type="numbering" w:styleId="9619474711" w:customStyle="1">
    <w:name w:val="9619474711"/>
    <w:qFormat/>
  </w:style>
  <w:style w:type="numbering" w:styleId="25136964071" w:customStyle="1">
    <w:name w:val="25136964071"/>
    <w:qFormat/>
  </w:style>
  <w:style w:type="numbering" w:styleId="42122632571" w:customStyle="1">
    <w:name w:val="42122632571"/>
    <w:qFormat/>
  </w:style>
  <w:style w:type="numbering" w:styleId="17718371041" w:customStyle="1">
    <w:name w:val="17718371041"/>
    <w:qFormat/>
  </w:style>
  <w:style w:type="numbering" w:styleId="18681828021" w:customStyle="1">
    <w:name w:val="18681828021"/>
    <w:qFormat/>
  </w:style>
  <w:style w:type="numbering" w:styleId="30005407091" w:customStyle="1">
    <w:name w:val="30005407091"/>
    <w:qFormat/>
  </w:style>
  <w:style w:type="numbering" w:styleId="28620985751" w:customStyle="1">
    <w:name w:val="28620985751"/>
    <w:qFormat/>
  </w:style>
  <w:style w:type="numbering" w:styleId="41347800141" w:customStyle="1">
    <w:name w:val="41347800141"/>
    <w:qFormat/>
  </w:style>
  <w:style w:type="numbering" w:styleId="27884630651" w:customStyle="1">
    <w:name w:val="27884630651"/>
    <w:qFormat/>
  </w:style>
  <w:style w:type="numbering" w:styleId="14675599831" w:customStyle="1">
    <w:name w:val="14675599831"/>
    <w:qFormat/>
  </w:style>
  <w:style w:type="numbering" w:styleId="37049270721" w:customStyle="1">
    <w:name w:val="37049270721"/>
    <w:qFormat/>
  </w:style>
  <w:style w:type="numbering" w:styleId="25274607701" w:customStyle="1">
    <w:name w:val="25274607701"/>
    <w:qFormat/>
  </w:style>
  <w:style w:type="numbering" w:styleId="12370775211" w:customStyle="1">
    <w:name w:val="12370775211"/>
    <w:qFormat/>
  </w:style>
  <w:style w:type="numbering" w:styleId="29594419311" w:customStyle="1">
    <w:name w:val="29594419311"/>
    <w:qFormat/>
  </w:style>
  <w:style w:type="numbering" w:styleId="12186789551" w:customStyle="1">
    <w:name w:val="12186789551"/>
    <w:qFormat/>
  </w:style>
  <w:style w:type="numbering" w:styleId="19214968581" w:customStyle="1">
    <w:name w:val="19214968581"/>
    <w:qFormat/>
  </w:style>
  <w:style w:type="numbering" w:styleId="28719792391" w:customStyle="1">
    <w:name w:val="28719792391"/>
    <w:qFormat/>
  </w:style>
  <w:style w:type="numbering" w:styleId="5506110901" w:customStyle="1">
    <w:name w:val="5506110901"/>
    <w:qFormat/>
  </w:style>
  <w:style w:type="numbering" w:styleId="18751685761" w:customStyle="1">
    <w:name w:val="18751685761"/>
    <w:qFormat/>
  </w:style>
  <w:style w:type="numbering" w:styleId="22751384901" w:customStyle="1">
    <w:name w:val="22751384901"/>
    <w:qFormat/>
  </w:style>
  <w:style w:type="numbering" w:styleId="16165261951" w:customStyle="1">
    <w:name w:val="16165261951"/>
    <w:qFormat/>
  </w:style>
  <w:style w:type="numbering" w:styleId="7722944121" w:customStyle="1">
    <w:name w:val="7722944121"/>
    <w:qFormat/>
  </w:style>
  <w:style w:type="numbering" w:styleId="18701970451" w:customStyle="1">
    <w:name w:val="18701970451"/>
    <w:qFormat/>
  </w:style>
  <w:style w:type="numbering" w:styleId="16391071551" w:customStyle="1">
    <w:name w:val="16391071551"/>
    <w:qFormat/>
  </w:style>
  <w:style w:type="numbering" w:styleId="15777161441" w:customStyle="1">
    <w:name w:val="15777161441"/>
    <w:qFormat/>
  </w:style>
  <w:style w:type="numbering" w:styleId="36645506661" w:customStyle="1">
    <w:name w:val="36645506661"/>
    <w:qFormat/>
  </w:style>
  <w:style w:type="numbering" w:styleId="36065716541" w:customStyle="1">
    <w:name w:val="36065716541"/>
    <w:qFormat/>
  </w:style>
  <w:style w:type="numbering" w:styleId="32416116661" w:customStyle="1">
    <w:name w:val="32416116661"/>
    <w:qFormat/>
  </w:style>
  <w:style w:type="numbering" w:styleId="34613576051" w:customStyle="1">
    <w:name w:val="34613576051"/>
    <w:qFormat/>
  </w:style>
  <w:style w:type="numbering" w:styleId="27172471101" w:customStyle="1">
    <w:name w:val="27172471101"/>
    <w:qFormat/>
  </w:style>
  <w:style w:type="numbering" w:styleId="6523320261" w:customStyle="1">
    <w:name w:val="6523320261"/>
    <w:qFormat/>
  </w:style>
  <w:style w:type="numbering" w:styleId="27520490791" w:customStyle="1">
    <w:name w:val="27520490791"/>
    <w:qFormat/>
  </w:style>
  <w:style w:type="numbering" w:styleId="37027221491" w:customStyle="1">
    <w:name w:val="37027221491"/>
    <w:qFormat/>
  </w:style>
  <w:style w:type="numbering" w:styleId="36288285251" w:customStyle="1">
    <w:name w:val="36288285251"/>
    <w:qFormat/>
  </w:style>
  <w:style w:type="numbering" w:styleId="34932698761" w:customStyle="1">
    <w:name w:val="34932698761"/>
    <w:qFormat/>
  </w:style>
  <w:style w:type="numbering" w:styleId="39964039041" w:customStyle="1">
    <w:name w:val="39964039041"/>
    <w:qFormat/>
  </w:style>
  <w:style w:type="numbering" w:styleId="2700736301" w:customStyle="1">
    <w:name w:val="2700736301"/>
    <w:qFormat/>
  </w:style>
  <w:style w:type="numbering" w:styleId="9164177791">
    <w:name w:val="91641777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header" Target="header16.xml"/><Relationship Id="rId18" Type="http://schemas.openxmlformats.org/officeDocument/2006/relationships/footer" Target="footer1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footer" Target="footer2.xml"/><Relationship Id="rId22" Type="http://schemas.openxmlformats.org/officeDocument/2006/relationships/footer" Target="footer3.xml"/><Relationship Id="rId23" Type="http://schemas.openxmlformats.org/officeDocument/2006/relationships/footnotes" Target="footnotes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9CC4-1E31-4592-956B-B0A60899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6737</TotalTime>
  <Application>AlterOffice/2026.2.0.0$Linux_X86_64 LibreOffice_project/bc4ef1adf80b36c7a6365f8ed6cbf29021361edd</Application>
  <AppVersion>15.0000</AppVersion>
  <Pages>40</Pages>
  <Words>8353</Words>
  <Characters>58967</Characters>
  <CharactersWithSpaces>66280</CharactersWithSpaces>
  <Paragraphs>1247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2026-06-08T01:46:00Z</dcterms:created>
  <dc:creator>Быстров Олег Геннадьевич</dc:creator>
  <dc:description/>
  <dc:language>ru-RU</dc:language>
  <cp:lastModifiedBy>gammii@corp.gidroogk.com</cp:lastModifiedBy>
  <cp:lastPrinted>2006-07-26T14:04:00Z</cp:lastPrinted>
  <dcterms:modified xsi:type="dcterms:W3CDTF">2026-08-31T15:05:05Z</dcterms:modified>
  <cp:revision>156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