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0.png" ContentType="image/png"/>
  <Override PartName="/word/media/image6.jpeg" ContentType="image/jpeg"/>
  <Override PartName="/word/media/image1.png" ContentType="image/png"/>
  <Override PartName="/word/media/image12.png" ContentType="image/png"/>
  <Override PartName="/word/media/image8.png" ContentType="image/png"/>
  <Override PartName="/word/media/image17.png" ContentType="image/png"/>
  <Override PartName="/word/media/image19.png" ContentType="image/png"/>
  <Override PartName="/word/media/image3.jpeg" ContentType="image/jpeg"/>
  <Override PartName="/word/media/image15.jpeg" ContentType="image/jpeg"/>
  <Override PartName="/word/media/image2.jpeg" ContentType="image/jpeg"/>
  <Override PartName="/word/media/image14.png" ContentType="image/png"/>
  <Override PartName="/word/media/image5.png" ContentType="image/png"/>
  <Override PartName="/word/media/image18.png" ContentType="image/png"/>
  <Override PartName="/word/media/image9.png" ContentType="image/png"/>
  <Override PartName="/word/media/image4.png" ContentType="image/png"/>
  <Override PartName="/word/media/image13.png" ContentType="image/png"/>
  <Override PartName="/word/media/image16.png" ContentType="image/png"/>
  <Override PartName="/word/media/image7.png" ContentType="image/png"/>
  <Override PartName="/word/media/image1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3 к ТЗ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RANGE!A1%3AT32"/>
      <w:bookmarkEnd w:id="0"/>
      <w:r>
        <w:rPr>
          <w:rFonts w:cs="Times New Roman" w:ascii="Times New Roman" w:hAnsi="Times New Roman"/>
          <w:b/>
          <w:sz w:val="28"/>
          <w:szCs w:val="28"/>
        </w:rPr>
        <w:t>Требования к отделочным материалам. Интерьер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2"/>
        <w:gridCol w:w="751"/>
        <w:gridCol w:w="2089"/>
        <w:gridCol w:w="525"/>
        <w:gridCol w:w="214"/>
        <w:gridCol w:w="320"/>
        <w:gridCol w:w="837"/>
        <w:gridCol w:w="464"/>
        <w:gridCol w:w="679"/>
        <w:gridCol w:w="542"/>
        <w:gridCol w:w="542"/>
        <w:gridCol w:w="638"/>
        <w:gridCol w:w="623"/>
        <w:gridCol w:w="514"/>
        <w:gridCol w:w="456"/>
        <w:gridCol w:w="525"/>
        <w:gridCol w:w="629"/>
        <w:gridCol w:w="431"/>
        <w:gridCol w:w="1134"/>
        <w:gridCol w:w="842"/>
        <w:gridCol w:w="733"/>
        <w:gridCol w:w="636"/>
      </w:tblGrid>
      <w:tr>
        <w:trPr>
          <w:tblHeader w:val="true"/>
          <w:trHeight w:val="660" w:hRule="atLeast"/>
        </w:trPr>
        <w:tc>
          <w:tcPr>
            <w:tcW w:w="32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Отделочный материал</w:t>
            </w:r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тамбур главного входа</w:t>
            </w:r>
          </w:p>
        </w:tc>
        <w:tc>
          <w:tcPr>
            <w:tcW w:w="5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тамбур служебного входа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Рабочая зона операторов и ЦСУ</w:t>
              <w:br/>
              <w:t>(зона за барьером в клиентском зале)</w:t>
            </w:r>
          </w:p>
        </w:tc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Зона ожидания (клиентский зал)</w:t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Примерочные </w:t>
              <w:br/>
              <w:t>(клиентский зал)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КЛИЕНТСКИЙ ЗАЛ</w:t>
            </w:r>
          </w:p>
        </w:tc>
        <w:tc>
          <w:tcPr>
            <w:tcW w:w="65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ПРОИЗВОДСТВЕННЫЕ ПОМЕЩЕНИЯ</w:t>
            </w:r>
          </w:p>
        </w:tc>
      </w:tr>
      <w:tr>
        <w:trPr>
          <w:tblHeader w:val="true"/>
          <w:trHeight w:val="2685" w:hRule="atLeast"/>
        </w:trPr>
        <w:tc>
          <w:tcPr>
            <w:tcW w:w="3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5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5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4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Вид. розничная зона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Зона ЦСУ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Зона абонементных ячеек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Помещение ТМЦ/вид. зона ТМЦ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доставки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Гардеробная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Касса / Сейфовая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Комната персонала/зона приема пищи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Архив/вид. зона архива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Помещения бэк-зоны, в которых производится сортировка ПО с использованием почтового транспортера и люкового окна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Санузел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Зона хранения и сортировки почтовых отправлений</w:t>
              <w:br/>
              <w:t>Зона обмена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Технические помещения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2CC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412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1. Напольное покрытие</w:t>
            </w:r>
          </w:p>
        </w:tc>
      </w:tr>
      <w:tr>
        <w:trPr>
          <w:trHeight w:val="594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-258445</wp:posOffset>
                  </wp:positionV>
                  <wp:extent cx="388620" cy="617220"/>
                  <wp:effectExtent l="0" t="0" r="0" b="0"/>
                  <wp:wrapNone/>
                  <wp:docPr id="1" name="Рисунок 5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5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617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Линолеум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коммерческий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гомогенный или гетерогенный:</w:t>
            </w:r>
          </w:p>
          <w:p>
            <w:pPr>
              <w:pStyle w:val="ListParagraph"/>
              <w:spacing w:lineRule="auto" w:line="240" w:before="0" w:after="0"/>
              <w:ind w:left="0"/>
              <w:contextualSpacing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для помещений с высокими эксплуатационными нагрузками;</w:t>
            </w:r>
          </w:p>
          <w:p>
            <w:pPr>
              <w:pStyle w:val="ListParagraph"/>
              <w:spacing w:lineRule="auto" w:line="240" w:before="0" w:after="0"/>
              <w:ind w:left="0"/>
              <w:contextualSpacing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основа − ПВХ;</w:t>
            </w:r>
          </w:p>
          <w:p>
            <w:pPr>
              <w:pStyle w:val="ListParagraph"/>
              <w:spacing w:lineRule="auto" w:line="240" w:before="0" w:after="0"/>
              <w:ind w:left="0"/>
              <w:contextualSpacing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толщина 2 − 3,1 мм;</w:t>
            </w:r>
          </w:p>
          <w:p>
            <w:pPr>
              <w:pStyle w:val="ListParagraph"/>
              <w:spacing w:lineRule="auto" w:line="240" w:before="0" w:after="0"/>
              <w:ind w:left="0"/>
              <w:contextualSpacing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класс износостойкости 33, 34;</w:t>
            </w:r>
          </w:p>
          <w:p>
            <w:pPr>
              <w:pStyle w:val="ListParagraph"/>
              <w:spacing w:lineRule="auto" w:line="240" w:before="0" w:after="0"/>
              <w:ind w:left="0"/>
              <w:contextualSpacing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устойчивость к истиранию − группа Р;</w:t>
            </w:r>
          </w:p>
          <w:p>
            <w:pPr>
              <w:pStyle w:val="ListParagraph"/>
              <w:spacing w:lineRule="auto" w:line="240" w:before="0" w:after="0"/>
              <w:ind w:left="0"/>
              <w:contextualSpacing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класс пожарной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опасности − КМ2;</w:t>
            </w:r>
          </w:p>
          <w:p>
            <w:pPr>
              <w:pStyle w:val="ListParagraph"/>
              <w:spacing w:lineRule="auto" w:line="240" w:before="0" w:after="0"/>
              <w:ind w:left="0"/>
              <w:contextualSpacing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цвет светло-серый, приближенный к RAL 7047 (допускается наличие вкраплений бежевого, белого, светло-серого, темно-серого цветов)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>
        <w:trPr>
          <w:trHeight w:val="736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-555625</wp:posOffset>
                  </wp:positionV>
                  <wp:extent cx="387350" cy="447675"/>
                  <wp:effectExtent l="0" t="0" r="0" b="0"/>
                  <wp:wrapNone/>
                  <wp:docPr id="2" name="Рисунок 5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5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Керамогранит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универсальный, неполированный, матовый:</w:t>
            </w:r>
          </w:p>
          <w:p>
            <w:pPr>
              <w:pStyle w:val="ListParagraph"/>
              <w:spacing w:lineRule="auto" w:line="240" w:before="0" w:after="0"/>
              <w:ind w:left="-34"/>
              <w:contextualSpacing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с нешлифованной поверхностью;</w:t>
            </w:r>
          </w:p>
          <w:p>
            <w:pPr>
              <w:pStyle w:val="ListParagraph"/>
              <w:spacing w:lineRule="auto" w:line="240" w:before="0" w:after="0"/>
              <w:ind w:left="-34"/>
              <w:contextualSpacing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размер от 300х300 мм до 600х600 мм, толщина 7 − 11 мм;</w:t>
            </w:r>
          </w:p>
          <w:p>
            <w:pPr>
              <w:pStyle w:val="ListParagraph"/>
              <w:spacing w:lineRule="auto" w:line="240" w:before="0" w:after="0"/>
              <w:ind w:left="-34"/>
              <w:contextualSpacing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износостойкость − PEI 4;</w:t>
            </w:r>
          </w:p>
          <w:p>
            <w:pPr>
              <w:pStyle w:val="ListParagraph"/>
              <w:spacing w:lineRule="auto" w:line="240" w:before="0" w:after="0"/>
              <w:ind w:left="-34"/>
              <w:contextualSpacing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цвет − светло-серый, RAL 7047, однотонный (не допускается наличие вкраплений бежевого, белого, светло-серого, темно-серого цветов); </w:t>
            </w:r>
          </w:p>
          <w:p>
            <w:pPr>
              <w:pStyle w:val="ListParagraph"/>
              <w:spacing w:lineRule="auto" w:line="240" w:before="0" w:after="0"/>
              <w:ind w:left="-34"/>
              <w:contextualSpacing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цвет затирки светло-серый, приближенный к RAL 7047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5DCE4" w:themeFill="text2" w:themeFillTint="33" w:val="clear"/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>
        <w:trPr>
          <w:trHeight w:val="3534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drawing>
                <wp:anchor behindDoc="0" distT="0" distB="0" distL="0" distR="0" simplePos="0" locked="0" layoutInCell="1" allowOverlap="1" relativeHeight="4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581660</wp:posOffset>
                  </wp:positionV>
                  <wp:extent cx="393700" cy="428625"/>
                  <wp:effectExtent l="0" t="0" r="0" b="0"/>
                  <wp:wrapNone/>
                  <wp:docPr id="3" name="Рисунок 5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5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0" simplePos="0" locked="0" layoutInCell="1" allowOverlap="1" relativeHeight="5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-92710</wp:posOffset>
                  </wp:positionV>
                  <wp:extent cx="406400" cy="441960"/>
                  <wp:effectExtent l="0" t="0" r="0" b="0"/>
                  <wp:wrapNone/>
                  <wp:docPr id="4" name="Рисунок 4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441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</w:tcPr>
          <w:p>
            <w:pPr>
              <w:pStyle w:val="ListParagraph"/>
              <w:spacing w:lineRule="auto" w:line="240" w:before="0" w:after="0"/>
              <w:ind w:left="0"/>
              <w:contextualSpacing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Тактильные напольные указатели: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ПВХ, ПУ;</w:t>
              <w:br/>
              <w:t>− размер 300х300 мм, 500х500мм;</w:t>
              <w:br/>
              <w:t>− высота рифа 4 мм;</w:t>
              <w:br/>
              <w:t>− цвет желтый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>
        <w:trPr>
          <w:trHeight w:val="2296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drawing>
                <wp:anchor behindDoc="0" distT="0" distB="0" distL="0" distR="0" simplePos="0" locked="0" layoutInCell="1" allowOverlap="1" relativeHeight="6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-356870</wp:posOffset>
                  </wp:positionV>
                  <wp:extent cx="398145" cy="552450"/>
                  <wp:effectExtent l="0" t="0" r="0" b="0"/>
                  <wp:wrapNone/>
                  <wp:docPr id="5" name="Рисунок 2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Грязезащитный коврик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(ринго-мат), цвет черный, размещать в приямке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>
        <w:trPr>
          <w:trHeight w:val="1445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drawing>
                <wp:anchor behindDoc="0" distT="0" distB="0" distL="0" distR="0" simplePos="0" locked="0" layoutInCell="1" allowOverlap="1" relativeHeight="7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-432435</wp:posOffset>
                  </wp:positionV>
                  <wp:extent cx="384810" cy="390525"/>
                  <wp:effectExtent l="0" t="0" r="0" b="0"/>
                  <wp:wrapNone/>
                  <wp:docPr id="6" name="Рисунок 2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2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Сохраняемое существующее финишное покрытие – керамогранит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нескользящая керамическая напольная плитка серого цвета без орнаментов, цвет основного тона светло-серый, приближенный к RAL 7047 (допускается наличие вкраплений бежевого, белого, светло-серого, темно-серого цветов). Обновление затирки в швах в цвет светло-серый,  приближенный к RAL 7047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2CC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412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2. Плинтус</w:t>
            </w:r>
          </w:p>
        </w:tc>
      </w:tr>
      <w:tr>
        <w:trPr>
          <w:trHeight w:val="1870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drawing>
                <wp:anchor behindDoc="0" distT="0" distB="0" distL="0" distR="0" simplePos="0" locked="0" layoutInCell="1" allowOverlap="1" relativeHeight="8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-539115</wp:posOffset>
                  </wp:positionV>
                  <wp:extent cx="403860" cy="409575"/>
                  <wp:effectExtent l="0" t="0" r="0" b="0"/>
                  <wp:wrapNone/>
                  <wp:docPr id="7" name="Рисунок 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Плинтус 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строительном исполнении: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высота 100 мм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керамогранит (идентичный материалу, использованному для облицовки пола);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−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универсальный, неполированный, матовый;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с нешлифованной поверхностью;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размер от 300х300 мм до 600х600 мм, толщина 7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−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 11 мм;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−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износостойкость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PEI 4;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цвет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−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 светло-серый, приближенный к RAL 7047, однотонный (не допускается наличие вкраплений бежевого, белого, светло-серого, темно-серого цветов);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цвет затирки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−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 светло-серый, близкий к приближенный к RAL 7047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кроме случая облицовки тамбур в металлическим сайдингом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кроме случая облицовки тамбур в металлическим сайдингом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>
        <w:trPr>
          <w:trHeight w:val="1230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drawing>
                <wp:anchor behindDoc="0" distT="0" distB="0" distL="0" distR="0" simplePos="0" locked="0" layoutInCell="1" allowOverlap="1" relativeHeight="9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-57785</wp:posOffset>
                  </wp:positionV>
                  <wp:extent cx="386715" cy="419100"/>
                  <wp:effectExtent l="0" t="0" r="0" b="0"/>
                  <wp:wrapNone/>
                  <wp:docPr id="8" name="Рисунок 1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Напольный плинтус из ПВХ, ц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вет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−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 светло-серый, RAL 7047, однотонный, матовый, гладкий, «сапожок», h60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5DCE4" w:themeFill="text2" w:themeFillTint="33" w:val="clear"/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2CC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412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3. Потолок</w:t>
            </w:r>
          </w:p>
        </w:tc>
      </w:tr>
      <w:tr>
        <w:trPr>
          <w:trHeight w:val="2385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drawing>
                <wp:anchor behindDoc="0" distT="0" distB="0" distL="0" distR="0" simplePos="0" locked="0" layoutInCell="1" allowOverlap="1" relativeHeight="10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-436245</wp:posOffset>
                  </wp:positionV>
                  <wp:extent cx="367665" cy="400050"/>
                  <wp:effectExtent l="0" t="0" r="0" b="0"/>
                  <wp:wrapNone/>
                  <wp:docPr id="9" name="Рисунок 1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1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Вариант № 1. Подвесной потолок системы «Armstrong»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(«Байкал»)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Вариант№2 дороже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да, для случаев, когда Вариант№2 дороже</w:t>
            </w:r>
          </w:p>
        </w:tc>
      </w:tr>
      <w:tr>
        <w:trPr>
          <w:trHeight w:val="5948" w:hRule="exac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drawing>
                <wp:anchor behindDoc="0" distT="0" distB="0" distL="0" distR="0" simplePos="0" locked="0" layoutInCell="1" allowOverlap="1" relativeHeight="1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-589915</wp:posOffset>
                  </wp:positionV>
                  <wp:extent cx="387350" cy="476250"/>
                  <wp:effectExtent l="0" t="0" r="0" b="0"/>
                  <wp:wrapNone/>
                  <wp:docPr id="10" name="Рисунок 1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24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Вариант № 2. Открытый потолок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Применяется в случае, если стоимость устройства подвесного потолка (монтаж подконструкций, монтаж заполнения, прокладка кабельных трасс, монтаж оконечного оборудования, включая освещение) больше стоимости устройства открытого потолка </w:t>
            </w:r>
            <w:r>
              <w:rPr>
                <w:rFonts w:eastAsia="Times New Roman" w:cs="Times New Roman" w:ascii="Times New Roman" w:hAnsi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 xml:space="preserve">(выполнить в соответствии с </w:t>
              <w:br/>
              <w:t>п. 9.7.1 (Вариант № 2) приложения № 2 к ТЗ «Требования к выполнению ремонтных работ в ОПС формата «Сельское ОПС»)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для случаев, когда Вариант№1 дороже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2CC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412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4. Стены</w:t>
            </w:r>
          </w:p>
        </w:tc>
      </w:tr>
      <w:tr>
        <w:trPr>
          <w:trHeight w:val="1398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drawing>
                <wp:anchor behindDoc="0" distT="0" distB="0" distL="0" distR="0" simplePos="0" locked="0" layoutInCell="1" allowOverlap="1" relativeHeight="12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-210185</wp:posOffset>
                  </wp:positionV>
                  <wp:extent cx="407670" cy="590550"/>
                  <wp:effectExtent l="0" t="0" r="0" b="0"/>
                  <wp:wrapNone/>
                  <wp:docPr id="11" name="Рисунок 1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Вариант № 1. ГКЛ, ГВЛ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 с последующим окрашиванием моющейся, матовой, высококачественной водоэмульсионной (поливинилацетатный состав) краской в 2 (два) слоя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5DCE4" w:themeFill="text2" w:themeFillTint="33" w:val="clear"/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>
        <w:trPr>
          <w:trHeight w:val="2175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drawing>
                <wp:anchor behindDoc="0" distT="0" distB="0" distL="0" distR="0" simplePos="0" locked="0" layoutInCell="1" allowOverlap="1" relativeHeight="13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-388620</wp:posOffset>
                  </wp:positionV>
                  <wp:extent cx="425450" cy="489585"/>
                  <wp:effectExtent l="0" t="0" r="0" b="0"/>
                  <wp:wrapNone/>
                  <wp:docPr id="12" name="Рисунок 1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489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Вариант № 1. ГКЛВ, ГВЛ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 с последующим окрашиванием моющейся, матовой, высококачественной водоэмульсионной (поливинилацетатный состав) краской в 2 (два) слоя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под облицовку керамической или керамогранитной плиткой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>
        <w:trPr>
          <w:trHeight w:val="4815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4.3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behindDoc="0" distT="38100" distB="123825" distL="38100" distR="122555" simplePos="0" locked="0" layoutInCell="1" allowOverlap="1" relativeHeight="14" wp14:anchorId="7A6F25E3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1536700</wp:posOffset>
                      </wp:positionV>
                      <wp:extent cx="391795" cy="428625"/>
                      <wp:effectExtent l="31115" t="31115" r="83185" b="83185"/>
                      <wp:wrapNone/>
                      <wp:docPr id="13" name="Прямоугольник 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680" cy="42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13447c"/>
                              </a:solidFill>
                              <a:ln>
                                <a:solidFill>
                                  <a:srgbClr val="ffffff"/>
                                </a:solidFill>
                              </a:ln>
                              <a:effectLst>
                                <a:outerShdw algn="tl" blurRad="50760" dir="2700000" dist="37674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2" path="m0,0l-2147483645,0l-2147483645,-2147483646l0,-2147483646xe" fillcolor="#13447c" stroked="t" o:allowincell="f" style="position:absolute;margin-left:-2.6pt;margin-top:121pt;width:30.8pt;height:33.7pt;mso-wrap-style:none;v-text-anchor:middle" wp14:anchorId="7A6F25E3">
                      <v:fill o:detectmouseclick="t" type="solid" color2="#ecbb83"/>
                      <v:stroke color="white" weight="12600" joinstyle="miter" endcap="flat"/>
                      <v:shadow on="t" obscured="f" color="black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38100" distB="123825" distL="38100" distR="116205" simplePos="0" locked="0" layoutInCell="1" allowOverlap="1" relativeHeight="15" wp14:anchorId="1CB4D45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770890</wp:posOffset>
                      </wp:positionV>
                      <wp:extent cx="360045" cy="371475"/>
                      <wp:effectExtent l="31115" t="31115" r="83185" b="83185"/>
                      <wp:wrapNone/>
                      <wp:docPr id="14" name="Прямоугольник 1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71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>
                                    <a:lumMod val="50000"/>
                                    <a:lumOff val="50000"/>
                                  </a:srgbClr>
                                </a:solidFill>
                              </a:ln>
                              <a:effectLst>
                                <a:outerShdw algn="tl" blurRad="50760" dir="2700000" dist="37674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3" path="m0,0l-2147483645,0l-2147483645,-2147483646l0,-2147483646xe" fillcolor="white" stroked="t" o:allowincell="f" style="position:absolute;margin-left:-0.35pt;margin-top:60.7pt;width:28.3pt;height:29.2pt;mso-wrap-style:none;v-text-anchor:middle" wp14:anchorId="1CB4D456">
                      <v:fill o:detectmouseclick="t" type="solid" color2="black"/>
                      <v:stroke color="gray" weight="12600" joinstyle="miter" endcap="flat"/>
                      <v:shadow on="t" obscured="f" color="black"/>
                      <w10:wrap type="none"/>
                    </v:rect>
                  </w:pict>
                </mc:Fallback>
              </mc:AlternateContent>
              <w:drawing>
                <wp:anchor behindDoc="0" distT="0" distB="0" distL="0" distR="0" simplePos="0" locked="0" layoutInCell="1" allowOverlap="1" relativeHeight="16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54610</wp:posOffset>
                  </wp:positionV>
                  <wp:extent cx="391795" cy="369570"/>
                  <wp:effectExtent l="0" t="0" r="0" b="0"/>
                  <wp:wrapNone/>
                  <wp:docPr id="15" name="Рисунок 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369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Для Варианта № 1. Окрашивание (ГКЛ, ГКЛВ, ГВЛ)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 моющейся, матовой, высококачественной водоэмульсионной (поливинилацетатный состав) краской в 2 (два)слоя. Для тамбуров, клиентской зоны и бэк-зоны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−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 цвет белый, RAL 9010. Для фокусной стены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−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 цвет синий, RAL 5010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5DCE4" w:themeFill="text2" w:themeFillTint="33" w:val="clear"/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>
        <w:trPr>
          <w:trHeight w:val="5400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4.4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behindDoc="0" distT="38100" distB="123825" distL="38100" distR="113030" simplePos="0" locked="0" layoutInCell="1" allowOverlap="1" relativeHeight="17" wp14:anchorId="0A2D0010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1807210</wp:posOffset>
                      </wp:positionV>
                      <wp:extent cx="420370" cy="409575"/>
                      <wp:effectExtent l="30480" t="31115" r="83820" b="83185"/>
                      <wp:wrapNone/>
                      <wp:docPr id="16" name="Прямоугольник 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0480" cy="409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13447c"/>
                              </a:solidFill>
                              <a:ln>
                                <a:solidFill>
                                  <a:srgbClr val="ffffff"/>
                                </a:solidFill>
                              </a:ln>
                              <a:effectLst>
                                <a:outerShdw algn="tl" blurRad="50760" dir="2700000" dist="37674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1" path="m0,0l-2147483645,0l-2147483645,-2147483646l0,-2147483646xe" fillcolor="#13447c" stroked="t" o:allowincell="f" style="position:absolute;margin-left:-1.85pt;margin-top:142.3pt;width:33.05pt;height:32.2pt;mso-wrap-style:none;v-text-anchor:middle" wp14:anchorId="0A2D0010">
                      <v:fill o:detectmouseclick="t" type="solid" color2="#ecbb83"/>
                      <v:stroke color="white" weight="12600" joinstyle="miter" endcap="flat"/>
                      <v:shadow on="t" obscured="f" color="black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38100" distB="114300" distL="38100" distR="113030" simplePos="0" locked="0" layoutInCell="1" allowOverlap="1" relativeHeight="18" wp14:anchorId="66CC78F4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1192530</wp:posOffset>
                      </wp:positionV>
                      <wp:extent cx="401320" cy="381000"/>
                      <wp:effectExtent l="30480" t="30480" r="83820" b="83820"/>
                      <wp:wrapNone/>
                      <wp:docPr id="17" name="Прямоугольник 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400" cy="38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>
                                    <a:lumMod val="50000"/>
                                    <a:lumOff val="50000"/>
                                  </a:srgbClr>
                                </a:solidFill>
                              </a:ln>
                              <a:effectLst>
                                <a:outerShdw algn="tl" blurRad="50760" dir="2700000" dist="37674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9" path="m0,0l-2147483645,0l-2147483645,-2147483646l0,-2147483646xe" fillcolor="white" stroked="t" o:allowincell="f" style="position:absolute;margin-left:-1.1pt;margin-top:93.9pt;width:31.55pt;height:29.95pt;mso-wrap-style:none;v-text-anchor:middle" wp14:anchorId="66CC78F4">
                      <v:fill o:detectmouseclick="t" type="solid" color2="black"/>
                      <v:stroke color="gray" weight="12600" joinstyle="miter" endcap="flat"/>
                      <v:shadow on="t" obscured="f" color="black"/>
                      <w10:wrap type="none"/>
                    </v:rect>
                  </w:pict>
                </mc:Fallback>
              </mc:AlternateContent>
              <w:drawing>
                <wp:anchor behindDoc="0" distT="0" distB="0" distL="0" distR="0" simplePos="0" locked="0" layoutInCell="1" allowOverlap="1" relativeHeight="19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78105</wp:posOffset>
                  </wp:positionV>
                  <wp:extent cx="409575" cy="438150"/>
                  <wp:effectExtent l="0" t="0" r="0" b="0"/>
                  <wp:wrapNone/>
                  <wp:docPr id="18" name="Рисунок 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Вариант № 2.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 Облицовка СМЛ-панелями для внутренних работ, с матовой лицевой поверхностью, без рисунков, с применением соединительного профиля. по каркасу. Цвет панелей, соединительного профиля и фурнитуры для тамбуров, клиентской зоны и бэк-зоны – белый. Цвет панелей, соединительного профиля и фурнитуры для фокусной стены – синий, RAL 5010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5DCE4" w:themeFill="text2" w:themeFillTint="33" w:val="clear"/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>
        <w:trPr>
          <w:trHeight w:val="2640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4.5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behindDoc="0" distT="6985" distB="0" distL="0" distR="0" simplePos="0" locked="0" layoutInCell="1" allowOverlap="1" relativeHeight="20" wp14:anchorId="15F1FD3E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-362585</wp:posOffset>
                      </wp:positionV>
                      <wp:extent cx="438785" cy="414020"/>
                      <wp:effectExtent l="0" t="0" r="0" b="0"/>
                      <wp:wrapNone/>
                      <wp:docPr id="19" name="Рисунок 8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" name="Рисунок 8" descr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>
                              <a:xfrm rot="5400000">
                                <a:off x="0" y="0"/>
                                <a:ext cx="438840" cy="4140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Рисунок 8" stroked="f" o:allowincell="f" style="position:absolute;margin-left:-2.8pt;margin-top:-28.6pt;width:34.5pt;height:32.55pt;mso-wrap-style:none;v-text-anchor:middle;rotation:90" wp14:anchorId="15F1FD3E" type="_x0000_t75">
                      <v:imagedata r:id="rId17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Металлический сайдинг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, цвет белый, без рисунков и орнаментов, по каркасу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 (допускается выполнение только в неотапливаемых внешних тамбурах)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 (допускается выполнение только в неотапливаемых внешних тамбурах)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>
        <w:trPr>
          <w:trHeight w:val="3540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4.6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drawing>
                <wp:anchor behindDoc="0" distT="0" distB="0" distL="0" distR="0" simplePos="0" locked="0" layoutInCell="1" allowOverlap="1" relativeHeight="2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267335</wp:posOffset>
                  </wp:positionV>
                  <wp:extent cx="368300" cy="438150"/>
                  <wp:effectExtent l="0" t="0" r="0" b="0"/>
                  <wp:wrapNone/>
                  <wp:docPr id="21" name="Рисунок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0" simplePos="0" locked="0" layoutInCell="1" allowOverlap="1" relativeHeight="2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705485</wp:posOffset>
                  </wp:positionV>
                  <wp:extent cx="342900" cy="409575"/>
                  <wp:effectExtent l="0" t="0" r="0" b="0"/>
                  <wp:wrapNone/>
                  <wp:docPr id="22" name="Рисунок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0" simplePos="0" locked="0" layoutInCell="1" allowOverlap="1" relativeHeight="23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1136015</wp:posOffset>
                  </wp:positionV>
                  <wp:extent cx="374650" cy="438150"/>
                  <wp:effectExtent l="0" t="0" r="0" b="0"/>
                  <wp:wrapNone/>
                  <wp:docPr id="23" name="Рисунок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Алюминиевый рифленый лист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(«Квинтет», «Дуэт», «Чечевица») толщиной не менее 2,5 мм. Защита подоконного и вертикальных откосов окна обмена почты со стороны помещения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только при наличии окна обмена почты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только при наличии окна обмена почты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>
        <w:trPr>
          <w:trHeight w:val="736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4.7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behindDoc="0" distT="0" distB="3810" distL="3810" distR="3810" simplePos="0" locked="0" layoutInCell="1" allowOverlap="1" relativeHeight="24" wp14:anchorId="4EF70E04">
                      <wp:simplePos x="0" y="0"/>
                      <wp:positionH relativeFrom="column">
                        <wp:posOffset>-141605</wp:posOffset>
                      </wp:positionH>
                      <wp:positionV relativeFrom="paragraph">
                        <wp:posOffset>-168910</wp:posOffset>
                      </wp:positionV>
                      <wp:extent cx="609600" cy="410845"/>
                      <wp:effectExtent l="0" t="0" r="0" b="0"/>
                      <wp:wrapNone/>
                      <wp:docPr id="24" name="Рисунок 4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" name="Рисунок 4" descr=""/>
                              <pic:cNvPicPr/>
                            </pic:nvPicPr>
                            <pic:blipFill>
                              <a:blip r:embed="rId21"/>
                              <a:stretch/>
                            </pic:blipFill>
                            <pic:spPr>
                              <a:xfrm rot="16200000">
                                <a:off x="0" y="0"/>
                                <a:ext cx="609480" cy="4107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Рисунок 4" stroked="f" o:allowincell="f" style="position:absolute;margin-left:-11.15pt;margin-top:-13.35pt;width:47.95pt;height:32.3pt;mso-wrap-style:none;v-text-anchor:middle;rotation:270" wp14:anchorId="4EF70E04" type="_x0000_t75">
                      <v:imagedata r:id="rId22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ru-RU"/>
              </w:rPr>
              <w:t>Матовая керамогранитная или керамическая плитка: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размер 200х200, 200х300 мм или 300x300 мм;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цвет светло-серый RAL 7047, или белый RAL 9010, 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−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 поверхность матовая;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цвет затирки светло-серый, близкий к RAL 7047, от пола до подвесного потолка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>
        <w:trPr>
          <w:trHeight w:val="2175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4.8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behindDoc="0" distT="0" distB="0" distL="7620" distR="0" simplePos="0" locked="0" layoutInCell="1" allowOverlap="1" relativeHeight="25" wp14:anchorId="48DAD729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247650</wp:posOffset>
                      </wp:positionV>
                      <wp:extent cx="431165" cy="377190"/>
                      <wp:effectExtent l="0" t="0" r="0" b="0"/>
                      <wp:wrapNone/>
                      <wp:docPr id="26" name="Рисунок 3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" name="Рисунок 3" descr="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>
                              <a:xfrm rot="16200000">
                                <a:off x="0" y="0"/>
                                <a:ext cx="431280" cy="3772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Рисунок 3" stroked="f" o:allowincell="f" style="position:absolute;margin-left:-3.95pt;margin-top:19.45pt;width:33.9pt;height:29.65pt;mso-wrap-style:none;v-text-anchor:middle;rotation:270" wp14:anchorId="48DAD729" type="_x0000_t75">
                      <v:imagedata r:id="rId24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ru-RU"/>
              </w:rPr>
              <w:t>Матовая керамогранитная или керамическая плитка: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размер 200х200 мм, 200х300 мм или 300x300 мм;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цвет светло-серый, RAL 7047 или белый RAL 9010; 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поверхность матовая;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цвет затирки светло-серый или белый, приближенный к цвету облицовки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да, защитный фартук при наличии мойки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2CC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412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5. Освещение</w:t>
            </w:r>
          </w:p>
        </w:tc>
      </w:tr>
      <w:tr>
        <w:trPr>
          <w:trHeight w:val="3900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drawing>
                <wp:anchor behindDoc="0" distT="0" distB="0" distL="0" distR="0" simplePos="0" locked="0" layoutInCell="1" allowOverlap="1" relativeHeight="26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438785</wp:posOffset>
                  </wp:positionV>
                  <wp:extent cx="407670" cy="447675"/>
                  <wp:effectExtent l="0" t="0" r="0" b="0"/>
                  <wp:wrapNone/>
                  <wp:docPr id="28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Тип № 1. Общее освещение, аварийное освещение: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     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светильник светодиодный встраиваемый в подвесной потолок системы «Armstrong» или накладной (для открытого потолка);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размер корпуса 600х600 мм;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высота/ глубина не более 50 мм;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мощность светильника не менее 24Вт; 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−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цветовая температура - 4000К;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световой поток, лм: не менее 3000;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индекс цветопередачи (CRI) − не менее 80;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коэффициент мощности − не менее 0,92;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степень защиты (IP) – не менее 20;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блок аварийного питания – нет (рабочее освещение и аварийное освещение в соответствии с п. 6.4 приложения</w:t>
            </w:r>
            <w:r>
              <w:rPr>
                <w:rFonts w:eastAsia="Times New Roman" w:cs="Times New Roman" w:ascii="Times New Roman" w:hAnsi="Times New Roman"/>
                <w:iCs/>
                <w:color w:val="000000"/>
                <w:sz w:val="18"/>
                <w:szCs w:val="18"/>
                <w:lang w:eastAsia="ru-RU"/>
              </w:rPr>
              <w:t xml:space="preserve"> № 2 к ТЗ «Требования к выполнению ремонтных работ в ОПС формата «Сельское ОПС»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;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напряжение питания – ~220В;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рассеиватель матовый, плоский;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цвет корпуса – белый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>
        <w:trPr>
          <w:trHeight w:val="2910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drawing>
                <wp:anchor behindDoc="0" distT="0" distB="0" distL="0" distR="0" simplePos="0" locked="0" layoutInCell="1" allowOverlap="1" relativeHeight="27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-400050</wp:posOffset>
                  </wp:positionV>
                  <wp:extent cx="432435" cy="438150"/>
                  <wp:effectExtent l="0" t="0" r="0" b="0"/>
                  <wp:wrapNone/>
                  <wp:docPr id="29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Тип № 2. Уличное освещение: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светильник светодиодный накладной;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уличный, антивандальный;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мощность светильника – не менее 8Вт;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цветовая температура – 4000К – 4500К;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коэффициент мощности не менее 0,92;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степень защиты (IP) – не менее 54;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блок аварийного питания – нет;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напряжение питания - ~220 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−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цвет корпуса серый или белый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054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6DCE4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Со стороны улицы. Над служебным входом, над люковым окном.</w:t>
            </w:r>
          </w:p>
        </w:tc>
      </w:tr>
    </w:tbl>
    <w:p>
      <w:pPr>
        <w:pStyle w:val="Normal"/>
        <w:spacing w:before="0" w:after="16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sectPr>
      <w:headerReference w:type="even" r:id="rId27"/>
      <w:headerReference w:type="default" r:id="rId28"/>
      <w:headerReference w:type="first" r:id="rId29"/>
      <w:type w:val="nextPage"/>
      <w:pgSz w:orient="landscape" w:w="16838" w:h="11906"/>
      <w:pgMar w:left="1134" w:right="1134" w:gutter="0" w:header="709" w:top="170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Arial">
    <w:charset w:val="01"/>
    <w:family w:val="swiss"/>
    <w:pitch w:val="variable"/>
  </w:font>
  <w:font w:name="Calibri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98312343"/>
    </w:sdtPr>
    <w:sdtContent>
      <w:p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17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tabs>
        <w:tab w:val="clear" w:pos="4677"/>
        <w:tab w:val="clear" w:pos="9355"/>
        <w:tab w:val="left" w:pos="8880" w:leader="none"/>
      </w:tabs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98312343"/>
    </w:sdtPr>
    <w:sdtContent>
      <w:p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17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tabs>
        <w:tab w:val="clear" w:pos="4677"/>
        <w:tab w:val="clear" w:pos="9355"/>
        <w:tab w:val="left" w:pos="8880" w:leader="none"/>
      </w:tabs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e447f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47fe"/>
    <w:rPr>
      <w:color w:val="954F72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f923c6"/>
    <w:rPr/>
  </w:style>
  <w:style w:type="character" w:styleId="Style15" w:customStyle="1">
    <w:name w:val="Нижний колонтитул Знак"/>
    <w:basedOn w:val="DefaultParagraphFont"/>
    <w:uiPriority w:val="99"/>
    <w:qFormat/>
    <w:rsid w:val="00f923c6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227ac1"/>
    <w:rPr>
      <w:sz w:val="16"/>
      <w:szCs w:val="16"/>
    </w:rPr>
  </w:style>
  <w:style w:type="character" w:styleId="Style16" w:customStyle="1">
    <w:name w:val="Текст примечания Знак"/>
    <w:basedOn w:val="DefaultParagraphFont"/>
    <w:uiPriority w:val="99"/>
    <w:semiHidden/>
    <w:qFormat/>
    <w:rsid w:val="00227ac1"/>
    <w:rPr>
      <w:sz w:val="20"/>
      <w:szCs w:val="20"/>
    </w:rPr>
  </w:style>
  <w:style w:type="character" w:styleId="Style17" w:customStyle="1">
    <w:name w:val="Тема примечания Знак"/>
    <w:basedOn w:val="Style16"/>
    <w:link w:val="annotationsubject"/>
    <w:uiPriority w:val="99"/>
    <w:semiHidden/>
    <w:qFormat/>
    <w:rsid w:val="00227ac1"/>
    <w:rPr>
      <w:b/>
      <w:bCs/>
      <w:sz w:val="20"/>
      <w:szCs w:val="20"/>
    </w:rPr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227ac1"/>
    <w:rPr>
      <w:rFonts w:ascii="Segoe UI" w:hAnsi="Segoe UI" w:cs="Segoe UI"/>
      <w:sz w:val="18"/>
      <w:szCs w:val="18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"/>
    </w:rPr>
  </w:style>
  <w:style w:type="paragraph" w:styleId="msonormal" w:customStyle="1">
    <w:name w:val="msonormal"/>
    <w:basedOn w:val="Normal"/>
    <w:qFormat/>
    <w:rsid w:val="00e447f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1">
    <w:name w:val="font5"/>
    <w:basedOn w:val="Normal"/>
    <w:qFormat/>
    <w:rsid w:val="00e447fe"/>
    <w:pPr>
      <w:spacing w:lineRule="auto" w:line="240" w:beforeAutospacing="1" w:afterAutospacing="1"/>
    </w:pPr>
    <w:rPr>
      <w:rFonts w:ascii="Calibri" w:hAnsi="Calibri" w:eastAsia="Times New Roman" w:cs="Calibri"/>
      <w:b/>
      <w:bCs/>
      <w:color w:val="000000"/>
      <w:sz w:val="20"/>
      <w:szCs w:val="20"/>
      <w:lang w:eastAsia="ru-RU"/>
    </w:rPr>
  </w:style>
  <w:style w:type="paragraph" w:styleId="font6" w:customStyle="1">
    <w:name w:val="font6"/>
    <w:basedOn w:val="Normal"/>
    <w:qFormat/>
    <w:rsid w:val="00e447fe"/>
    <w:pPr>
      <w:spacing w:lineRule="auto" w:line="240" w:beforeAutospacing="1" w:afterAutospacing="1"/>
    </w:pPr>
    <w:rPr>
      <w:rFonts w:ascii="Calibri" w:hAnsi="Calibri" w:eastAsia="Times New Roman" w:cs="Calibri"/>
      <w:color w:val="000000"/>
      <w:sz w:val="20"/>
      <w:szCs w:val="20"/>
      <w:lang w:eastAsia="ru-RU"/>
    </w:rPr>
  </w:style>
  <w:style w:type="paragraph" w:styleId="font7" w:customStyle="1">
    <w:name w:val="font7"/>
    <w:basedOn w:val="Normal"/>
    <w:qFormat/>
    <w:rsid w:val="00e447fe"/>
    <w:pPr>
      <w:spacing w:lineRule="auto" w:line="240" w:beforeAutospacing="1" w:afterAutospacing="1"/>
    </w:pPr>
    <w:rPr>
      <w:rFonts w:ascii="Calibri" w:hAnsi="Calibri" w:eastAsia="Times New Roman" w:cs="Calibri"/>
      <w:i/>
      <w:iCs/>
      <w:color w:val="000000"/>
      <w:sz w:val="20"/>
      <w:szCs w:val="20"/>
      <w:lang w:eastAsia="ru-RU"/>
    </w:rPr>
  </w:style>
  <w:style w:type="paragraph" w:styleId="xl66" w:customStyle="1">
    <w:name w:val="xl66"/>
    <w:basedOn w:val="Normal"/>
    <w:qFormat/>
    <w:rsid w:val="00e447fe"/>
    <w:pPr>
      <w:spacing w:lineRule="auto" w:line="240" w:beforeAutospacing="1" w:afterAutospacing="1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xl67" w:customStyle="1">
    <w:name w:val="xl67"/>
    <w:basedOn w:val="Normal"/>
    <w:qFormat/>
    <w:rsid w:val="00e447fe"/>
    <w:pP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68" w:customStyle="1">
    <w:name w:val="xl68"/>
    <w:basedOn w:val="Normal"/>
    <w:qFormat/>
    <w:rsid w:val="00e447fe"/>
    <w:pPr>
      <w:spacing w:lineRule="auto" w:line="240" w:beforeAutospacing="1" w:afterAutospacing="1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e447fe"/>
    <w:pPr>
      <w:spacing w:lineRule="auto" w:line="240" w:beforeAutospacing="1" w:afterAutospacing="1"/>
      <w:jc w:val="center"/>
    </w:pPr>
    <w:rPr>
      <w:rFonts w:ascii="Calibri" w:hAnsi="Calibri" w:eastAsia="Times New Roman" w:cs="Calibri"/>
      <w:sz w:val="28"/>
      <w:szCs w:val="28"/>
      <w:lang w:eastAsia="ru-RU"/>
    </w:rPr>
  </w:style>
  <w:style w:type="paragraph" w:styleId="xl70" w:customStyle="1">
    <w:name w:val="xl70"/>
    <w:basedOn w:val="Normal"/>
    <w:qFormat/>
    <w:rsid w:val="00e447fe"/>
    <w:pPr>
      <w:spacing w:lineRule="auto" w:line="240" w:beforeAutospacing="1" w:afterAutospacing="1"/>
      <w:jc w:val="right"/>
      <w:textAlignment w:val="center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e447fe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b/>
      <w:bCs/>
      <w:sz w:val="20"/>
      <w:szCs w:val="20"/>
      <w:lang w:eastAsia="ru-RU"/>
    </w:rPr>
  </w:style>
  <w:style w:type="paragraph" w:styleId="xl72" w:customStyle="1">
    <w:name w:val="xl72"/>
    <w:basedOn w:val="Normal"/>
    <w:qFormat/>
    <w:rsid w:val="00e447fe"/>
    <w:pPr>
      <w:pBdr>
        <w:top w:val="single" w:sz="8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b/>
      <w:bCs/>
      <w:sz w:val="20"/>
      <w:szCs w:val="20"/>
      <w:lang w:eastAsia="ru-RU"/>
    </w:rPr>
  </w:style>
  <w:style w:type="paragraph" w:styleId="xl73" w:customStyle="1">
    <w:name w:val="xl73"/>
    <w:basedOn w:val="Normal"/>
    <w:qFormat/>
    <w:rsid w:val="00e447fe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b/>
      <w:bCs/>
      <w:sz w:val="20"/>
      <w:szCs w:val="20"/>
      <w:lang w:eastAsia="ru-RU"/>
    </w:rPr>
  </w:style>
  <w:style w:type="paragraph" w:styleId="xl74" w:customStyle="1">
    <w:name w:val="xl74"/>
    <w:basedOn w:val="Normal"/>
    <w:qFormat/>
    <w:rsid w:val="00e447f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75" w:customStyle="1">
    <w:name w:val="xl75"/>
    <w:basedOn w:val="Normal"/>
    <w:qFormat/>
    <w:rsid w:val="00e447fe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76" w:customStyle="1">
    <w:name w:val="xl76"/>
    <w:basedOn w:val="Normal"/>
    <w:qFormat/>
    <w:rsid w:val="00e447f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77" w:customStyle="1">
    <w:name w:val="xl77"/>
    <w:basedOn w:val="Normal"/>
    <w:qFormat/>
    <w:rsid w:val="00e447f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78" w:customStyle="1">
    <w:name w:val="xl78"/>
    <w:basedOn w:val="Normal"/>
    <w:qFormat/>
    <w:rsid w:val="00e447f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CE4"/>
      <w:spacing w:lineRule="auto" w:line="240" w:beforeAutospacing="1" w:afterAutospacing="1"/>
      <w:jc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79" w:customStyle="1">
    <w:name w:val="xl79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80" w:customStyle="1">
    <w:name w:val="xl80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CE4"/>
      <w:spacing w:lineRule="auto" w:line="240" w:beforeAutospacing="1" w:afterAutospacing="1"/>
      <w:jc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81" w:customStyle="1">
    <w:name w:val="xl81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82" w:customStyle="1">
    <w:name w:val="xl82"/>
    <w:basedOn w:val="Normal"/>
    <w:qFormat/>
    <w:rsid w:val="00e447f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83" w:customStyle="1">
    <w:name w:val="xl83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D6DCE4"/>
      <w:spacing w:lineRule="auto" w:line="240" w:beforeAutospacing="1" w:afterAutospacing="1"/>
      <w:jc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84" w:customStyle="1">
    <w:name w:val="xl84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85" w:customStyle="1">
    <w:name w:val="xl85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86" w:customStyle="1">
    <w:name w:val="xl86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87" w:customStyle="1">
    <w:name w:val="xl87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88" w:customStyle="1">
    <w:name w:val="xl88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89" w:customStyle="1">
    <w:name w:val="xl89"/>
    <w:basedOn w:val="Normal"/>
    <w:qFormat/>
    <w:rsid w:val="00e447fe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D6DCE4"/>
      <w:spacing w:lineRule="auto" w:line="240" w:beforeAutospacing="1" w:afterAutospacing="1"/>
      <w:jc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90" w:customStyle="1">
    <w:name w:val="xl90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6DCE4"/>
      <w:spacing w:lineRule="auto" w:line="240" w:beforeAutospacing="1" w:afterAutospacing="1"/>
      <w:jc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91" w:customStyle="1">
    <w:name w:val="xl91"/>
    <w:basedOn w:val="Normal"/>
    <w:qFormat/>
    <w:rsid w:val="00e447f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92" w:customStyle="1">
    <w:name w:val="xl92"/>
    <w:basedOn w:val="Normal"/>
    <w:qFormat/>
    <w:rsid w:val="00e447f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93" w:customStyle="1">
    <w:name w:val="xl93"/>
    <w:basedOn w:val="Normal"/>
    <w:qFormat/>
    <w:rsid w:val="00e447f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CE4"/>
      <w:spacing w:lineRule="auto" w:line="240" w:beforeAutospacing="1" w:afterAutospacing="1"/>
      <w:jc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94" w:customStyle="1">
    <w:name w:val="xl94"/>
    <w:basedOn w:val="Normal"/>
    <w:qFormat/>
    <w:rsid w:val="00e447f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9D9D9"/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95" w:customStyle="1">
    <w:name w:val="xl95"/>
    <w:basedOn w:val="Normal"/>
    <w:qFormat/>
    <w:rsid w:val="00e447fe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9D9D9"/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96" w:customStyle="1">
    <w:name w:val="xl96"/>
    <w:basedOn w:val="Normal"/>
    <w:qFormat/>
    <w:rsid w:val="00e447fe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97" w:customStyle="1">
    <w:name w:val="xl97"/>
    <w:basedOn w:val="Normal"/>
    <w:qFormat/>
    <w:rsid w:val="00e447f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9D9D9"/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98" w:customStyle="1">
    <w:name w:val="xl98"/>
    <w:basedOn w:val="Normal"/>
    <w:qFormat/>
    <w:rsid w:val="00e447fe"/>
    <w:pPr>
      <w:pBdr>
        <w:left w:val="single" w:sz="8" w:space="0" w:color="000000"/>
        <w:right w:val="single" w:sz="4" w:space="0" w:color="000000"/>
      </w:pBdr>
      <w:shd w:val="clear" w:color="000000" w:fill="D9D9D9"/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99" w:customStyle="1">
    <w:name w:val="xl99"/>
    <w:basedOn w:val="Normal"/>
    <w:qFormat/>
    <w:rsid w:val="00e447fe"/>
    <w:pP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100" w:customStyle="1">
    <w:name w:val="xl100"/>
    <w:basedOn w:val="Normal"/>
    <w:qFormat/>
    <w:rsid w:val="00e447f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xl101" w:customStyle="1">
    <w:name w:val="xl101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6DCE4"/>
      <w:spacing w:lineRule="auto" w:line="240" w:beforeAutospacing="1" w:afterAutospacing="1"/>
      <w:jc w:val="center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xl102" w:customStyle="1">
    <w:name w:val="xl102"/>
    <w:basedOn w:val="Normal"/>
    <w:qFormat/>
    <w:rsid w:val="00e447f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lineRule="auto" w:line="240" w:beforeAutospacing="1" w:afterAutospacing="1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103" w:customStyle="1">
    <w:name w:val="xl103"/>
    <w:basedOn w:val="Normal"/>
    <w:qFormat/>
    <w:rsid w:val="00e447f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lineRule="auto" w:line="240" w:beforeAutospacing="1" w:afterAutospacing="1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104" w:customStyle="1">
    <w:name w:val="xl104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9D9D9"/>
      <w:spacing w:lineRule="auto" w:line="240" w:beforeAutospacing="1" w:afterAutospacing="1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105" w:customStyle="1">
    <w:name w:val="xl105"/>
    <w:basedOn w:val="Normal"/>
    <w:qFormat/>
    <w:rsid w:val="00e447f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lineRule="auto" w:line="240" w:beforeAutospacing="1" w:afterAutospacing="1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106" w:customStyle="1">
    <w:name w:val="xl106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lineRule="auto" w:line="240" w:beforeAutospacing="1" w:afterAutospacing="1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107" w:customStyle="1">
    <w:name w:val="xl107"/>
    <w:basedOn w:val="Normal"/>
    <w:qFormat/>
    <w:rsid w:val="00e447fe"/>
    <w:pPr>
      <w:pBdr>
        <w:left w:val="single" w:sz="4" w:space="0" w:color="000000"/>
        <w:right w:val="single" w:sz="4" w:space="0" w:color="000000"/>
      </w:pBdr>
      <w:shd w:val="clear" w:color="000000" w:fill="D9D9D9"/>
      <w:spacing w:lineRule="auto" w:line="240" w:beforeAutospacing="1" w:afterAutospacing="1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108" w:customStyle="1">
    <w:name w:val="xl108"/>
    <w:basedOn w:val="Normal"/>
    <w:qFormat/>
    <w:rsid w:val="00e447f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lineRule="auto" w:line="240" w:beforeAutospacing="1" w:afterAutospacing="1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109" w:customStyle="1">
    <w:name w:val="xl109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9D9D9"/>
      <w:spacing w:lineRule="auto" w:line="240" w:beforeAutospacing="1" w:afterAutospacing="1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110" w:customStyle="1">
    <w:name w:val="xl110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9D9D9"/>
      <w:spacing w:lineRule="auto" w:line="240" w:beforeAutospacing="1" w:afterAutospacing="1"/>
    </w:pPr>
    <w:rPr>
      <w:rFonts w:ascii="Calibri" w:hAnsi="Calibri" w:eastAsia="Times New Roman" w:cs="Calibri"/>
      <w:b/>
      <w:bCs/>
      <w:sz w:val="20"/>
      <w:szCs w:val="20"/>
      <w:lang w:eastAsia="ru-RU"/>
    </w:rPr>
  </w:style>
  <w:style w:type="paragraph" w:styleId="xl111" w:customStyle="1">
    <w:name w:val="xl111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112" w:customStyle="1">
    <w:name w:val="xl112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13" w:customStyle="1">
    <w:name w:val="xl113"/>
    <w:basedOn w:val="Normal"/>
    <w:qFormat/>
    <w:rsid w:val="00e447fe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000000" w:fill="D6DCE4"/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114" w:customStyle="1">
    <w:name w:val="xl114"/>
    <w:basedOn w:val="Normal"/>
    <w:qFormat/>
    <w:rsid w:val="00e447fe"/>
    <w:pPr>
      <w:pBdr>
        <w:top w:val="single" w:sz="4" w:space="0" w:color="000000"/>
        <w:bottom w:val="single" w:sz="8" w:space="0" w:color="000000"/>
      </w:pBdr>
      <w:shd w:val="clear" w:color="000000" w:fill="D6DCE4"/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115" w:customStyle="1">
    <w:name w:val="xl115"/>
    <w:basedOn w:val="Normal"/>
    <w:qFormat/>
    <w:rsid w:val="00e447fe"/>
    <w:pPr>
      <w:pBdr>
        <w:top w:val="single" w:sz="4" w:space="0" w:color="000000"/>
        <w:bottom w:val="single" w:sz="8" w:space="0" w:color="000000"/>
        <w:right w:val="single" w:sz="8" w:space="0" w:color="000000"/>
      </w:pBdr>
      <w:shd w:val="clear" w:color="000000" w:fill="D6DCE4"/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xl116" w:customStyle="1">
    <w:name w:val="xl116"/>
    <w:basedOn w:val="Normal"/>
    <w:qFormat/>
    <w:rsid w:val="00e447fe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17" w:customStyle="1">
    <w:name w:val="xl117"/>
    <w:basedOn w:val="Normal"/>
    <w:qFormat/>
    <w:rsid w:val="00e447fe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18" w:customStyle="1">
    <w:name w:val="xl118"/>
    <w:basedOn w:val="Normal"/>
    <w:qFormat/>
    <w:rsid w:val="00e447fe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19" w:customStyle="1">
    <w:name w:val="xl119"/>
    <w:basedOn w:val="Normal"/>
    <w:qFormat/>
    <w:rsid w:val="00e447fe"/>
    <w:pPr>
      <w:pBdr>
        <w:top w:val="single" w:sz="8" w:space="0" w:color="000000"/>
        <w:left w:val="single" w:sz="8" w:space="0" w:color="000000"/>
      </w:pBdr>
      <w:shd w:val="clear" w:color="000000" w:fill="D9D9D9"/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36"/>
      <w:szCs w:val="36"/>
      <w:lang w:eastAsia="ru-RU"/>
    </w:rPr>
  </w:style>
  <w:style w:type="paragraph" w:styleId="xl120" w:customStyle="1">
    <w:name w:val="xl120"/>
    <w:basedOn w:val="Normal"/>
    <w:qFormat/>
    <w:rsid w:val="00e447fe"/>
    <w:pPr>
      <w:pBdr>
        <w:top w:val="single" w:sz="8" w:space="0" w:color="000000"/>
      </w:pBdr>
      <w:shd w:val="clear" w:color="000000" w:fill="D9D9D9"/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36"/>
      <w:szCs w:val="36"/>
      <w:lang w:eastAsia="ru-RU"/>
    </w:rPr>
  </w:style>
  <w:style w:type="paragraph" w:styleId="xl121" w:customStyle="1">
    <w:name w:val="xl121"/>
    <w:basedOn w:val="Normal"/>
    <w:qFormat/>
    <w:rsid w:val="00e447fe"/>
    <w:pPr>
      <w:pBdr>
        <w:top w:val="single" w:sz="8" w:space="0" w:color="000000"/>
        <w:right w:val="single" w:sz="8" w:space="0" w:color="000000"/>
      </w:pBdr>
      <w:shd w:val="clear" w:color="000000" w:fill="D9D9D9"/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36"/>
      <w:szCs w:val="36"/>
      <w:lang w:eastAsia="ru-RU"/>
    </w:rPr>
  </w:style>
  <w:style w:type="paragraph" w:styleId="xl122" w:customStyle="1">
    <w:name w:val="xl122"/>
    <w:basedOn w:val="Normal"/>
    <w:qFormat/>
    <w:rsid w:val="00e447fe"/>
    <w:pPr>
      <w:pBdr>
        <w:left w:val="single" w:sz="8" w:space="0" w:color="000000"/>
      </w:pBdr>
      <w:shd w:val="clear" w:color="000000" w:fill="D9D9D9"/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36"/>
      <w:szCs w:val="36"/>
      <w:lang w:eastAsia="ru-RU"/>
    </w:rPr>
  </w:style>
  <w:style w:type="paragraph" w:styleId="xl123" w:customStyle="1">
    <w:name w:val="xl123"/>
    <w:basedOn w:val="Normal"/>
    <w:qFormat/>
    <w:rsid w:val="00e447fe"/>
    <w:pPr>
      <w:shd w:val="clear" w:color="000000" w:fill="D9D9D9"/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36"/>
      <w:szCs w:val="36"/>
      <w:lang w:eastAsia="ru-RU"/>
    </w:rPr>
  </w:style>
  <w:style w:type="paragraph" w:styleId="xl124" w:customStyle="1">
    <w:name w:val="xl124"/>
    <w:basedOn w:val="Normal"/>
    <w:qFormat/>
    <w:rsid w:val="00e447fe"/>
    <w:pPr>
      <w:pBdr>
        <w:right w:val="single" w:sz="8" w:space="0" w:color="000000"/>
      </w:pBdr>
      <w:shd w:val="clear" w:color="000000" w:fill="D9D9D9"/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36"/>
      <w:szCs w:val="36"/>
      <w:lang w:eastAsia="ru-RU"/>
    </w:rPr>
  </w:style>
  <w:style w:type="paragraph" w:styleId="xl125" w:customStyle="1">
    <w:name w:val="xl125"/>
    <w:basedOn w:val="Normal"/>
    <w:qFormat/>
    <w:rsid w:val="00e447fe"/>
    <w:pPr>
      <w:pBdr>
        <w:left w:val="single" w:sz="8" w:space="0" w:color="000000"/>
        <w:bottom w:val="single" w:sz="8" w:space="0" w:color="000000"/>
      </w:pBdr>
      <w:shd w:val="clear" w:color="000000" w:fill="FFF2CC"/>
      <w:spacing w:lineRule="auto" w:line="240" w:beforeAutospacing="1" w:afterAutospacing="1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26" w:customStyle="1">
    <w:name w:val="xl126"/>
    <w:basedOn w:val="Normal"/>
    <w:qFormat/>
    <w:rsid w:val="00e447fe"/>
    <w:pPr>
      <w:pBdr>
        <w:bottom w:val="single" w:sz="8" w:space="0" w:color="000000"/>
      </w:pBdr>
      <w:shd w:val="clear" w:color="000000" w:fill="FFF2CC"/>
      <w:spacing w:lineRule="auto" w:line="240" w:beforeAutospacing="1" w:afterAutospacing="1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27" w:customStyle="1">
    <w:name w:val="xl127"/>
    <w:basedOn w:val="Normal"/>
    <w:qFormat/>
    <w:rsid w:val="00e447fe"/>
    <w:pPr>
      <w:pBdr>
        <w:bottom w:val="single" w:sz="8" w:space="0" w:color="000000"/>
        <w:right w:val="single" w:sz="8" w:space="0" w:color="000000"/>
      </w:pBdr>
      <w:shd w:val="clear" w:color="000000" w:fill="FFF2CC"/>
      <w:spacing w:lineRule="auto" w:line="240" w:beforeAutospacing="1" w:afterAutospacing="1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28" w:customStyle="1">
    <w:name w:val="xl128"/>
    <w:basedOn w:val="Normal"/>
    <w:qFormat/>
    <w:rsid w:val="00e447f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2CC"/>
      <w:spacing w:lineRule="auto" w:line="240" w:beforeAutospacing="1" w:afterAutospacing="1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29" w:customStyle="1">
    <w:name w:val="xl129"/>
    <w:basedOn w:val="Normal"/>
    <w:qFormat/>
    <w:rsid w:val="00e447fe"/>
    <w:pPr>
      <w:pBdr>
        <w:top w:val="single" w:sz="8" w:space="0" w:color="000000"/>
        <w:bottom w:val="single" w:sz="8" w:space="0" w:color="000000"/>
      </w:pBdr>
      <w:shd w:val="clear" w:color="000000" w:fill="FFF2CC"/>
      <w:spacing w:lineRule="auto" w:line="240" w:beforeAutospacing="1" w:afterAutospacing="1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30" w:customStyle="1">
    <w:name w:val="xl130"/>
    <w:basedOn w:val="Normal"/>
    <w:qFormat/>
    <w:rsid w:val="00e447f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2CC"/>
      <w:spacing w:lineRule="auto" w:line="240" w:beforeAutospacing="1" w:afterAutospacing="1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31" w:customStyle="1">
    <w:name w:val="xl131"/>
    <w:basedOn w:val="Normal"/>
    <w:qFormat/>
    <w:rsid w:val="00e447fe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b/>
      <w:bCs/>
      <w:sz w:val="20"/>
      <w:szCs w:val="20"/>
      <w:lang w:eastAsia="ru-RU"/>
    </w:rPr>
  </w:style>
  <w:style w:type="paragraph" w:styleId="xl132" w:customStyle="1">
    <w:name w:val="xl132"/>
    <w:basedOn w:val="Normal"/>
    <w:qFormat/>
    <w:rsid w:val="00e447fe"/>
    <w:pPr>
      <w:pBdr>
        <w:right w:val="single" w:sz="8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b/>
      <w:bCs/>
      <w:sz w:val="20"/>
      <w:szCs w:val="20"/>
      <w:lang w:eastAsia="ru-RU"/>
    </w:rPr>
  </w:style>
  <w:style w:type="paragraph" w:styleId="xl133" w:customStyle="1">
    <w:name w:val="xl133"/>
    <w:basedOn w:val="Normal"/>
    <w:qFormat/>
    <w:rsid w:val="00e447fe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b/>
      <w:bCs/>
      <w:sz w:val="20"/>
      <w:szCs w:val="20"/>
      <w:lang w:eastAsia="ru-RU"/>
    </w:rPr>
  </w:style>
  <w:style w:type="paragraph" w:styleId="xl134" w:customStyle="1">
    <w:name w:val="xl134"/>
    <w:basedOn w:val="Normal"/>
    <w:qFormat/>
    <w:rsid w:val="00e447f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2CC"/>
      <w:spacing w:lineRule="auto" w:line="240" w:beforeAutospacing="1" w:afterAutospacing="1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35" w:customStyle="1">
    <w:name w:val="xl135"/>
    <w:basedOn w:val="Normal"/>
    <w:qFormat/>
    <w:rsid w:val="00e447f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2CC"/>
      <w:spacing w:lineRule="auto" w:line="240" w:beforeAutospacing="1" w:afterAutospacing="1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36" w:customStyle="1">
    <w:name w:val="xl136"/>
    <w:basedOn w:val="Normal"/>
    <w:qFormat/>
    <w:rsid w:val="00e447f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FFF2CC"/>
      <w:spacing w:lineRule="auto" w:line="240" w:beforeAutospacing="1" w:afterAutospacing="1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37" w:customStyle="1">
    <w:name w:val="xl137"/>
    <w:basedOn w:val="Normal"/>
    <w:qFormat/>
    <w:rsid w:val="00e447fe"/>
    <w:pPr>
      <w:pBdr>
        <w:top w:val="single" w:sz="8" w:space="0" w:color="000000"/>
        <w:left w:val="single" w:sz="8" w:space="0" w:color="000000"/>
      </w:pBdr>
      <w:shd w:val="clear" w:color="000000" w:fill="FFF2CC"/>
      <w:spacing w:lineRule="auto" w:line="240" w:beforeAutospacing="1" w:afterAutospacing="1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38" w:customStyle="1">
    <w:name w:val="xl138"/>
    <w:basedOn w:val="Normal"/>
    <w:qFormat/>
    <w:rsid w:val="00e447fe"/>
    <w:pPr>
      <w:pBdr>
        <w:top w:val="single" w:sz="8" w:space="0" w:color="000000"/>
      </w:pBdr>
      <w:shd w:val="clear" w:color="000000" w:fill="FFF2CC"/>
      <w:spacing w:lineRule="auto" w:line="240" w:beforeAutospacing="1" w:afterAutospacing="1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39" w:customStyle="1">
    <w:name w:val="xl139"/>
    <w:basedOn w:val="Normal"/>
    <w:qFormat/>
    <w:rsid w:val="00e447fe"/>
    <w:pPr>
      <w:pBdr>
        <w:top w:val="single" w:sz="8" w:space="0" w:color="000000"/>
        <w:right w:val="single" w:sz="8" w:space="0" w:color="000000"/>
      </w:pBdr>
      <w:shd w:val="clear" w:color="000000" w:fill="FFF2CC"/>
      <w:spacing w:lineRule="auto" w:line="240" w:beforeAutospacing="1" w:afterAutospacing="1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40" w:customStyle="1">
    <w:name w:val="xl140"/>
    <w:basedOn w:val="Normal"/>
    <w:qFormat/>
    <w:rsid w:val="00e447fe"/>
    <w:pP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96"/>
      <w:szCs w:val="96"/>
      <w:lang w:eastAsia="ru-RU"/>
    </w:rPr>
  </w:style>
  <w:style w:type="paragraph" w:styleId="xl141" w:customStyle="1">
    <w:name w:val="xl141"/>
    <w:basedOn w:val="Normal"/>
    <w:qFormat/>
    <w:rsid w:val="00e447fe"/>
    <w:pP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56"/>
      <w:szCs w:val="56"/>
      <w:lang w:eastAsia="ru-RU"/>
    </w:rPr>
  </w:style>
  <w:style w:type="paragraph" w:styleId="Style21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f923c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f923c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1a4c67"/>
    <w:pPr>
      <w:spacing w:before="0" w:after="160"/>
      <w:ind w:left="720"/>
      <w:contextualSpacing/>
    </w:pPr>
    <w:rPr/>
  </w:style>
  <w:style w:type="paragraph" w:styleId="CommentText">
    <w:name w:val="annotation text"/>
    <w:basedOn w:val="Normal"/>
    <w:link w:val="Style16"/>
    <w:uiPriority w:val="99"/>
    <w:semiHidden/>
    <w:unhideWhenUsed/>
    <w:rsid w:val="00227ac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7"/>
    <w:uiPriority w:val="99"/>
    <w:semiHidden/>
    <w:unhideWhenUsed/>
    <w:qFormat/>
    <w:rsid w:val="00227ac1"/>
    <w:pPr/>
    <w:rPr>
      <w:b/>
      <w:bCs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227ac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1.png"/><Relationship Id="rId9" Type="http://schemas.openxmlformats.org/officeDocument/2006/relationships/image" Target="media/image6.jpe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jpe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7.png"/><Relationship Id="rId23" Type="http://schemas.openxmlformats.org/officeDocument/2006/relationships/image" Target="media/image17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header" Target="header1.xml"/><Relationship Id="rId28" Type="http://schemas.openxmlformats.org/officeDocument/2006/relationships/header" Target="header2.xml"/><Relationship Id="rId29" Type="http://schemas.openxmlformats.org/officeDocument/2006/relationships/header" Target="header3.xml"/><Relationship Id="rId30" Type="http://schemas.openxmlformats.org/officeDocument/2006/relationships/fontTable" Target="fontTable.xml"/><Relationship Id="rId31" Type="http://schemas.openxmlformats.org/officeDocument/2006/relationships/settings" Target="settings.xml"/><Relationship Id="rId3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LibreOffice/24.8.7.2$Linux_X86_64 LibreOffice_project/480$Build-2</Application>
  <AppVersion>15.0000</AppVersion>
  <Pages>17</Pages>
  <Words>1392</Words>
  <Characters>7377</Characters>
  <CharactersWithSpaces>8370</CharactersWithSpaces>
  <Paragraphs>430</Paragraphs>
  <Company>АО "Почта России"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2025-09-01T10:46:00Z</dcterms:created>
  <dc:creator>Гайворонская Ирина Анатольевна</dc:creator>
  <dc:description/>
  <dc:language>ru-RU</dc:language>
  <cp:lastModifiedBy/>
  <dcterms:modified xsi:type="dcterms:W3CDTF">2026-07-17T10:22:54Z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