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7.xml" ContentType="application/vnd.openxmlformats-officedocument.wordprocessingml.header+xml"/>
  <Override PartName="/word/theme/theme1.xml" ContentType="application/vnd.openxmlformats-officedocument.theme+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4.xml" ContentType="application/vnd.openxmlformats-officedocument.wordprocessingml.header+xml"/>
  <Override PartName="/word/fontTable.xml" ContentType="application/vnd.openxmlformats-officedocument.wordprocessingml.fontTable+xml"/>
  <Override PartName="/word/footer5.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sz w:val="24"/>
          <w:szCs w:val="24"/>
        </w:rPr>
      </w:pPr>
      <w:r>
        <w:rPr>
          <w:b/>
          <w:bCs/>
          <w:sz w:val="24"/>
          <w:szCs w:val="24"/>
        </w:rPr>
        <w:t>Договор поставки №_________________</w:t>
      </w:r>
    </w:p>
    <w:p>
      <w:pPr>
        <w:pStyle w:val="Normal"/>
        <w:shd w:val="clear" w:color="auto" w:fill="FFFFFF"/>
        <w:rPr>
          <w:b/>
          <w:bCs/>
          <w:sz w:val="12"/>
          <w:szCs w:val="12"/>
        </w:rPr>
      </w:pPr>
      <w:r>
        <w:rPr>
          <w:b/>
          <w:bCs/>
          <w:sz w:val="12"/>
          <w:szCs w:val="12"/>
        </w:rPr>
      </w:r>
    </w:p>
    <w:p>
      <w:pPr>
        <w:pStyle w:val="Normal"/>
        <w:shd w:val="clear" w:color="auto" w:fill="FFFFFF"/>
        <w:tabs>
          <w:tab w:val="clear" w:pos="709"/>
          <w:tab w:val="right" w:pos="9639" w:leader="none"/>
        </w:tabs>
        <w:jc w:val="right"/>
        <w:rPr>
          <w:bCs/>
          <w:sz w:val="24"/>
          <w:szCs w:val="24"/>
        </w:rPr>
      </w:pPr>
      <w:r>
        <w:rPr>
          <w:bCs/>
          <w:sz w:val="24"/>
          <w:szCs w:val="24"/>
        </w:rPr>
        <w:t>г. Пятигорск</w:t>
        <w:tab/>
        <w:t xml:space="preserve">   «___» _________ 20__ г.</w:t>
      </w:r>
    </w:p>
    <w:p>
      <w:pPr>
        <w:pStyle w:val="Normal"/>
        <w:shd w:val="clear" w:color="auto" w:fill="FFFFFF"/>
        <w:tabs>
          <w:tab w:val="clear" w:pos="709"/>
          <w:tab w:val="right" w:pos="9639" w:leader="none"/>
        </w:tabs>
        <w:jc w:val="right"/>
        <w:rPr>
          <w:bCs/>
          <w:sz w:val="12"/>
          <w:szCs w:val="12"/>
        </w:rPr>
      </w:pPr>
      <w:r>
        <w:rPr>
          <w:bCs/>
          <w:sz w:val="12"/>
          <w:szCs w:val="12"/>
        </w:rPr>
      </w:r>
    </w:p>
    <w:p>
      <w:pPr>
        <w:pStyle w:val="Normal"/>
        <w:ind w:firstLine="709"/>
        <w:jc w:val="both"/>
        <w:rPr>
          <w:spacing w:val="10"/>
          <w:sz w:val="24"/>
          <w:szCs w:val="24"/>
        </w:rPr>
      </w:pPr>
      <w:r>
        <w:rPr>
          <w:b/>
          <w:sz w:val="24"/>
          <w:szCs w:val="24"/>
        </w:rPr>
        <w:t xml:space="preserve">Акционерное общество «Транспортная компания РусГидро» </w:t>
      </w:r>
      <w:r>
        <w:rPr>
          <w:sz w:val="24"/>
          <w:szCs w:val="24"/>
        </w:rPr>
        <w:t>(АО «ТК РусГидро»)</w:t>
      </w:r>
      <w:r>
        <w:rPr>
          <w:spacing w:val="2"/>
          <w:sz w:val="24"/>
          <w:szCs w:val="24"/>
        </w:rPr>
        <w:t xml:space="preserve"> (далее – </w:t>
      </w:r>
      <w:r>
        <w:rPr>
          <w:sz w:val="24"/>
          <w:szCs w:val="24"/>
        </w:rPr>
        <w:t>«Покупатель»), в лице директора Южного филиала АО «ТК РусГидро» Изотова Виталия Анатольевича</w:t>
      </w:r>
      <w:r>
        <w:rPr>
          <w:spacing w:val="4"/>
          <w:sz w:val="24"/>
          <w:szCs w:val="24"/>
        </w:rPr>
        <w:t>, действующего на основании доверенность от 12.11.2025 №806 (доверенности (МЧД) от 13.01.2026 №841cfce5-0bb8-4268-ac08-961a66772c32),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по результатам проведенной Покупателем конкурентной процедуры </w:t>
      </w:r>
      <w:r>
        <w:rPr>
          <w:bCs/>
          <w:sz w:val="24"/>
          <w:szCs w:val="24"/>
        </w:rPr>
        <w:t>по лоту № </w:t>
      </w:r>
      <w:r>
        <w:rPr>
          <w:bCs/>
          <w:sz w:val="24"/>
          <w:szCs w:val="24"/>
          <w:highlight w:val="lightGray"/>
          <w:lang w:eastAsia="en-US"/>
        </w:rPr>
        <w:t>10</w:t>
      </w:r>
      <w:r>
        <w:rPr>
          <w:bCs/>
          <w:sz w:val="24"/>
          <w:szCs w:val="24"/>
          <w:highlight w:val="lightGray"/>
          <w:lang w:eastAsia="en-US"/>
        </w:rPr>
        <w:t>16</w:t>
      </w:r>
      <w:r>
        <w:rPr>
          <w:bCs/>
          <w:sz w:val="24"/>
          <w:szCs w:val="24"/>
          <w:highlight w:val="lightGray"/>
          <w:lang w:eastAsia="en-US"/>
        </w:rPr>
        <w:t>-ТПИР ОНМ-2026-ТК</w:t>
      </w:r>
      <w:r>
        <w:rPr>
          <w:sz w:val="24"/>
          <w:szCs w:val="24"/>
        </w:rPr>
        <w:t xml:space="preserve"> и на основании протокола от «___» _________ г. №_______,</w:t>
      </w:r>
    </w:p>
    <w:p>
      <w:pPr>
        <w:pStyle w:val="Normal"/>
        <w:ind w:firstLine="709"/>
        <w:jc w:val="both"/>
        <w:rPr>
          <w:b w:val="false"/>
          <w:bCs w:val="false"/>
        </w:rPr>
      </w:pPr>
      <w:r>
        <w:rPr>
          <w:b w:val="false"/>
          <w:bCs w:val="false"/>
          <w:spacing w:val="10"/>
          <w:sz w:val="24"/>
          <w:szCs w:val="24"/>
        </w:rPr>
        <w:t>заключили настоящий договор поставки (далее – «Договор») о нижеследующем:</w:t>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jc w:val="center"/>
        <w:rPr>
          <w:sz w:val="12"/>
          <w:szCs w:val="12"/>
        </w:rPr>
      </w:pPr>
      <w:r>
        <w:rPr>
          <w:sz w:val="12"/>
          <w:szCs w:val="12"/>
        </w:rPr>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 ТОРГ-2 «Акт об установленном расхождении по количеству и качеству при приемке товарно-материальных ценностей» и № ТОРГ-3 «Акт об установленном расхождении 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567" w:leader="none"/>
          <w:tab w:val="left" w:pos="1134" w:leader="none"/>
        </w:tabs>
        <w:overflowPunct w:val="true"/>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sz w:val="24"/>
          <w:szCs w:val="24"/>
          <w:lang w:eastAsia="en-US"/>
        </w:rPr>
        <w:t>«</w:t>
      </w:r>
      <w:bookmarkStart w:id="0" w:name="_GoBack"/>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документ, оформляемый по унифицированной форме № ТОРГ-12 «Товарная накладная», утвержденной постановлением Госкомстата РФ от 25.12.1998 № 132, подписываемый Сторонами после завершения приемки Товара по количеству, качеству и комплектности.</w:t>
      </w:r>
    </w:p>
    <w:p>
      <w:pPr>
        <w:sectPr>
          <w:headerReference w:type="default" r:id="rId2"/>
          <w:type w:val="nextPage"/>
          <w:pgSz w:w="11906" w:h="16838"/>
          <w:pgMar w:left="1418" w:right="851" w:gutter="0" w:header="709" w:top="1134" w:footer="0" w:bottom="1134"/>
          <w:pgNumType w:fmt="decimal"/>
          <w:formProt w:val="false"/>
          <w:textDirection w:val="lrTb"/>
          <w:docGrid w:type="default" w:linePitch="360" w:charSpace="8192"/>
        </w:sect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bookmarkEnd w:id="0"/>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«Партия Товара»</w:t>
      </w:r>
      <w:r>
        <w:rPr>
          <w:sz w:val="24"/>
          <w:szCs w:val="24"/>
          <w:lang w:eastAsia="en-US"/>
        </w:rPr>
        <w:t xml:space="preserve"> – часть Товара, единовременно поставляемая Покупателю Поставщиком, объем, состав и стоимость которой определяется Спецификацией, являющейся приложением к Договору.</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tabs>
          <w:tab w:val="clear" w:pos="709"/>
          <w:tab w:val="left" w:pos="567" w:leader="none"/>
        </w:tabs>
        <w:ind w:firstLine="708"/>
        <w:jc w:val="both"/>
        <w:rPr>
          <w:sz w:val="24"/>
          <w:szCs w:val="24"/>
          <w:highlight w:val="lightGray"/>
          <w:lang w:eastAsia="en-US"/>
        </w:rPr>
      </w:pPr>
      <w:r>
        <w:rPr>
          <w:b/>
          <w:sz w:val="24"/>
          <w:szCs w:val="24"/>
          <w:highlight w:val="lightGray"/>
          <w:lang w:eastAsia="en-US"/>
        </w:rPr>
        <w:t xml:space="preserve">«Рабочая документация» </w:t>
      </w:r>
      <w:r>
        <w:rPr>
          <w:sz w:val="24"/>
          <w:szCs w:val="24"/>
          <w:highlight w:val="lightGray"/>
          <w:lang w:eastAsia="en-US"/>
        </w:rPr>
        <w:t>–</w:t>
      </w:r>
      <w:r>
        <w:rPr>
          <w:b/>
          <w:sz w:val="24"/>
          <w:szCs w:val="24"/>
          <w:highlight w:val="lightGray"/>
          <w:lang w:eastAsia="en-US"/>
        </w:rPr>
        <w:t xml:space="preserve"> </w:t>
      </w:r>
      <w:r>
        <w:rPr>
          <w:sz w:val="24"/>
          <w:szCs w:val="24"/>
          <w:highlight w:val="lightGray"/>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t>
      </w:r>
    </w:p>
    <w:p>
      <w:pPr>
        <w:pStyle w:val="ListParagraph"/>
        <w:numPr>
          <w:ilvl w:val="0"/>
          <w:numId w:val="12"/>
        </w:numPr>
        <w:tabs>
          <w:tab w:val="clear" w:pos="709"/>
          <w:tab w:val="left" w:pos="567" w:leader="none"/>
          <w:tab w:val="left" w:pos="1134" w:leader="none"/>
        </w:tabs>
        <w:ind w:left="0" w:firstLine="709"/>
        <w:jc w:val="both"/>
        <w:rPr>
          <w:b/>
          <w:lang w:eastAsia="en-US"/>
        </w:rPr>
      </w:pPr>
      <w:r>
        <w:rPr>
          <w:sz w:val="24"/>
          <w:szCs w:val="24"/>
          <w:highlight w:val="lightGray"/>
          <w:lang w:eastAsia="en-US"/>
        </w:rPr>
        <w:t>рабочие чертежи основного комплекта, спецификации оборудования и изделий;</w:t>
      </w:r>
    </w:p>
    <w:p>
      <w:pPr>
        <w:pStyle w:val="ListParagraph"/>
        <w:numPr>
          <w:ilvl w:val="0"/>
          <w:numId w:val="12"/>
        </w:numPr>
        <w:tabs>
          <w:tab w:val="clear" w:pos="709"/>
          <w:tab w:val="left" w:pos="567" w:leader="none"/>
          <w:tab w:val="left" w:pos="1134" w:leader="none"/>
        </w:tabs>
        <w:ind w:left="0" w:firstLine="709"/>
        <w:jc w:val="both"/>
        <w:rPr>
          <w:b/>
          <w:lang w:eastAsia="en-US"/>
        </w:rPr>
      </w:pPr>
      <w:r>
        <w:rPr>
          <w:sz w:val="24"/>
          <w:szCs w:val="24"/>
          <w:highlight w:val="lightGray"/>
          <w:lang w:eastAsia="en-US"/>
        </w:rPr>
        <w:t>документы, разработанные в дополнение к рабочим чертежам основного комплекта;</w:t>
      </w:r>
    </w:p>
    <w:p>
      <w:pPr>
        <w:pStyle w:val="ListParagraph"/>
        <w:numPr>
          <w:ilvl w:val="0"/>
          <w:numId w:val="12"/>
        </w:numPr>
        <w:tabs>
          <w:tab w:val="clear" w:pos="709"/>
          <w:tab w:val="left" w:pos="567" w:leader="none"/>
          <w:tab w:val="left" w:pos="1134" w:leader="none"/>
        </w:tabs>
        <w:ind w:left="0" w:firstLine="709"/>
        <w:jc w:val="both"/>
        <w:rPr>
          <w:b/>
          <w:lang w:eastAsia="en-US"/>
        </w:rPr>
      </w:pPr>
      <w:r>
        <w:rPr>
          <w:sz w:val="24"/>
          <w:szCs w:val="24"/>
          <w:highlight w:val="lightGray"/>
          <w:lang w:eastAsia="en-US"/>
        </w:rPr>
        <w:t>сметную документацию.</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bCs/>
          <w:sz w:val="24"/>
          <w:szCs w:val="24"/>
          <w:highlight w:val="lightGray"/>
        </w:rPr>
        <w:t xml:space="preserve">_____________________ </w:t>
      </w:r>
      <w:r>
        <w:rPr>
          <w:bCs/>
          <w:i/>
          <w:sz w:val="24"/>
          <w:szCs w:val="24"/>
          <w:highlight w:val="lightGray"/>
        </w:rPr>
        <w:t>[указывается общее наименование товара]</w:t>
      </w:r>
      <w:r>
        <w:rPr>
          <w:bCs/>
          <w:sz w:val="24"/>
          <w:szCs w:val="24"/>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Поставка Товара по Договору осуществляется для нужд </w:t>
      </w:r>
      <w:r>
        <w:rPr>
          <w:bCs/>
          <w:sz w:val="24"/>
          <w:szCs w:val="24"/>
          <w:highlight w:val="lightGray"/>
        </w:rPr>
        <w:t>__________________.</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Место поставки Товара: </w:t>
      </w:r>
      <w:r>
        <w:rPr>
          <w:sz w:val="24"/>
          <w:szCs w:val="24"/>
          <w:highlight w:val="lightGray"/>
        </w:rPr>
        <w:t>_________________</w:t>
      </w:r>
      <w:r>
        <w:rPr>
          <w:sz w:val="24"/>
          <w:szCs w:val="24"/>
        </w:rPr>
        <w:t xml:space="preserve"> (далее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Начало – </w:t>
      </w:r>
      <w:r>
        <w:rPr>
          <w:bCs/>
          <w:sz w:val="24"/>
          <w:szCs w:val="24"/>
          <w:highlight w:val="lightGray"/>
        </w:rPr>
        <w:t>«___» ___________ 20___</w:t>
      </w:r>
      <w:r>
        <w:rPr>
          <w:bCs/>
          <w:sz w:val="24"/>
          <w:szCs w:val="24"/>
        </w:rPr>
        <w:t xml:space="preserve"> г.</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Окончание – </w:t>
      </w:r>
      <w:r>
        <w:rPr>
          <w:bCs/>
          <w:sz w:val="24"/>
          <w:szCs w:val="24"/>
          <w:highlight w:val="lightGray"/>
        </w:rPr>
        <w:t>«___» _________ 20__</w:t>
      </w:r>
      <w:r>
        <w:rPr>
          <w:bCs/>
          <w:sz w:val="24"/>
          <w:szCs w:val="24"/>
        </w:rPr>
        <w:t xml:space="preserve"> г.</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Сроки поставки Товара (партий Товара) указаны в Календарном графике поставки Товара (Приложение № 3 к Договору) в рамках общих сроков, указанных в пункте 1.4 Договора. </w:t>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r>
        <w:rPr>
          <w:bCs/>
          <w:sz w:val="24"/>
          <w:szCs w:val="24"/>
          <w:highlight w:val="lightGray"/>
        </w:rPr>
        <w:t xml:space="preserve"> твердой</w:t>
      </w:r>
      <w:r>
        <w:rPr>
          <w:bCs/>
          <w:sz w:val="24"/>
          <w:szCs w:val="24"/>
        </w:rPr>
        <w:t xml:space="preserve">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FootnoteReference"/>
          <w:highlight w:val="lightGray"/>
          <w:vertAlign w:val="superscript"/>
        </w:rPr>
        <w:footnoteReference w:id="2"/>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32"/>
          <w:szCs w:val="24"/>
        </w:rPr>
      </w:pPr>
      <w:r>
        <w:rPr>
          <w:sz w:val="24"/>
        </w:rPr>
        <w:t xml:space="preserve">Авансовые платежи за каждую партию Товара в размере 10 (десяти) процентов от стоимости соответствующей партии Товара выплачиваются Поставщику </w:t>
      </w:r>
      <w:r>
        <w:rPr>
          <w:sz w:val="24"/>
          <w:highlight w:val="lightGray"/>
        </w:rPr>
        <w:t>при условии согласования Сторонами Спецификации (Приложение № 1 к Договору) в соответствии с пунктом 2.2 Договора</w:t>
      </w:r>
      <w:r>
        <w:rPr>
          <w:sz w:val="24"/>
        </w:rPr>
        <w:t xml:space="preserve">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партии Товара, и с учетом пунктов 2.4.1, 2.4.4 Договора.</w:t>
      </w:r>
    </w:p>
    <w:p>
      <w:pPr>
        <w:pStyle w:val="ListParagraph"/>
        <w:numPr>
          <w:ilvl w:val="2"/>
          <w:numId w:val="2"/>
        </w:numPr>
        <w:tabs>
          <w:tab w:val="clear" w:pos="709"/>
        </w:tabs>
        <w:ind w:left="0" w:firstLine="709"/>
        <w:jc w:val="both"/>
        <w:rPr>
          <w:sz w:val="24"/>
        </w:rPr>
      </w:pPr>
      <w:r>
        <w:rPr>
          <w:sz w:val="24"/>
        </w:rPr>
        <w:t xml:space="preserve">Последующие платежи в размере 90 % (девяноста процентов) от стоимости партии Товара выплачиваются Поставщику в течение </w:t>
      </w:r>
      <w:r>
        <w:rPr>
          <w:sz w:val="24"/>
          <w:highlight w:val="lightGray"/>
        </w:rPr>
        <w:t>45 (сорока пяти) календарных дней</w:t>
      </w:r>
      <w:r>
        <w:rPr>
          <w:rStyle w:val="FootnoteReference"/>
          <w:sz w:val="24"/>
          <w:highlight w:val="lightGray"/>
        </w:rPr>
        <w:footnoteReference w:id="3"/>
      </w:r>
      <w:r>
        <w:rPr>
          <w:sz w:val="24"/>
          <w:highlight w:val="lightGray"/>
        </w:rPr>
        <w:t xml:space="preserve"> / 7 (семи) рабочих дней</w:t>
      </w:r>
      <w:r>
        <w:rPr>
          <w:rStyle w:val="FootnoteReference"/>
          <w:sz w:val="24"/>
          <w:highlight w:val="lightGray"/>
        </w:rPr>
        <w:footnoteReference w:id="4"/>
      </w:r>
      <w:r>
        <w:rPr>
          <w:sz w:val="24"/>
        </w:rPr>
        <w:t xml:space="preserve"> с даты подписания Сторонами накладной ТОРГ-12, на основании счета, выставленного Поставщиком, и с учетом пункта 2.4.4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1"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2.4.1 Договора, в установленный срок и при этом не приступил к исполнению обязательств по Договору.</w:t>
      </w:r>
      <w:bookmarkEnd w:id="1"/>
      <w:r>
        <w:rPr>
          <w:bCs/>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 w:val="left" w:pos="1276"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12"/>
          <w:szCs w:val="12"/>
        </w:rPr>
      </w:pPr>
      <w:r>
        <w:rPr>
          <w:sz w:val="12"/>
          <w:szCs w:val="12"/>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Normal"/>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партиями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Проектной </w:t>
      </w:r>
      <w:r>
        <w:rPr>
          <w:bCs/>
          <w:sz w:val="24"/>
          <w:szCs w:val="24"/>
          <w:highlight w:val="lightGray"/>
        </w:rPr>
        <w:t>и Рабочей</w:t>
      </w:r>
      <w:r>
        <w:rPr>
          <w:bCs/>
          <w:sz w:val="24"/>
          <w:szCs w:val="24"/>
        </w:rPr>
        <w:t xml:space="preserve"> </w:t>
      </w:r>
      <w:r>
        <w:rPr>
          <w:sz w:val="24"/>
          <w:szCs w:val="24"/>
        </w:rPr>
        <w:t>документации</w:t>
      </w:r>
      <w:r>
        <w:rPr>
          <w:bCs/>
          <w:sz w:val="24"/>
          <w:szCs w:val="24"/>
        </w:rPr>
        <w:t>,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Normal"/>
        <w:widowControl/>
        <w:shd w:val="clear" w:color="auto" w:fill="FFFFFF"/>
        <w:tabs>
          <w:tab w:val="clear" w:pos="709"/>
          <w:tab w:val="left" w:pos="1134" w:leader="none"/>
        </w:tabs>
        <w:ind w:firstLine="709"/>
        <w:jc w:val="both"/>
        <w:rPr>
          <w:bCs/>
          <w:sz w:val="24"/>
          <w:szCs w:val="24"/>
        </w:rPr>
      </w:pPr>
      <w:r>
        <w:rPr>
          <w:bCs/>
          <w:sz w:val="24"/>
          <w:szCs w:val="24"/>
          <w:highlight w:val="lightGray"/>
        </w:rPr>
        <w:t xml:space="preserve">Поставщик не вправе производить </w:t>
      </w:r>
      <w:r>
        <w:rPr>
          <w:sz w:val="24"/>
          <w:szCs w:val="24"/>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партии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сертификат качества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технический паспорт на русском языке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инструкция по эксплуатации на русском языке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упаковочный лист в </w:t>
      </w:r>
      <w:r>
        <w:rPr>
          <w:sz w:val="24"/>
          <w:szCs w:val="24"/>
          <w:highlight w:val="lightGray"/>
        </w:rPr>
        <w:t>__(____)</w:t>
      </w:r>
      <w:r>
        <w:rPr>
          <w:sz w:val="24"/>
          <w:szCs w:val="24"/>
        </w:rPr>
        <w:t xml:space="preserve"> 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w:t>
      </w:r>
      <w:r>
        <w:rPr>
          <w:sz w:val="24"/>
          <w:szCs w:val="24"/>
          <w:highlight w:val="lightGray"/>
        </w:rPr>
        <w:t>__(____)</w:t>
      </w:r>
      <w:r>
        <w:rPr>
          <w:sz w:val="24"/>
          <w:szCs w:val="24"/>
        </w:rPr>
        <w:t xml:space="preserve"> 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накладная ТОРГ-12 в </w:t>
      </w:r>
      <w:r>
        <w:rPr>
          <w:sz w:val="24"/>
          <w:szCs w:val="24"/>
          <w:highlight w:val="lightGray"/>
        </w:rPr>
        <w:t>__(____)</w:t>
      </w:r>
      <w:r>
        <w:rPr>
          <w:sz w:val="24"/>
          <w:szCs w:val="24"/>
        </w:rPr>
        <w:t xml:space="preserve">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2"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Погрузка, доставка, разгрузка </w:t>
      </w:r>
      <w:r>
        <w:rPr>
          <w:sz w:val="24"/>
          <w:szCs w:val="24"/>
          <w:highlight w:val="lightGray"/>
        </w:rPr>
        <w:t>и перемещение Товара (в том числе по территории Покупателя)</w:t>
      </w:r>
      <w:r>
        <w:rPr>
          <w:rStyle w:val="FootnoteReference"/>
          <w:sz w:val="24"/>
          <w:szCs w:val="24"/>
          <w:highlight w:val="lightGray"/>
          <w:vertAlign w:val="superscript"/>
        </w:rPr>
        <w:footnoteReference w:id="5"/>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стоимость Товара.</w:t>
      </w:r>
    </w:p>
    <w:p>
      <w:pPr>
        <w:pStyle w:val="ListParagraph"/>
        <w:widowContro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3" w:name="_Ref361396594"/>
      <w:r>
        <w:rPr>
          <w:sz w:val="24"/>
          <w:szCs w:val="24"/>
        </w:rPr>
        <w:t>Датой поставки партии Товара является дата подписания Сторонами накладной ТОРГ-12.</w:t>
      </w:r>
      <w:bookmarkEnd w:id="3"/>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highlight w:val="lightGray"/>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4"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4"/>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со вскрытием тары и упаковки производится Покупателем в присутствии представителя Поставщика в течение </w:t>
      </w:r>
      <w:r>
        <w:rPr>
          <w:sz w:val="24"/>
          <w:szCs w:val="24"/>
          <w:highlight w:val="lightGray"/>
        </w:rPr>
        <w:t>10 (десяти)</w:t>
      </w:r>
      <w:r>
        <w:rPr>
          <w:sz w:val="24"/>
          <w:szCs w:val="24"/>
        </w:rPr>
        <w:t xml:space="preserve"> рабочих дней с даты подписания Покупателем транспортных документов. В случае отсутствия замечаний Покупатель подписывает накладную ТОРГ-12.</w:t>
      </w:r>
    </w:p>
    <w:p>
      <w:pPr>
        <w:pStyle w:val="Normal"/>
        <w:numPr>
          <w:ilvl w:val="1"/>
          <w:numId w:val="2"/>
        </w:numPr>
        <w:shd w:val="clear" w:color="auto" w:fill="FFFFFF"/>
        <w:tabs>
          <w:tab w:val="clear" w:pos="709"/>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pPr>
        <w:pStyle w:val="Norma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партию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6"/>
      <w:bookmarkStart w:id="6" w:name="OLE_LINK5"/>
      <w:r>
        <w:rPr>
          <w:sz w:val="24"/>
          <w:szCs w:val="24"/>
        </w:rPr>
        <w:t>Покупателем в соответствии с пунктом 4.3 Договора</w:t>
      </w:r>
      <w:bookmarkEnd w:id="5"/>
      <w:bookmarkEnd w:id="6"/>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jc w:val="both"/>
        <w:rPr>
          <w:sz w:val="12"/>
          <w:szCs w:val="12"/>
        </w:rPr>
      </w:pPr>
      <w:r>
        <w:rPr>
          <w:sz w:val="12"/>
          <w:szCs w:val="12"/>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Банковские гарантии</w:t>
      </w:r>
    </w:p>
    <w:p>
      <w:pPr>
        <w:pStyle w:val="Normal"/>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безотзывной и безусловной (гарантия по первому требованию).</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предусматривать, что для истребования суммы обеспечения Покупатель направляет Банку-Гаранту только письменное требование о предъявлении суммы обеспечения к оплате</w:t>
      </w:r>
      <w:r>
        <w:rPr>
          <w:sz w:val="24"/>
          <w:szCs w:val="24"/>
        </w:rPr>
        <w:t xml:space="preserve"> </w:t>
      </w:r>
      <w:r>
        <w:rPr>
          <w:bCs/>
          <w:sz w:val="24"/>
          <w:szCs w:val="24"/>
        </w:rPr>
        <w:t>как полностью, так и частично, с указанием на существо допущенных Поставщиком нарушений, в том числе в случаях:</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возврата непогашенного (незачтенного) аванса при досрочном прекращении Договора / признании Договора недействительным;</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нарушения Поставщиком сроков</w:t>
      </w:r>
      <w:r>
        <w:rPr>
          <w:sz w:val="24"/>
          <w:szCs w:val="24"/>
        </w:rPr>
        <w:t xml:space="preserve"> </w:t>
      </w:r>
      <w:r>
        <w:rPr>
          <w:bCs/>
          <w:sz w:val="24"/>
          <w:szCs w:val="24"/>
        </w:rPr>
        <w:t>поставки Товара, установленных Календарным графиком поставки Товара (Приложение № 3 к Договору) более, чем на 60 (шестьдесят) календарных дней;</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r>
      <w:r>
        <w:rPr>
          <w:bCs/>
          <w:sz w:val="24"/>
          <w:szCs w:val="24"/>
        </w:rPr>
        <w:t>в отношении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9"/>
          <w:tab w:val="left" w:pos="1418" w:leader="none"/>
          <w:tab w:val="left" w:pos="1855" w:leader="none"/>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соответствующей партии Товара.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Покупателем по Банковской гарантии.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pPr>
        <w:pStyle w:val="Normal"/>
        <w:widowControl/>
        <w:numPr>
          <w:ilvl w:val="1"/>
          <w:numId w:val="2"/>
        </w:numPr>
        <w:tabs>
          <w:tab w:val="clear" w:pos="709"/>
          <w:tab w:val="left" w:pos="0" w:leader="none"/>
          <w:tab w:val="left" w:pos="1134" w:leader="none"/>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4 к Договору.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Сумма Банковской гарантии возврата авансового платежа по согласованию 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6"/>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Положения пункта 2.4.1 Договора применяются, если совокупный размер авансовых платежей, уплаченных и подлежащих уплате по Договору в соответствии с выставленными счетами Поставщика составляет 5 000 000 (Пять миллионов) рублей и более</w:t>
        <w:br/>
        <w:t xml:space="preserve">без учета НДС. </w:t>
      </w:r>
    </w:p>
    <w:p>
      <w:pPr>
        <w:pStyle w:val="ListParagraph"/>
        <w:widowControl/>
        <w:numPr>
          <w:ilvl w:val="1"/>
          <w:numId w:val="2"/>
        </w:numPr>
        <w:shd w:val="clear" w:color="auto" w:fill="FFFFFF"/>
        <w:tabs>
          <w:tab w:val="clear" w:pos="709"/>
          <w:tab w:val="left" w:pos="1134" w:leader="none"/>
          <w:tab w:val="left" w:pos="1985" w:leader="none"/>
        </w:tabs>
        <w:ind w:left="0" w:firstLine="709"/>
        <w:jc w:val="both"/>
        <w:rPr>
          <w:bCs/>
          <w:sz w:val="24"/>
          <w:szCs w:val="24"/>
        </w:rPr>
      </w:pPr>
      <w:r>
        <w:rPr>
          <w:sz w:val="24"/>
          <w:szCs w:val="24"/>
          <w:highlight w:val="lightGray"/>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sz w:val="24"/>
          <w:szCs w:val="24"/>
          <w:highlight w:val="lightGray"/>
        </w:rPr>
        <w:footnoteReference w:id="7"/>
      </w:r>
      <w:r>
        <w:rPr>
          <w:sz w:val="24"/>
          <w:szCs w:val="24"/>
          <w:highlight w:val="lightGray"/>
        </w:rPr>
        <w:t>.</w:t>
      </w:r>
    </w:p>
    <w:p>
      <w:pPr>
        <w:pStyle w:val="ListParagraph"/>
        <w:widowControl/>
        <w:numPr>
          <w:ilvl w:val="1"/>
          <w:numId w:val="2"/>
        </w:numPr>
        <w:shd w:val="clear" w:color="auto" w:fill="FFFFFF"/>
        <w:tabs>
          <w:tab w:val="clear" w:pos="709"/>
        </w:tabs>
        <w:ind w:left="0" w:firstLine="709"/>
        <w:jc w:val="both"/>
        <w:rPr>
          <w:bCs/>
          <w:sz w:val="24"/>
          <w:szCs w:val="24"/>
        </w:rPr>
      </w:pPr>
      <w:r>
        <w:rPr>
          <w:sz w:val="24"/>
        </w:rPr>
        <w:t>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shd w:val="clear" w:color="auto" w:fill="FFFFFF"/>
        <w:tabs>
          <w:tab w:val="clear" w:pos="709"/>
          <w:tab w:val="left" w:pos="0" w:leader="none"/>
          <w:tab w:val="left" w:pos="1134" w:leader="none"/>
        </w:tabs>
        <w:ind w:left="1419" w:hanging="0"/>
        <w:jc w:val="both"/>
        <w:rPr>
          <w:bCs/>
          <w:sz w:val="12"/>
          <w:szCs w:val="12"/>
        </w:rPr>
      </w:pPr>
      <w:r>
        <w:rPr>
          <w:bCs/>
          <w:sz w:val="12"/>
          <w:szCs w:val="12"/>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Normal"/>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Календарным графиком поставки Товара (Приложение № 3 к Договору), а также в случае несвоевременного устранения выявленных недостатков Товара, Покупатель вправе требовать уплаты Поставщиком:</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 размере 0,1 (ноль целых</w:t>
      </w:r>
      <w:r>
        <w:rPr>
          <w:rFonts w:eastAsia="Calibri"/>
          <w:bCs/>
          <w:sz w:val="24"/>
          <w:szCs w:val="24"/>
        </w:rPr>
        <w:t xml:space="preserve"> и одна десятая) </w:t>
      </w:r>
      <w:r>
        <w:rPr>
          <w:bCs/>
          <w:sz w:val="24"/>
          <w:szCs w:val="24"/>
        </w:rPr>
        <w:t xml:space="preserve">процента от цены </w:t>
      </w:r>
      <w:r>
        <w:rPr>
          <w:rFonts w:eastAsia="Calibri"/>
          <w:bCs/>
          <w:sz w:val="24"/>
          <w:szCs w:val="24"/>
        </w:rPr>
        <w:t>Партии Товара</w:t>
      </w:r>
      <w:r>
        <w:rPr>
          <w:bCs/>
          <w:sz w:val="24"/>
          <w:szCs w:val="24"/>
        </w:rPr>
        <w:t xml:space="preserve"> за каждый день просрочки;</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 размере</w:t>
      </w:r>
      <w:r>
        <w:rPr>
          <w:bCs/>
          <w:sz w:val="24"/>
          <w:szCs w:val="24"/>
        </w:rPr>
        <w:t xml:space="preserve"> 0,1 </w:t>
      </w:r>
      <w:r>
        <w:rPr>
          <w:sz w:val="24"/>
          <w:szCs w:val="24"/>
        </w:rPr>
        <w:t>(ноль целых и одна десятая) процента</w:t>
      </w:r>
      <w:r>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w:t>
      </w:r>
      <w:r>
        <w:rPr>
          <w:rFonts w:eastAsia="Calibri"/>
          <w:bCs/>
          <w:sz w:val="24"/>
          <w:szCs w:val="24"/>
        </w:rPr>
        <w:t>;</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w:t>
      </w:r>
      <w:r>
        <w:rPr>
          <w:bCs/>
          <w:sz w:val="24"/>
          <w:szCs w:val="24"/>
        </w:rPr>
        <w:t xml:space="preserve"> размере 0,1 </w:t>
      </w:r>
      <w:r>
        <w:rPr>
          <w:sz w:val="24"/>
          <w:szCs w:val="24"/>
        </w:rPr>
        <w:t>(ноль целых и одна десятая) процента</w:t>
      </w:r>
      <w:r>
        <w:rPr>
          <w:bCs/>
          <w:sz w:val="24"/>
          <w:szCs w:val="24"/>
        </w:rPr>
        <w:t xml:space="preserve"> от стоимости Партии 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w:t>
      </w:r>
    </w:p>
    <w:p>
      <w:pPr>
        <w:pStyle w:val="ListParagraph"/>
        <w:widowControl/>
        <w:numPr>
          <w:ilvl w:val="1"/>
          <w:numId w:val="2"/>
        </w:numPr>
        <w:tabs>
          <w:tab w:val="clear" w:pos="709"/>
          <w:tab w:val="left" w:pos="1276" w:leader="none"/>
          <w:tab w:val="left" w:pos="1701" w:leader="none"/>
        </w:tabs>
        <w:ind w:left="0" w:firstLine="709"/>
        <w:jc w:val="both"/>
        <w:rPr>
          <w:sz w:val="24"/>
          <w:szCs w:val="24"/>
        </w:rPr>
      </w:pPr>
      <w:r>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5 к Договору. </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три сотых) процента от Цены Договора за каждый день просрочки.</w:t>
      </w:r>
    </w:p>
    <w:p>
      <w:pPr>
        <w:pStyle w:val="ListParagraph"/>
        <w:numPr>
          <w:ilvl w:val="1"/>
          <w:numId w:val="2"/>
        </w:numPr>
        <w:tabs>
          <w:tab w:val="clear" w:pos="709"/>
        </w:tabs>
        <w:ind w:left="0" w:firstLine="709"/>
        <w:jc w:val="both"/>
        <w:rPr>
          <w:sz w:val="24"/>
          <w:szCs w:val="24"/>
          <w:highlight w:val="lightGray"/>
        </w:rPr>
      </w:pPr>
      <w:r>
        <w:rPr>
          <w:sz w:val="24"/>
          <w:szCs w:val="24"/>
          <w:highlight w:val="lightGray"/>
        </w:rPr>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12"/>
          <w:szCs w:val="12"/>
        </w:rPr>
      </w:pPr>
      <w:r>
        <w:rPr>
          <w:sz w:val="12"/>
          <w:szCs w:val="12"/>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0"/>
          <w:numId w:val="0"/>
        </w:numPr>
        <w:shd w:val="clear" w:color="auto" w:fill="FFFFFF"/>
        <w:tabs>
          <w:tab w:val="clear" w:pos="709"/>
          <w:tab w:val="left" w:pos="0" w:leader="none"/>
        </w:tabs>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находящихся на регистрации товарных знаках Покупателя, а также 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Поставщиках, поставщиках оборудования и материалов, а также 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не публиковать и не </w:t>
      </w:r>
      <w:r>
        <w:rPr>
          <w:sz w:val="24"/>
          <w:szCs w:val="24"/>
        </w:rPr>
        <w:t>раскрывать</w:t>
      </w:r>
      <w:r>
        <w:rPr>
          <w:bCs/>
          <w:sz w:val="24"/>
          <w:szCs w:val="24"/>
        </w:rPr>
        <w:t xml:space="preserve">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 9.6.7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8" w:name="_Ref361337832"/>
      <w:r>
        <w:rPr>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8"/>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9" w:name="_Ref361337863"/>
      <w:r>
        <w:rPr>
          <w:bCs/>
          <w:sz w:val="24"/>
          <w:szCs w:val="24"/>
        </w:rPr>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bookmarkEnd w:id="9"/>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12"/>
          <w:szCs w:val="12"/>
        </w:rPr>
      </w:pPr>
      <w:r>
        <w:rPr>
          <w:sz w:val="12"/>
          <w:szCs w:val="12"/>
        </w:rPr>
      </w:r>
    </w:p>
    <w:p>
      <w:pPr>
        <w:pStyle w:val="ListParagraph"/>
        <w:widowControl/>
        <w:numPr>
          <w:ilvl w:val="0"/>
          <w:numId w:val="2"/>
        </w:numPr>
        <w:shd w:val="clear" w:color="auto" w:fill="FFFFFF"/>
        <w:ind w:left="0" w:hanging="0"/>
        <w:jc w:val="center"/>
        <w:rPr>
          <w:b/>
          <w:bCs/>
          <w:sz w:val="24"/>
          <w:szCs w:val="24"/>
        </w:rPr>
      </w:pPr>
      <w:r>
        <w:rPr>
          <w:b/>
          <w:bCs/>
          <w:sz w:val="24"/>
          <w:szCs w:val="24"/>
        </w:rPr>
        <w:t>Разрешение споров</w:t>
      </w:r>
    </w:p>
    <w:p>
      <w:pPr>
        <w:pStyle w:val="ListParagraph"/>
        <w:widowControl/>
        <w:numPr>
          <w:ilvl w:val="0"/>
          <w:numId w:val="0"/>
        </w:numPr>
        <w:shd w:val="clear" w:color="auto" w:fill="FFFFFF"/>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sz w:val="24"/>
          <w:szCs w:val="24"/>
          <w:highlight w:val="lightGray"/>
        </w:rPr>
        <w:t>Ставропольского края</w:t>
      </w:r>
      <w:r>
        <w:rPr>
          <w:bCs/>
          <w:sz w:val="24"/>
          <w:szCs w:val="24"/>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14.8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bCs/>
          <w:sz w:val="12"/>
          <w:szCs w:val="12"/>
        </w:rPr>
      </w:pPr>
      <w:r>
        <w:rPr>
          <w:bCs/>
          <w:sz w:val="12"/>
          <w:szCs w:val="12"/>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widowControl/>
        <w:numPr>
          <w:ilvl w:val="0"/>
          <w:numId w:val="0"/>
        </w:numPr>
        <w:shd w:val="clear" w:color="auto" w:fill="FFFFFF"/>
        <w:ind w:left="0" w:hanging="0"/>
        <w:jc w:val="center"/>
        <w:rPr>
          <w:sz w:val="12"/>
          <w:szCs w:val="12"/>
        </w:rPr>
      </w:pPr>
      <w:r>
        <w:rPr>
          <w:sz w:val="12"/>
          <w:szCs w:val="12"/>
        </w:rPr>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12"/>
          <w:szCs w:val="12"/>
        </w:rPr>
      </w:pPr>
      <w:r>
        <w:rPr>
          <w:b/>
          <w:bCs/>
          <w:sz w:val="12"/>
          <w:szCs w:val="12"/>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0"/>
          <w:numId w:val="0"/>
        </w:numPr>
        <w:shd w:val="clear" w:color="auto" w:fill="FFFFFF"/>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этом любая из Сторон вправе отказаться от исполнения Договора в одностороннем внесудебном порядке.</w:t>
      </w:r>
    </w:p>
    <w:p>
      <w:pPr>
        <w:pStyle w:val="Normal"/>
        <w:shd w:val="clear" w:color="auto" w:fill="FFFFFF"/>
        <w:jc w:val="both"/>
        <w:rPr>
          <w:sz w:val="12"/>
          <w:szCs w:val="12"/>
        </w:rPr>
      </w:pPr>
      <w:r>
        <w:rPr>
          <w:sz w:val="12"/>
          <w:szCs w:val="12"/>
        </w:rPr>
      </w:r>
    </w:p>
    <w:p>
      <w:pPr>
        <w:pStyle w:val="Normal"/>
        <w:widowControl/>
        <w:numPr>
          <w:ilvl w:val="0"/>
          <w:numId w:val="2"/>
        </w:numPr>
        <w:shd w:val="clear" w:color="auto" w:fill="FFFFFF"/>
        <w:spacing w:lineRule="auto" w:line="259" w:before="0" w:after="0"/>
        <w:ind w:left="0" w:hanging="0"/>
        <w:contextualSpacing/>
        <w:jc w:val="center"/>
        <w:rPr>
          <w:b/>
          <w:bCs/>
          <w:sz w:val="24"/>
          <w:szCs w:val="24"/>
        </w:rPr>
      </w:pPr>
      <w:r>
        <w:rPr>
          <w:b/>
          <w:bCs/>
          <w:sz w:val="24"/>
          <w:szCs w:val="24"/>
        </w:rPr>
        <w:t>Особые положения</w:t>
      </w:r>
    </w:p>
    <w:p>
      <w:pPr>
        <w:pStyle w:val="Normal"/>
        <w:widowControl/>
        <w:numPr>
          <w:ilvl w:val="0"/>
          <w:numId w:val="0"/>
        </w:numPr>
        <w:shd w:val="clear" w:color="auto" w:fill="FFFFFF"/>
        <w:spacing w:lineRule="auto" w:line="259" w:before="0" w:after="0"/>
        <w:ind w:left="0" w:hanging="0"/>
        <w:contextualSpacing/>
        <w:jc w:val="center"/>
        <w:rPr>
          <w:sz w:val="12"/>
          <w:szCs w:val="12"/>
        </w:rPr>
      </w:pPr>
      <w:r>
        <w:rPr>
          <w:sz w:val="12"/>
          <w:szCs w:val="12"/>
        </w:rPr>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bCs/>
            <w:sz w:val="24"/>
            <w:szCs w:val="24"/>
          </w:rPr>
          <w:t>№ 18162/09</w:t>
        </w:r>
      </w:hyperlink>
      <w:r>
        <w:rPr>
          <w:bCs/>
          <w:sz w:val="24"/>
          <w:szCs w:val="24"/>
        </w:rPr>
        <w:t xml:space="preserve"> и от 25.05.2010 </w:t>
      </w:r>
      <w:hyperlink r:id="rId4">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5">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0"/>
          <w:numId w:val="0"/>
        </w:numPr>
        <w:shd w:val="clear" w:color="auto" w:fill="FFFFFF"/>
        <w:tabs>
          <w:tab w:val="clear" w:pos="709"/>
          <w:tab w:val="left" w:pos="426" w:leader="none"/>
        </w:tabs>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Поставщик 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Поставщик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Поставщик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12"/>
          <w:szCs w:val="12"/>
        </w:rPr>
      </w:pPr>
      <w:r>
        <w:rPr>
          <w:sz w:val="12"/>
          <w:szCs w:val="12"/>
        </w:rPr>
      </w:r>
    </w:p>
    <w:p>
      <w:pPr>
        <w:pStyle w:val="ListParagraph"/>
        <w:widowControl/>
        <w:numPr>
          <w:ilvl w:val="0"/>
          <w:numId w:val="2"/>
        </w:numPr>
        <w:shd w:val="clear" w:color="auto" w:fill="FFFFFF"/>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0"/>
          <w:numId w:val="0"/>
        </w:numPr>
        <w:shd w:val="clear" w:color="auto" w:fill="FFFFFF"/>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14.8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12"/>
          <w:szCs w:val="12"/>
        </w:rPr>
      </w:pPr>
      <w:r>
        <w:rPr>
          <w:bCs/>
          <w:sz w:val="12"/>
          <w:szCs w:val="12"/>
        </w:rPr>
      </w:r>
    </w:p>
    <w:p>
      <w:pPr>
        <w:pStyle w:val="ListParagraph"/>
        <w:widowControl/>
        <w:numPr>
          <w:ilvl w:val="0"/>
          <w:numId w:val="2"/>
        </w:numPr>
        <w:shd w:val="clear" w:color="auto" w:fill="FFFFFF"/>
        <w:ind w:left="0" w:hanging="0"/>
        <w:jc w:val="center"/>
        <w:rPr>
          <w:b/>
          <w:bCs/>
          <w:sz w:val="24"/>
          <w:szCs w:val="24"/>
        </w:rPr>
      </w:pPr>
      <w:r>
        <w:rPr>
          <w:b/>
          <w:bCs/>
          <w:sz w:val="24"/>
          <w:szCs w:val="24"/>
        </w:rPr>
        <w:t>Заключительные положения</w:t>
      </w:r>
    </w:p>
    <w:p>
      <w:pPr>
        <w:pStyle w:val="ListParagraph"/>
        <w:widowControl/>
        <w:numPr>
          <w:ilvl w:val="0"/>
          <w:numId w:val="0"/>
        </w:numPr>
        <w:shd w:val="clear" w:color="auto" w:fill="FFFFFF"/>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sz w:val="24"/>
          <w:szCs w:val="24"/>
          <w:lang w:eastAsia="en-US"/>
        </w:rPr>
      </w:pPr>
      <w:r>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lang w:eastAsia="en-US"/>
        </w:rPr>
        <w:footnoteReference w:id="8"/>
      </w:r>
      <w:r>
        <w:rPr>
          <w:sz w:val="24"/>
          <w:szCs w:val="24"/>
          <w:highlight w:val="lightGray"/>
          <w:lang w:eastAsia="en-US"/>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14.7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наличия любых расхождений между содержанием Договора 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sz w:val="24"/>
          <w:szCs w:val="24"/>
          <w:highlight w:val="lightGray"/>
        </w:rPr>
        <w:t>14.8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0" w:name="_Ref361338004"/>
      <w:r>
        <w:rPr>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sz w:val="24"/>
          <w:szCs w:val="24"/>
          <w:highlight w:val="lightGray"/>
        </w:rPr>
        <w:t>14.8</w:t>
      </w:r>
      <w:r>
        <w:rPr>
          <w:sz w:val="24"/>
          <w:szCs w:val="24"/>
        </w:rPr>
        <w:t xml:space="preserve"> Договора.</w:t>
      </w:r>
      <w:bookmarkEnd w:id="10"/>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14.8.1 – 14.8.2</w:t>
      </w:r>
      <w:r>
        <w:rPr>
          <w:bCs/>
          <w:sz w:val="24"/>
          <w:szCs w:val="24"/>
        </w:rPr>
        <w:t xml:space="preserve"> Договора. </w:t>
      </w:r>
    </w:p>
    <w:p>
      <w:pPr>
        <w:pStyle w:val="Normal"/>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Уступка (передача), в том числе в залог, прав (требований) к Покупателю 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9"/>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0"/>
      </w:r>
      <w:r>
        <w:rPr>
          <w:sz w:val="24"/>
          <w:szCs w:val="24"/>
          <w:highlight w:val="lightGray"/>
        </w:rPr>
        <w:t>.</w:t>
      </w:r>
    </w:p>
    <w:p>
      <w:pPr>
        <w:pStyle w:val="Normal"/>
        <w:shd w:val="clear" w:color="auto" w:fill="FFFFFF"/>
        <w:ind w:firstLine="567"/>
        <w:jc w:val="both"/>
        <w:rPr>
          <w:sz w:val="12"/>
          <w:szCs w:val="12"/>
        </w:rPr>
      </w:pPr>
      <w:r>
        <w:rPr>
          <w:sz w:val="12"/>
          <w:szCs w:val="12"/>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Список приложений</w:t>
      </w:r>
    </w:p>
    <w:p>
      <w:pPr>
        <w:pStyle w:val="Normal"/>
        <w:widowControl/>
        <w:numPr>
          <w:ilvl w:val="0"/>
          <w:numId w:val="0"/>
        </w:numPr>
        <w:shd w:val="clear" w:color="auto" w:fill="FFFFFF"/>
        <w:tabs>
          <w:tab w:val="clear" w:pos="709"/>
          <w:tab w:val="left" w:pos="284" w:leader="none"/>
        </w:tabs>
        <w:spacing w:lineRule="auto" w:line="259" w:before="0" w:after="0"/>
        <w:ind w:left="360" w:hanging="0"/>
        <w:contextualSpacing/>
        <w:jc w:val="center"/>
        <w:rPr>
          <w:sz w:val="12"/>
          <w:szCs w:val="12"/>
        </w:rPr>
      </w:pPr>
      <w:r>
        <w:rPr>
          <w:sz w:val="12"/>
          <w:szCs w:val="12"/>
        </w:rPr>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lang w:eastAsia="x-none"/>
        </w:rPr>
      </w:pPr>
      <w:r>
        <w:rPr>
          <w:sz w:val="24"/>
          <w:szCs w:val="24"/>
          <w:lang w:eastAsia="x-none"/>
        </w:rPr>
        <w:t>Приложение № 3 –</w:t>
      </w:r>
      <w:r>
        <w:rPr>
          <w:rFonts w:eastAsia="Calibri"/>
          <w:sz w:val="24"/>
          <w:szCs w:val="24"/>
          <w:lang w:eastAsia="en-US"/>
        </w:rPr>
        <w:t xml:space="preserve"> Календарный график поставки Товара.</w:t>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rPr>
      </w:pPr>
      <w:bookmarkStart w:id="11" w:name="sub_1"/>
      <w:r>
        <w:rPr>
          <w:rFonts w:eastAsia="Calibri"/>
          <w:sz w:val="24"/>
          <w:szCs w:val="24"/>
          <w:lang w:eastAsia="en-US"/>
        </w:rPr>
        <w:t>Приложение № 4 – Критерии отбора Банков-Гарантов.</w:t>
      </w:r>
      <w:bookmarkEnd w:id="11"/>
    </w:p>
    <w:p>
      <w:pPr>
        <w:pStyle w:val="Normal"/>
        <w:ind w:firstLine="709"/>
        <w:jc w:val="both"/>
        <w:rPr>
          <w:bCs/>
          <w:sz w:val="24"/>
          <w:szCs w:val="24"/>
        </w:rPr>
      </w:pPr>
      <w:r>
        <w:rPr>
          <w:bCs/>
          <w:sz w:val="24"/>
          <w:szCs w:val="24"/>
        </w:rPr>
        <w:t xml:space="preserve">Приложение № 5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12"/>
          <w:szCs w:val="12"/>
        </w:rPr>
      </w:pPr>
      <w:r>
        <w:rPr>
          <w:b/>
          <w:bCs/>
          <w:sz w:val="12"/>
          <w:szCs w:val="12"/>
        </w:rPr>
      </w:r>
    </w:p>
    <w:tbl>
      <w:tblPr>
        <w:tblW w:w="989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2"/>
        <w:gridCol w:w="29"/>
        <w:gridCol w:w="5078"/>
      </w:tblGrid>
      <w:tr>
        <w:trPr/>
        <w:tc>
          <w:tcPr>
            <w:tcW w:w="4811" w:type="dxa"/>
            <w:gridSpan w:val="2"/>
            <w:tcBorders/>
          </w:tcPr>
          <w:p>
            <w:pPr>
              <w:pStyle w:val="Normal"/>
              <w:widowControl w:val="false"/>
              <w:rPr>
                <w:b/>
                <w:bCs/>
              </w:rPr>
            </w:pPr>
            <w:r>
              <w:rPr>
                <w:b/>
                <w:bCs/>
                <w:sz w:val="24"/>
                <w:szCs w:val="24"/>
              </w:rPr>
              <w:t>ПОКУПАТЕЛЬ:</w:t>
            </w:r>
          </w:p>
        </w:tc>
        <w:tc>
          <w:tcPr>
            <w:tcW w:w="5078" w:type="dxa"/>
            <w:tcBorders/>
          </w:tcPr>
          <w:p>
            <w:pPr>
              <w:pStyle w:val="Normal"/>
              <w:widowControl w:val="false"/>
              <w:rPr>
                <w:b/>
                <w:bCs/>
              </w:rPr>
            </w:pPr>
            <w:r>
              <w:rPr>
                <w:b/>
                <w:bCs/>
                <w:sz w:val="24"/>
                <w:szCs w:val="24"/>
              </w:rPr>
              <w:t>ПОСТАВЩИК:</w:t>
            </w:r>
          </w:p>
        </w:tc>
      </w:tr>
      <w:tr>
        <w:trPr/>
        <w:tc>
          <w:tcPr>
            <w:tcW w:w="4811" w:type="dxa"/>
            <w:gridSpan w:val="2"/>
            <w:tcBorders/>
            <w:shd w:color="auto" w:fill="BFBFBF" w:val="clear"/>
          </w:tcPr>
          <w:p>
            <w:pPr>
              <w:pStyle w:val="NoSpacing"/>
              <w:widowControl w:val="false"/>
              <w:rPr>
                <w:b/>
                <w:bCs/>
              </w:rPr>
            </w:pPr>
            <w:r>
              <w:rPr>
                <w:rFonts w:cs="Times New Roman" w:ascii="Times New Roman" w:hAnsi="Times New Roman"/>
                <w:b/>
                <w:bCs/>
                <w:sz w:val="24"/>
                <w:szCs w:val="24"/>
              </w:rPr>
              <w:t>Акционерное общество «ТК РусГидро»</w:t>
            </w:r>
          </w:p>
          <w:p>
            <w:pPr>
              <w:pStyle w:val="NoSpacing"/>
              <w:widowControl w:val="false"/>
              <w:rPr>
                <w:b/>
                <w:bCs/>
              </w:rPr>
            </w:pPr>
            <w:r>
              <w:rPr>
                <w:rFonts w:cs="Times New Roman" w:ascii="Times New Roman" w:hAnsi="Times New Roman"/>
                <w:b/>
                <w:bCs/>
                <w:sz w:val="24"/>
                <w:szCs w:val="24"/>
              </w:rPr>
              <w:t>(АО «ТК РусГидро»)</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655619, Республика Хакасия, город Саяногорск, рабочий поселок Черемушки,</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стр. 101.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ИНН 1902018248 КПП 190201001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ОГРН 1031900676356 ОКПО 42213224</w:t>
            </w:r>
          </w:p>
          <w:p>
            <w:pPr>
              <w:pStyle w:val="NoSpacing"/>
              <w:widowControl w:val="false"/>
              <w:rPr>
                <w:b/>
                <w:bCs/>
              </w:rPr>
            </w:pPr>
            <w:r>
              <w:rPr>
                <w:rFonts w:cs="Times New Roman" w:ascii="Times New Roman" w:hAnsi="Times New Roman"/>
                <w:b/>
                <w:bCs/>
                <w:sz w:val="24"/>
                <w:szCs w:val="24"/>
              </w:rPr>
              <w:t>Южный филиал АО «ТК РусГидро»</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357506, Российская Федерация, Ставропольский край, город-курорт Пятигорск, ул. Тургеневская, зд. 30.</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Телефон, факс: +7(86554)4-16-55</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ИНН 1902018248 КПП 263243001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ОКПО 21967982</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Банковские реквизиты:</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р/с 40702810795000000002</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в Банк ГПБ (АО), г. Москва</w:t>
            </w:r>
          </w:p>
          <w:p>
            <w:pPr>
              <w:pStyle w:val="NoSpacing"/>
              <w:widowControl w:val="false"/>
              <w:rPr/>
            </w:pPr>
            <w:r>
              <w:rPr>
                <w:rFonts w:cs="Times New Roman" w:ascii="Times New Roman" w:hAnsi="Times New Roman"/>
              </w:rPr>
              <w:t>БИК 044525823 к/с 30101810200000000823</w:t>
            </w:r>
          </w:p>
        </w:tc>
        <w:tc>
          <w:tcPr>
            <w:tcW w:w="5078" w:type="dxa"/>
            <w:tcBorders/>
            <w:shd w:color="auto" w:fill="BFBFBF" w:val="clear"/>
          </w:tcPr>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82" w:type="dxa"/>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p>
            <w:pPr>
              <w:pStyle w:val="NoSpacing"/>
              <w:widowControl w:val="false"/>
              <w:rPr>
                <w:rFonts w:ascii="Times New Roman" w:hAnsi="Times New Roman" w:cs="Times New Roman"/>
                <w:sz w:val="24"/>
                <w:szCs w:val="24"/>
              </w:rPr>
            </w:pPr>
            <w:r>
              <w:rPr>
                <w:rFonts w:cs="Times New Roman" w:ascii="Times New Roman" w:hAnsi="Times New Roman"/>
                <w:sz w:val="24"/>
                <w:szCs w:val="24"/>
                <w:highlight w:val="lightGray"/>
              </w:rPr>
              <w:t>_______________ В.А. Изотов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highlight w:val="lightGray"/>
              </w:rPr>
              <w:t>МП</w:t>
            </w:r>
          </w:p>
        </w:tc>
        <w:tc>
          <w:tcPr>
            <w:tcW w:w="5107" w:type="dxa"/>
            <w:gridSpan w:val="2"/>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__.__.________________</w:t>
            </w:r>
          </w:p>
          <w:p>
            <w:pPr>
              <w:pStyle w:val="Normal"/>
              <w:widowControl w:val="false"/>
              <w:rPr>
                <w:sz w:val="24"/>
                <w:szCs w:val="24"/>
              </w:rPr>
            </w:pPr>
            <w:r>
              <w:rPr>
                <w:sz w:val="24"/>
                <w:szCs w:val="24"/>
              </w:rPr>
              <w:t>МП</w:t>
            </w:r>
          </w:p>
        </w:tc>
      </w:tr>
    </w:tbl>
    <w:p>
      <w:pPr>
        <w:sectPr>
          <w:headerReference w:type="default" r:id="rId6"/>
          <w:headerReference w:type="first" r:id="rId7"/>
          <w:footerReference w:type="default" r:id="rId8"/>
          <w:footnotePr>
            <w:numFmt w:val="decimal"/>
          </w:footnotePr>
          <w:type w:val="nextPage"/>
          <w:pgSz w:w="11906" w:h="16838"/>
          <w:pgMar w:left="1418" w:right="851" w:gutter="0" w:header="709" w:top="1276" w:footer="709" w:bottom="1134"/>
          <w:pgNumType w:fmt="decimal"/>
          <w:formProt w:val="false"/>
          <w:textDirection w:val="lrTb"/>
          <w:docGrid w:type="default" w:linePitch="360" w:charSpace="8192"/>
        </w:sectPr>
      </w:pPr>
    </w:p>
    <w:p>
      <w:pPr>
        <w:pStyle w:val="Normal"/>
        <w:suppressAutoHyphens w:val="true"/>
        <w:ind w:left="5103" w:right="96" w:hanging="0"/>
        <w:rPr>
          <w:sz w:val="22"/>
          <w:szCs w:val="22"/>
        </w:rPr>
      </w:pPr>
      <w:r>
        <w:rPr>
          <w:sz w:val="22"/>
          <w:szCs w:val="22"/>
        </w:rPr>
        <w:t>Приложение № 1</w:t>
      </w:r>
    </w:p>
    <w:p>
      <w:pPr>
        <w:pStyle w:val="Normal"/>
        <w:suppressAutoHyphens w:val="true"/>
        <w:ind w:left="5103" w:right="96" w:hanging="0"/>
        <w:rPr>
          <w:sz w:val="22"/>
          <w:szCs w:val="22"/>
        </w:rPr>
      </w:pPr>
      <w:r>
        <w:rPr>
          <w:sz w:val="22"/>
          <w:szCs w:val="22"/>
        </w:rPr>
        <w:t>к Договору поставки</w:t>
      </w:r>
    </w:p>
    <w:p>
      <w:pPr>
        <w:pStyle w:val="Normal"/>
        <w:suppressAutoHyphens w:val="true"/>
        <w:ind w:left="5103" w:right="96" w:hanging="0"/>
        <w:rPr>
          <w:sz w:val="22"/>
          <w:szCs w:val="22"/>
        </w:rPr>
      </w:pPr>
      <w:r>
        <w:rPr>
          <w:sz w:val="22"/>
          <w:szCs w:val="22"/>
        </w:rPr>
        <w:t>от «____» __________ 20 _ г. № _____</w:t>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10317" w:type="dxa"/>
        <w:jc w:val="left"/>
        <w:tblInd w:w="-714" w:type="dxa"/>
        <w:tblLayout w:type="fixed"/>
        <w:tblCellMar>
          <w:top w:w="0" w:type="dxa"/>
          <w:left w:w="108" w:type="dxa"/>
          <w:bottom w:w="0" w:type="dxa"/>
          <w:right w:w="108" w:type="dxa"/>
        </w:tblCellMar>
        <w:tblLook w:val="04a0" w:noHBand="0" w:noVBand="1" w:firstColumn="1" w:lastRow="0" w:lastColumn="0" w:firstRow="1"/>
      </w:tblPr>
      <w:tblGrid>
        <w:gridCol w:w="458"/>
        <w:gridCol w:w="380"/>
        <w:gridCol w:w="608"/>
        <w:gridCol w:w="610"/>
        <w:gridCol w:w="618"/>
        <w:gridCol w:w="763"/>
        <w:gridCol w:w="737"/>
        <w:gridCol w:w="619"/>
        <w:gridCol w:w="729"/>
        <w:gridCol w:w="691"/>
        <w:gridCol w:w="514"/>
        <w:gridCol w:w="649"/>
        <w:gridCol w:w="552"/>
        <w:gridCol w:w="514"/>
        <w:gridCol w:w="716"/>
        <w:gridCol w:w="1156"/>
      </w:tblGrid>
      <w:tr>
        <w:trPr>
          <w:trHeight w:val="526" w:hRule="atLeast"/>
        </w:trPr>
        <w:tc>
          <w:tcPr>
            <w:tcW w:w="4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партии</w:t>
            </w:r>
          </w:p>
        </w:tc>
        <w:tc>
          <w:tcPr>
            <w:tcW w:w="3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1"/>
            </w:r>
          </w:p>
        </w:tc>
        <w:tc>
          <w:tcPr>
            <w:tcW w:w="7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12"/>
            </w:r>
          </w:p>
          <w:p>
            <w:pPr>
              <w:pStyle w:val="Normal"/>
              <w:widowControl w:val="false"/>
              <w:jc w:val="center"/>
              <w:rPr>
                <w:bCs/>
              </w:rPr>
            </w:pPr>
            <w:r>
              <w:rPr>
                <w:bCs/>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11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1</w:t>
            </w:r>
          </w:p>
        </w:tc>
        <w:tc>
          <w:tcPr>
            <w:tcW w:w="3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11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11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2"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№1</w:t>
            </w:r>
            <w:r>
              <w:rPr/>
              <w:t>, руб. с НДС</w:t>
            </w:r>
          </w:p>
        </w:tc>
        <w:tc>
          <w:tcPr>
            <w:tcW w:w="187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2</w:t>
            </w:r>
          </w:p>
        </w:tc>
        <w:tc>
          <w:tcPr>
            <w:tcW w:w="3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3</w:t>
            </w:r>
          </w:p>
        </w:tc>
        <w:tc>
          <w:tcPr>
            <w:tcW w:w="6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11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4</w:t>
            </w:r>
          </w:p>
        </w:tc>
        <w:tc>
          <w:tcPr>
            <w:tcW w:w="6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11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2"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№2</w:t>
            </w:r>
            <w:r>
              <w:rPr/>
              <w:t>, руб. с НДС</w:t>
            </w:r>
          </w:p>
        </w:tc>
        <w:tc>
          <w:tcPr>
            <w:tcW w:w="187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8442"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187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rPr>
          <w:i/>
          <w:i/>
          <w:sz w:val="24"/>
          <w:szCs w:val="24"/>
          <w:highlight w:val="yellow"/>
        </w:rPr>
      </w:pPr>
      <w:r>
        <w:rPr>
          <w:i/>
          <w:sz w:val="24"/>
          <w:szCs w:val="24"/>
          <w:highlight w:val="yellow"/>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pPr>
      <w:r>
        <w:rPr/>
      </w:r>
    </w:p>
    <w:p>
      <w:pPr>
        <w:pStyle w:val="Normal"/>
        <w:rPr/>
      </w:pPr>
      <w:r>
        <w:rPr/>
        <w:t xml:space="preserve"> </w:t>
      </w:r>
      <w:r>
        <w:rPr/>
        <w:t>__________ /__________</w:t>
        <w:tab/>
        <w:t xml:space="preserve">                                          ___________ /___________</w:t>
      </w:r>
    </w:p>
    <w:p>
      <w:pPr>
        <w:pStyle w:val="Normal"/>
        <w:rPr>
          <w:i/>
          <w:i/>
          <w:sz w:val="24"/>
          <w:szCs w:val="24"/>
          <w:highlight w:val="yellow"/>
        </w:rPr>
      </w:pPr>
      <w:r>
        <w:rPr>
          <w:i/>
          <w:sz w:val="24"/>
          <w:szCs w:val="24"/>
          <w:highlight w:val="yellow"/>
        </w:rPr>
      </w:r>
    </w:p>
    <w:p>
      <w:pPr>
        <w:pStyle w:val="Normal"/>
        <w:widowControl/>
        <w:suppressAutoHyphens w:val="true"/>
        <w:spacing w:lineRule="auto" w:line="259"/>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suppressAutoHyphens w:val="true"/>
        <w:ind w:right="96" w:firstLine="5103"/>
        <w:rPr>
          <w:sz w:val="22"/>
          <w:szCs w:val="22"/>
        </w:rPr>
      </w:pPr>
      <w:r>
        <w:rPr>
          <w:sz w:val="22"/>
          <w:szCs w:val="22"/>
        </w:rPr>
        <w:t>Приложение № 2</w:t>
      </w:r>
    </w:p>
    <w:p>
      <w:pPr>
        <w:pStyle w:val="Normal"/>
        <w:suppressAutoHyphens w:val="true"/>
        <w:ind w:right="96" w:firstLine="5103"/>
        <w:rPr>
          <w:sz w:val="22"/>
          <w:szCs w:val="22"/>
        </w:rPr>
      </w:pPr>
      <w:r>
        <w:rPr>
          <w:sz w:val="22"/>
          <w:szCs w:val="22"/>
        </w:rPr>
        <w:t xml:space="preserve">к Договору поставки </w:t>
      </w:r>
    </w:p>
    <w:p>
      <w:pPr>
        <w:pStyle w:val="Normal"/>
        <w:suppressAutoHyphens w:val="true"/>
        <w:ind w:right="96" w:firstLine="5103"/>
        <w:rPr>
          <w:sz w:val="22"/>
          <w:szCs w:val="22"/>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sectPr>
          <w:headerReference w:type="default" r:id="rId9"/>
          <w:headerReference w:type="first" r:id="rId10"/>
          <w:footerReference w:type="default" r:id="rId11"/>
          <w:footerReference w:type="first" r:id="rId12"/>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pPr>
    </w:p>
    <w:p>
      <w:pPr>
        <w:pStyle w:val="Normal"/>
        <w:widowControl w:val="false"/>
        <w:suppressAutoHyphens w:val="true"/>
        <w:bidi w:val="0"/>
        <w:spacing w:before="0" w:after="0"/>
        <w:ind w:left="5102" w:right="-283" w:hanging="0"/>
        <w:jc w:val="left"/>
        <w:rPr>
          <w:sz w:val="22"/>
          <w:szCs w:val="22"/>
        </w:rPr>
      </w:pPr>
      <w:r>
        <w:rPr>
          <w:sz w:val="22"/>
          <w:szCs w:val="22"/>
        </w:rPr>
        <w:t>Приложение № 3</w:t>
      </w:r>
    </w:p>
    <w:p>
      <w:pPr>
        <w:pStyle w:val="Normal"/>
        <w:suppressAutoHyphens w:val="true"/>
        <w:ind w:right="96" w:firstLine="5103"/>
        <w:rPr>
          <w:sz w:val="22"/>
          <w:szCs w:val="22"/>
        </w:rPr>
      </w:pPr>
      <w:r>
        <w:rPr>
          <w:sz w:val="22"/>
          <w:szCs w:val="22"/>
        </w:rPr>
        <w:t>к Договору поставки</w:t>
      </w:r>
    </w:p>
    <w:p>
      <w:pPr>
        <w:pStyle w:val="Normal"/>
        <w:suppressAutoHyphens w:val="true"/>
        <w:ind w:right="96" w:firstLine="5103"/>
        <w:rPr>
          <w:sz w:val="22"/>
          <w:szCs w:val="22"/>
        </w:rPr>
      </w:pPr>
      <w:r>
        <w:rPr>
          <w:sz w:val="22"/>
          <w:szCs w:val="22"/>
        </w:rPr>
        <w:t>от «____» __________ 20 _ г. № ____</w:t>
      </w:r>
    </w:p>
    <w:p>
      <w:pPr>
        <w:pStyle w:val="Normal"/>
        <w:suppressAutoHyphens w:val="true"/>
        <w:jc w:val="center"/>
        <w:rPr>
          <w:b/>
          <w:sz w:val="24"/>
          <w:szCs w:val="24"/>
        </w:rPr>
      </w:pPr>
      <w:r>
        <w:rPr>
          <w:b/>
          <w:sz w:val="24"/>
          <w:szCs w:val="24"/>
        </w:rPr>
      </w:r>
    </w:p>
    <w:p>
      <w:pPr>
        <w:pStyle w:val="Normal"/>
        <w:suppressAutoHyphens w:val="true"/>
        <w:jc w:val="center"/>
        <w:rPr>
          <w:b/>
          <w:sz w:val="24"/>
          <w:szCs w:val="24"/>
        </w:rPr>
      </w:pPr>
      <w:r>
        <w:rPr>
          <w:b/>
          <w:sz w:val="24"/>
          <w:szCs w:val="24"/>
        </w:rPr>
      </w:r>
    </w:p>
    <w:p>
      <w:pPr>
        <w:pStyle w:val="Normal"/>
        <w:suppressAutoHyphens w:val="true"/>
        <w:jc w:val="center"/>
        <w:rPr>
          <w:b/>
          <w:sz w:val="24"/>
          <w:szCs w:val="24"/>
        </w:rPr>
      </w:pPr>
      <w:r>
        <w:rPr>
          <w:b/>
          <w:sz w:val="24"/>
          <w:szCs w:val="24"/>
        </w:rPr>
        <w:t xml:space="preserve">Календарный график поставки Товара </w:t>
      </w:r>
    </w:p>
    <w:p>
      <w:pPr>
        <w:pStyle w:val="Normal"/>
        <w:rPr>
          <w:sz w:val="24"/>
          <w:szCs w:val="24"/>
        </w:rPr>
      </w:pPr>
      <w:r>
        <w:rPr>
          <w:sz w:val="24"/>
          <w:szCs w:val="24"/>
        </w:rPr>
      </w:r>
    </w:p>
    <w:p>
      <w:pPr>
        <w:pStyle w:val="Normal"/>
        <w:rPr>
          <w:sz w:val="24"/>
          <w:szCs w:val="24"/>
        </w:rPr>
      </w:pPr>
      <w:r>
        <w:rPr>
          <w:sz w:val="24"/>
          <w:szCs w:val="24"/>
        </w:rPr>
        <w:t>Таблица 1. Календарный график поставки Товара</w:t>
      </w:r>
    </w:p>
    <w:p>
      <w:pPr>
        <w:pStyle w:val="Normal"/>
        <w:rPr>
          <w:sz w:val="24"/>
          <w:szCs w:val="24"/>
        </w:rPr>
      </w:pPr>
      <w:r>
        <w:rPr>
          <w:sz w:val="24"/>
          <w:szCs w:val="24"/>
        </w:rPr>
      </w:r>
    </w:p>
    <w:tbl>
      <w:tblPr>
        <w:tblW w:w="991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6"/>
        <w:gridCol w:w="1834"/>
        <w:gridCol w:w="1849"/>
        <w:gridCol w:w="1843"/>
        <w:gridCol w:w="1140"/>
        <w:gridCol w:w="1196"/>
        <w:gridCol w:w="1349"/>
      </w:tblGrid>
      <w:tr>
        <w:trPr>
          <w:trHeight w:val="1150" w:hRule="atLeast"/>
        </w:trPr>
        <w:tc>
          <w:tcPr>
            <w:tcW w:w="7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 xml:space="preserve">№ </w:t>
            </w:r>
            <w:r>
              <w:rPr/>
              <w:t xml:space="preserve">партии </w:t>
            </w:r>
          </w:p>
        </w:tc>
        <w:tc>
          <w:tcPr>
            <w:tcW w:w="18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Наименование Товара (партии Товара)</w:t>
            </w:r>
          </w:p>
        </w:tc>
        <w:tc>
          <w:tcPr>
            <w:tcW w:w="1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 xml:space="preserve">Обоснование стоимости, пункт Спецификации </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Дата поставки Товара</w:t>
            </w:r>
          </w:p>
          <w:p>
            <w:pPr>
              <w:pStyle w:val="Normal"/>
              <w:widowControl w:val="false"/>
              <w:jc w:val="center"/>
              <w:rPr/>
            </w:pPr>
            <w:r>
              <w:rPr/>
            </w:r>
          </w:p>
        </w:tc>
        <w:tc>
          <w:tcPr>
            <w:tcW w:w="1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Цена, руб. без НДС</w:t>
            </w:r>
          </w:p>
        </w:tc>
        <w:tc>
          <w:tcPr>
            <w:tcW w:w="11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Сумма НДС (___%), руб.</w:t>
            </w:r>
          </w:p>
        </w:tc>
        <w:tc>
          <w:tcPr>
            <w:tcW w:w="13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Стоимость партии, руб. с НДС</w:t>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1.</w:t>
            </w:r>
          </w:p>
        </w:tc>
        <w:tc>
          <w:tcPr>
            <w:tcW w:w="18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2.</w:t>
            </w:r>
          </w:p>
        </w:tc>
        <w:tc>
          <w:tcPr>
            <w:tcW w:w="18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3.</w:t>
            </w:r>
          </w:p>
        </w:tc>
        <w:tc>
          <w:tcPr>
            <w:tcW w:w="18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4.</w:t>
            </w:r>
          </w:p>
        </w:tc>
        <w:tc>
          <w:tcPr>
            <w:tcW w:w="18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856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b/>
                <w:sz w:val="24"/>
                <w:szCs w:val="24"/>
              </w:rPr>
            </w:pPr>
            <w:r>
              <w:rPr>
                <w:b/>
                <w:sz w:val="24"/>
                <w:szCs w:val="24"/>
              </w:rPr>
              <w:t>Всего по Договору:</w:t>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bl>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tabs>
          <w:tab w:val="clear" w:pos="709"/>
          <w:tab w:val="left" w:pos="4860" w:leader="none"/>
        </w:tabs>
        <w:suppressAutoHyphens w:val="true"/>
        <w:rPr>
          <w:b/>
          <w:sz w:val="24"/>
          <w:szCs w:val="24"/>
        </w:rPr>
      </w:pPr>
      <w:r>
        <w:rPr>
          <w:b/>
          <w:sz w:val="24"/>
          <w:szCs w:val="24"/>
        </w:rPr>
      </w:r>
    </w:p>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10099"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5103"/>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5103"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103"/>
        <w:rPr>
          <w:sz w:val="22"/>
          <w:szCs w:val="22"/>
        </w:rPr>
      </w:pPr>
      <w:r>
        <w:rPr>
          <w:sz w:val="22"/>
          <w:szCs w:val="22"/>
        </w:rPr>
        <w:t>Приложение № 4</w:t>
      </w:r>
    </w:p>
    <w:p>
      <w:pPr>
        <w:pStyle w:val="Normal"/>
        <w:suppressAutoHyphens w:val="true"/>
        <w:ind w:right="96" w:firstLine="5103"/>
        <w:rPr>
          <w:sz w:val="22"/>
          <w:szCs w:val="22"/>
        </w:rPr>
      </w:pPr>
      <w:r>
        <w:rPr>
          <w:sz w:val="22"/>
          <w:szCs w:val="22"/>
        </w:rPr>
        <w:t>к Договору поставки</w:t>
      </w:r>
    </w:p>
    <w:p>
      <w:pPr>
        <w:pStyle w:val="Normal"/>
        <w:ind w:firstLine="5103"/>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t>Критерии отбора Банков – Гарантов</w:t>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tabs>
          <w:tab w:val="clear" w:pos="709"/>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vertAlign w:val="superscript"/>
          <w:lang w:val="en-GB"/>
        </w:rPr>
        <w:footnoteReference w:id="13"/>
      </w:r>
      <w:r>
        <w:rPr>
          <w:sz w:val="24"/>
          <w:szCs w:val="24"/>
        </w:rPr>
        <w:t>, а также соответствовать следующим критериям:</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3"/>
        </w:numPr>
        <w:tabs>
          <w:tab w:val="clear" w:pos="709"/>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t>
      </w:r>
      <w:r>
        <w:rPr>
          <w:sz w:val="24"/>
          <w:szCs w:val="24"/>
          <w:lang w:val="en-GB"/>
        </w:rPr>
        <w:t>www</w:t>
      </w:r>
      <w:r>
        <w:rPr>
          <w:sz w:val="24"/>
          <w:szCs w:val="24"/>
        </w:rPr>
        <w:t>.</w:t>
      </w:r>
      <w:r>
        <w:rPr>
          <w:sz w:val="24"/>
          <w:szCs w:val="24"/>
          <w:lang w:val="en-GB"/>
        </w:rPr>
        <w:t>cbr</w:t>
      </w:r>
      <w:r>
        <w:rPr>
          <w:sz w:val="24"/>
          <w:szCs w:val="24"/>
        </w:rPr>
        <w:t>.</w:t>
      </w:r>
      <w:r>
        <w:rPr>
          <w:sz w:val="24"/>
          <w:szCs w:val="24"/>
          <w:lang w:val="en-GB"/>
        </w:rPr>
        <w:t>ru</w:t>
      </w:r>
      <w:r>
        <w:rPr>
          <w:sz w:val="24"/>
          <w:szCs w:val="24"/>
        </w:rPr>
        <w:t xml:space="preserve">) по строке 000 «Расчет собственных средств (капитала) («Базель </w:t>
      </w:r>
      <w:r>
        <w:rPr>
          <w:sz w:val="24"/>
          <w:szCs w:val="24"/>
          <w:lang w:val="en-GB"/>
        </w:rPr>
        <w:t>III</w:t>
      </w:r>
      <w:r>
        <w:rPr>
          <w:sz w:val="24"/>
          <w:szCs w:val="24"/>
        </w:rPr>
        <w:t xml:space="preserve">»)»,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w:t>
      </w:r>
      <w:r>
        <w:rPr>
          <w:sz w:val="24"/>
          <w:szCs w:val="24"/>
          <w:lang w:val="en-GB"/>
        </w:rPr>
        <w:t>III</w:t>
      </w:r>
      <w:r>
        <w:rPr>
          <w:sz w:val="24"/>
          <w:szCs w:val="24"/>
        </w:rPr>
        <w:t>»)» (далее – Методика ЦБ РФ) или иным документом, его заменяющим (в случае изменения или отмены указанного Положения).</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vertAlign w:val="superscript"/>
          <w:lang w:val="en-GB"/>
        </w:rPr>
        <w:footnoteReference w:id="14"/>
      </w:r>
      <w:r>
        <w:rPr>
          <w:sz w:val="24"/>
          <w:szCs w:val="24"/>
        </w:rPr>
        <w:t xml:space="preserve">. </w:t>
      </w:r>
    </w:p>
    <w:p>
      <w:pPr>
        <w:pStyle w:val="Normal"/>
        <w:widowControl/>
        <w:numPr>
          <w:ilvl w:val="1"/>
          <w:numId w:val="13"/>
        </w:numPr>
        <w:tabs>
          <w:tab w:val="clear" w:pos="709"/>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vertAlign w:val="superscript"/>
          <w:lang w:val="en-GB"/>
        </w:rPr>
        <w:footnoteReference w:id="15"/>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Не иметь просроченную задолженность перед Обществом и компаниями Группы РусГидро.</w:t>
      </w:r>
    </w:p>
    <w:p>
      <w:pPr>
        <w:pStyle w:val="Normal"/>
        <w:widowControl/>
        <w:numPr>
          <w:ilvl w:val="1"/>
          <w:numId w:val="13"/>
        </w:numPr>
        <w:tabs>
          <w:tab w:val="clear" w:pos="709"/>
          <w:tab w:val="left" w:pos="1134" w:leader="none"/>
        </w:tabs>
        <w:ind w:left="0" w:firstLine="710"/>
        <w:jc w:val="both"/>
        <w:rPr>
          <w:sz w:val="24"/>
          <w:szCs w:val="24"/>
        </w:rPr>
      </w:pPr>
      <w:r>
        <w:rPr>
          <w:sz w:val="24"/>
          <w:szCs w:val="24"/>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sz w:val="24"/>
          <w:szCs w:val="24"/>
          <w:vertAlign w:val="superscript"/>
          <w:lang w:val="en-GB"/>
        </w:rPr>
        <w:footnoteReference w:id="16"/>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4"/>
        </w:numPr>
        <w:tabs>
          <w:tab w:val="clear" w:pos="709"/>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widowControl/>
        <w:numPr>
          <w:ilvl w:val="1"/>
          <w:numId w:val="13"/>
        </w:numPr>
        <w:tabs>
          <w:tab w:val="clear" w:pos="709"/>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9"/>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tcPr>
          <w:p>
            <w:pPr>
              <w:pStyle w:val="Normal"/>
              <w:widowControl w:val="false"/>
              <w:ind w:right="-108" w:hanging="0"/>
              <w:jc w:val="both"/>
              <w:rPr>
                <w:color w:val="000000"/>
                <w:sz w:val="24"/>
                <w:szCs w:val="24"/>
                <w:lang w:val="en-GB"/>
              </w:rPr>
            </w:pPr>
            <w:r>
              <w:rPr>
                <w:b/>
                <w:i/>
                <w:color w:val="000000"/>
                <w:sz w:val="24"/>
                <w:szCs w:val="24"/>
                <w:lang w:val="en-GB"/>
              </w:rPr>
              <w:t>Lim</w:t>
            </w:r>
            <w:r>
              <w:rPr>
                <w:b/>
                <w:i/>
                <w:color w:val="000000"/>
                <w:sz w:val="24"/>
                <w:szCs w:val="24"/>
                <w:vertAlign w:val="subscript"/>
                <w:lang w:val="en-US"/>
              </w:rPr>
              <w:t xml:space="preserve">Ai </w:t>
            </w:r>
          </w:p>
        </w:tc>
        <w:tc>
          <w:tcPr>
            <w:tcW w:w="280" w:type="dxa"/>
            <w:tcBorders/>
          </w:tcPr>
          <w:p>
            <w:pPr>
              <w:pStyle w:val="Normal"/>
              <w:widowControl w:val="false"/>
              <w:ind w:left="317" w:right="-108" w:hanging="317"/>
              <w:jc w:val="both"/>
              <w:rPr>
                <w:color w:val="000000"/>
                <w:sz w:val="24"/>
                <w:szCs w:val="24"/>
                <w:lang w:val="en-GB"/>
              </w:rPr>
            </w:pPr>
            <w:r>
              <w:rPr>
                <w:sz w:val="24"/>
                <w:szCs w:val="24"/>
                <w:lang w:val="en-GB"/>
              </w:rPr>
              <w:t xml:space="preserve">-  </w:t>
            </w:r>
          </w:p>
        </w:tc>
        <w:tc>
          <w:tcPr>
            <w:tcW w:w="8509" w:type="dxa"/>
            <w:tcBorders/>
          </w:tcPr>
          <w:p>
            <w:pPr>
              <w:pStyle w:val="Normal"/>
              <w:widowControl w:val="false"/>
              <w:ind w:left="-75" w:right="-108" w:hanging="0"/>
              <w:jc w:val="both"/>
              <w:rPr>
                <w:color w:val="000000"/>
                <w:sz w:val="24"/>
                <w:szCs w:val="24"/>
              </w:rPr>
            </w:pPr>
            <w:r>
              <w:rPr>
                <w:sz w:val="24"/>
                <w:szCs w:val="24"/>
              </w:rPr>
              <w:t xml:space="preserve">Лимит риска для </w:t>
            </w:r>
            <w:r>
              <w:rPr>
                <w:sz w:val="24"/>
                <w:szCs w:val="24"/>
                <w:lang w:val="en-GB"/>
              </w:rPr>
              <w:t>i</w:t>
            </w:r>
            <w:r>
              <w:rPr>
                <w:sz w:val="24"/>
                <w:szCs w:val="24"/>
              </w:rPr>
              <w:t>-ой кредитной организации</w:t>
            </w:r>
            <w:r>
              <w:rPr>
                <w:rStyle w:val="FootnoteReference"/>
                <w:sz w:val="24"/>
                <w:szCs w:val="24"/>
                <w:vertAlign w:val="superscript"/>
                <w:lang w:val="en-GB"/>
              </w:rPr>
              <w:footnoteReference w:id="17"/>
            </w:r>
            <w:r>
              <w:rPr>
                <w:sz w:val="24"/>
                <w:szCs w:val="24"/>
                <w:vertAlign w:val="superscript"/>
              </w:rPr>
              <w:t>.</w:t>
            </w:r>
            <w:r>
              <w:rPr>
                <w:sz w:val="24"/>
                <w:szCs w:val="24"/>
              </w:rPr>
              <w:t xml:space="preserve"> </w:t>
            </w:r>
          </w:p>
        </w:tc>
      </w:tr>
      <w:tr>
        <w:trPr>
          <w:trHeight w:val="280" w:hRule="atLeast"/>
        </w:trPr>
        <w:tc>
          <w:tcPr>
            <w:tcW w:w="817" w:type="dxa"/>
            <w:tcBorders/>
          </w:tcPr>
          <w:p>
            <w:pPr>
              <w:pStyle w:val="Normal"/>
              <w:widowControl w:val="false"/>
              <w:ind w:right="-108" w:hanging="0"/>
              <w:jc w:val="both"/>
              <w:rPr>
                <w:b/>
                <w:i/>
                <w:i/>
                <w:color w:val="000000"/>
                <w:sz w:val="24"/>
                <w:szCs w:val="24"/>
                <w:vertAlign w:val="subscript"/>
                <w:lang w:val="en-GB"/>
              </w:rPr>
            </w:pPr>
            <w:r>
              <w:rPr>
                <w:b/>
                <w:i/>
                <w:color w:val="000000"/>
                <w:sz w:val="24"/>
                <w:szCs w:val="24"/>
                <w:lang w:val="en-GB"/>
              </w:rPr>
              <w:t>С</w:t>
            </w:r>
            <w:r>
              <w:rPr>
                <w:b/>
                <w:i/>
                <w:color w:val="000000"/>
                <w:sz w:val="24"/>
                <w:szCs w:val="24"/>
                <w:lang w:val="en-US"/>
              </w:rPr>
              <w:t>K</w:t>
            </w:r>
            <w:r>
              <w:rPr>
                <w:b/>
                <w:i/>
                <w:color w:val="000000"/>
                <w:sz w:val="24"/>
                <w:szCs w:val="24"/>
                <w:vertAlign w:val="subscript"/>
                <w:lang w:val="en-US"/>
              </w:rPr>
              <w:t>i</w:t>
            </w:r>
          </w:p>
          <w:p>
            <w:pPr>
              <w:pStyle w:val="Normal"/>
              <w:widowControl w:val="false"/>
              <w:ind w:right="-108" w:hanging="0"/>
              <w:jc w:val="both"/>
              <w:rPr>
                <w:color w:val="000000"/>
                <w:sz w:val="24"/>
                <w:szCs w:val="24"/>
                <w:lang w:val="en-GB"/>
              </w:rPr>
            </w:pPr>
            <w:r>
              <w:rPr>
                <w:color w:val="000000"/>
                <w:sz w:val="24"/>
                <w:szCs w:val="24"/>
                <w:lang w:val="en-GB"/>
              </w:rPr>
            </w:r>
          </w:p>
        </w:tc>
        <w:tc>
          <w:tcPr>
            <w:tcW w:w="280" w:type="dxa"/>
            <w:tcBorders/>
          </w:tcPr>
          <w:p>
            <w:pPr>
              <w:pStyle w:val="Normal"/>
              <w:widowControl w:val="false"/>
              <w:ind w:right="-108" w:hanging="0"/>
              <w:jc w:val="both"/>
              <w:rPr>
                <w:color w:val="000000"/>
                <w:sz w:val="24"/>
                <w:szCs w:val="24"/>
                <w:lang w:val="en-GB"/>
              </w:rPr>
            </w:pPr>
            <w:r>
              <w:rPr>
                <w:sz w:val="24"/>
                <w:szCs w:val="24"/>
                <w:lang w:val="en-GB"/>
              </w:rPr>
              <w:t>-</w:t>
            </w:r>
            <w:r>
              <w:rPr>
                <w:color w:val="000000"/>
                <w:sz w:val="24"/>
                <w:szCs w:val="24"/>
                <w:lang w:val="en-GB"/>
              </w:rPr>
              <w:t xml:space="preserve">  </w:t>
            </w:r>
          </w:p>
        </w:tc>
        <w:tc>
          <w:tcPr>
            <w:tcW w:w="8509" w:type="dxa"/>
            <w:tcBorders/>
          </w:tcPr>
          <w:p>
            <w:pPr>
              <w:pStyle w:val="Normal"/>
              <w:widowControl w:val="false"/>
              <w:ind w:left="-75" w:right="-108" w:hanging="0"/>
              <w:jc w:val="both"/>
              <w:rPr>
                <w:color w:val="000000"/>
                <w:sz w:val="24"/>
                <w:szCs w:val="24"/>
              </w:rPr>
            </w:pPr>
            <w:r>
              <w:rPr>
                <w:sz w:val="24"/>
                <w:szCs w:val="24"/>
              </w:rPr>
              <w:t xml:space="preserve">размер собственных средств (капитала) </w:t>
            </w:r>
            <w:r>
              <w:rPr>
                <w:sz w:val="24"/>
                <w:szCs w:val="24"/>
                <w:lang w:val="en-GB"/>
              </w:rPr>
              <w:t>i</w:t>
            </w:r>
            <w:r>
              <w:rPr>
                <w:sz w:val="24"/>
                <w:szCs w:val="24"/>
              </w:rPr>
              <w:t>-ой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13">
              <w:r>
                <w:rPr>
                  <w:sz w:val="24"/>
                  <w:szCs w:val="24"/>
                  <w:u w:val="single"/>
                  <w:lang w:val="en-GB"/>
                </w:rPr>
                <w:t>www</w:t>
              </w:r>
              <w:r>
                <w:rPr>
                  <w:sz w:val="24"/>
                  <w:szCs w:val="24"/>
                  <w:u w:val="single"/>
                </w:rPr>
                <w:t>.</w:t>
              </w:r>
              <w:r>
                <w:rPr>
                  <w:sz w:val="24"/>
                  <w:szCs w:val="24"/>
                  <w:u w:val="single"/>
                  <w:lang w:val="en-GB"/>
                </w:rPr>
                <w:t>cbr</w:t>
              </w:r>
              <w:r>
                <w:rPr>
                  <w:sz w:val="24"/>
                  <w:szCs w:val="24"/>
                  <w:u w:val="single"/>
                </w:rPr>
                <w:t>.</w:t>
              </w:r>
              <w:r>
                <w:rPr>
                  <w:sz w:val="24"/>
                  <w:szCs w:val="24"/>
                  <w:u w:val="single"/>
                  <w:lang w:val="en-GB"/>
                </w:rPr>
                <w:t>ru</w:t>
              </w:r>
            </w:hyperlink>
            <w:r>
              <w:rPr>
                <w:sz w:val="24"/>
                <w:szCs w:val="24"/>
              </w:rPr>
              <w:t>) по строке 000 «Расчет собственных средств (капитала) («Базель</w:t>
            </w:r>
            <w:r>
              <w:rPr>
                <w:sz w:val="24"/>
                <w:szCs w:val="24"/>
                <w:lang w:val="en-GB"/>
              </w:rPr>
              <w:t> III</w:t>
            </w:r>
            <w:r>
              <w:rPr>
                <w:sz w:val="24"/>
                <w:szCs w:val="24"/>
              </w:rPr>
              <w:t>»)», код формы 0409123;</w:t>
            </w:r>
          </w:p>
        </w:tc>
      </w:tr>
      <w:tr>
        <w:trPr>
          <w:trHeight w:val="993" w:hRule="atLeast"/>
        </w:trPr>
        <w:tc>
          <w:tcPr>
            <w:tcW w:w="817" w:type="dxa"/>
            <w:tcBorders/>
          </w:tcPr>
          <w:p>
            <w:pPr>
              <w:pStyle w:val="Normal"/>
              <w:widowControl w:val="false"/>
              <w:ind w:right="-108" w:hanging="0"/>
              <w:jc w:val="both"/>
              <w:rPr>
                <w:b/>
                <w:i/>
                <w:i/>
                <w:color w:val="000000"/>
                <w:sz w:val="24"/>
                <w:szCs w:val="24"/>
                <w:lang w:val="en-GB"/>
              </w:rPr>
            </w:pPr>
            <w:r>
              <w:rPr>
                <w:b/>
                <w:i/>
                <w:color w:val="000000"/>
                <w:sz w:val="24"/>
                <w:szCs w:val="24"/>
                <w:lang w:val="en-GB"/>
              </w:rPr>
              <w:t>r</w:t>
            </w:r>
            <w:r>
              <w:rPr>
                <w:b/>
                <w:i/>
                <w:color w:val="000000"/>
                <w:sz w:val="24"/>
                <w:szCs w:val="24"/>
                <w:vertAlign w:val="subscript"/>
                <w:lang w:val="en-GB"/>
              </w:rPr>
              <w:t>i</w:t>
            </w:r>
          </w:p>
        </w:tc>
        <w:tc>
          <w:tcPr>
            <w:tcW w:w="280" w:type="dxa"/>
            <w:tcBorders/>
          </w:tcPr>
          <w:p>
            <w:pPr>
              <w:pStyle w:val="Normal"/>
              <w:widowControl w:val="false"/>
              <w:ind w:right="-108" w:hanging="0"/>
              <w:jc w:val="both"/>
              <w:rPr>
                <w:sz w:val="24"/>
                <w:szCs w:val="24"/>
                <w:lang w:val="en-GB"/>
              </w:rPr>
            </w:pPr>
            <w:r>
              <w:rPr>
                <w:sz w:val="24"/>
                <w:szCs w:val="24"/>
                <w:lang w:val="en-GB"/>
              </w:rPr>
              <w:t>-</w:t>
            </w:r>
          </w:p>
        </w:tc>
        <w:tc>
          <w:tcPr>
            <w:tcW w:w="8509" w:type="dxa"/>
            <w:tcBorders/>
          </w:tcPr>
          <w:p>
            <w:pPr>
              <w:pStyle w:val="Normal"/>
              <w:widowControl w:val="false"/>
              <w:tabs>
                <w:tab w:val="clear" w:pos="709"/>
                <w:tab w:val="left" w:pos="7130" w:leader="none"/>
              </w:tabs>
              <w:ind w:right="-108" w:hanging="0"/>
              <w:jc w:val="both"/>
              <w:rPr>
                <w:sz w:val="24"/>
                <w:szCs w:val="24"/>
              </w:rPr>
            </w:pPr>
            <w:r>
              <w:rPr>
                <w:sz w:val="24"/>
                <w:szCs w:val="24"/>
              </w:rPr>
              <w:t>рейтинговый коэффициент</w:t>
            </w:r>
            <w:r>
              <w:rPr>
                <w:rStyle w:val="FootnoteReference"/>
                <w:sz w:val="24"/>
                <w:szCs w:val="24"/>
                <w:vertAlign w:val="superscript"/>
                <w:lang w:val="en-GB"/>
              </w:rPr>
              <w:footnoteReference w:id="18"/>
            </w:r>
            <w:r>
              <w:rPr>
                <w:sz w:val="24"/>
                <w:szCs w:val="24"/>
              </w:rPr>
              <w:t xml:space="preserve"> для </w:t>
            </w:r>
            <w:r>
              <w:rPr>
                <w:sz w:val="24"/>
                <w:szCs w:val="24"/>
                <w:lang w:val="en-GB"/>
              </w:rPr>
              <w:t>i</w:t>
            </w:r>
            <w:r>
              <w:rPr>
                <w:sz w:val="24"/>
                <w:szCs w:val="24"/>
              </w:rPr>
              <w:t>-ой кредитной организации, равный:</w:t>
            </w:r>
          </w:p>
          <w:p>
            <w:pPr>
              <w:pStyle w:val="Normal"/>
              <w:widowControl w:val="false"/>
              <w:ind w:firstLine="492"/>
              <w:jc w:val="both"/>
              <w:rPr>
                <w:sz w:val="24"/>
                <w:szCs w:val="24"/>
              </w:rPr>
            </w:pPr>
            <w:r>
              <w:rPr>
                <w:b/>
                <w:sz w:val="24"/>
                <w:szCs w:val="24"/>
              </w:rPr>
              <w:t>0,05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«АА-»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ind w:left="67" w:firstLine="425"/>
              <w:jc w:val="both"/>
              <w:rPr>
                <w:sz w:val="24"/>
                <w:szCs w:val="24"/>
              </w:rPr>
            </w:pPr>
            <w:r>
              <w:rPr>
                <w:b/>
                <w:sz w:val="24"/>
                <w:szCs w:val="24"/>
              </w:rPr>
              <w:t>0,025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GB"/>
              </w:rPr>
              <w:t>ruA</w:t>
            </w:r>
            <w:r>
              <w:rPr>
                <w:b/>
                <w:sz w:val="24"/>
                <w:szCs w:val="24"/>
              </w:rPr>
              <w:t>-»</w:t>
            </w:r>
            <w:r>
              <w:rPr>
                <w:sz w:val="24"/>
                <w:szCs w:val="24"/>
              </w:rPr>
              <w:t xml:space="preserve"> по классификации рейтингового агентства Эксперт РА;</w:t>
            </w:r>
          </w:p>
          <w:p>
            <w:pPr>
              <w:pStyle w:val="Normal"/>
              <w:widowControl w:val="false"/>
              <w:ind w:firstLine="492"/>
              <w:jc w:val="both"/>
              <w:rPr>
                <w:sz w:val="24"/>
                <w:szCs w:val="24"/>
              </w:rPr>
            </w:pPr>
            <w:r>
              <w:rPr>
                <w:b/>
                <w:sz w:val="24"/>
                <w:szCs w:val="24"/>
              </w:rPr>
              <w:t>0,015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9"/>
          <w:tab w:val="left" w:pos="1425" w:leader="none"/>
        </w:tabs>
        <w:rPr>
          <w:sz w:val="24"/>
          <w:szCs w:val="24"/>
        </w:rPr>
      </w:pPr>
      <w:r>
        <w:rPr>
          <w:sz w:val="24"/>
          <w:szCs w:val="24"/>
        </w:rPr>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sz w:val="24"/>
                <w:szCs w:val="24"/>
                <w:lang w:val="en-GB"/>
              </w:rPr>
            </w:pPr>
            <w:r>
              <w:rPr>
                <w:b/>
                <w:sz w:val="24"/>
                <w:szCs w:val="24"/>
              </w:rPr>
              <w:t>Покупатель</w:t>
            </w:r>
            <w:r>
              <w:rPr>
                <w:b/>
                <w:sz w:val="24"/>
                <w:szCs w:val="24"/>
                <w:lang w:val="en-GB"/>
              </w:rPr>
              <w:t>:</w:t>
            </w:r>
          </w:p>
        </w:tc>
        <w:tc>
          <w:tcPr>
            <w:tcW w:w="8789" w:type="dxa"/>
            <w:tcBorders/>
          </w:tcPr>
          <w:p>
            <w:pPr>
              <w:pStyle w:val="Normal"/>
              <w:widowControl w:val="false"/>
              <w:rPr>
                <w:b/>
                <w:sz w:val="24"/>
                <w:szCs w:val="24"/>
                <w:lang w:val="en-GB"/>
              </w:rPr>
            </w:pPr>
            <w:r>
              <w:rPr>
                <w:b/>
                <w:sz w:val="24"/>
                <w:szCs w:val="24"/>
              </w:rPr>
              <w:t>Поставщик</w:t>
            </w:r>
            <w:r>
              <w:rPr>
                <w:b/>
                <w:sz w:val="24"/>
                <w:szCs w:val="24"/>
                <w:lang w:val="en-GB"/>
              </w:rPr>
              <w:t>:</w:t>
            </w:r>
          </w:p>
        </w:tc>
      </w:tr>
      <w:tr>
        <w:trPr/>
        <w:tc>
          <w:tcPr>
            <w:tcW w:w="4961"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8789"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103"/>
        <w:rPr>
          <w:sz w:val="22"/>
          <w:szCs w:val="22"/>
        </w:rPr>
      </w:pPr>
      <w:r>
        <w:rPr>
          <w:sz w:val="22"/>
          <w:szCs w:val="22"/>
        </w:rPr>
        <w:t>Приложение № 5</w:t>
      </w:r>
    </w:p>
    <w:p>
      <w:pPr>
        <w:pStyle w:val="Normal"/>
        <w:suppressAutoHyphens w:val="true"/>
        <w:ind w:right="96" w:firstLine="5103"/>
        <w:rPr>
          <w:sz w:val="22"/>
          <w:szCs w:val="22"/>
        </w:rPr>
      </w:pPr>
      <w:r>
        <w:rPr>
          <w:sz w:val="22"/>
          <w:szCs w:val="22"/>
        </w:rPr>
        <w:t>к Договору поставки</w:t>
      </w:r>
    </w:p>
    <w:p>
      <w:pPr>
        <w:pStyle w:val="Normal"/>
        <w:ind w:firstLine="5103"/>
        <w:rPr>
          <w:bCs/>
          <w:sz w:val="24"/>
          <w:szCs w:val="24"/>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uppressAutoHyphens w:val="true"/>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ind w:left="5103" w:hanging="0"/>
        <w:rPr>
          <w:b/>
          <w:bCs/>
          <w:sz w:val="24"/>
          <w:szCs w:val="24"/>
        </w:rPr>
      </w:pPr>
      <w:r>
        <w:rPr/>
      </w:r>
    </w:p>
    <w:sectPr>
      <w:headerReference w:type="default" r:id="rId14"/>
      <w:headerReference w:type="first" r:id="rId15"/>
      <w:footerReference w:type="default" r:id="rId16"/>
      <w:footerReference w:type="first" r:id="rId17"/>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3">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Общества.</w:t>
      </w:r>
    </w:p>
  </w:footnote>
  <w:footnote w:id="4">
    <w:p>
      <w:pPr>
        <w:pStyle w:val="FootnoteText"/>
        <w:jc w:val="both"/>
        <w:rPr/>
      </w:pPr>
      <w:r>
        <w:rPr>
          <w:rStyle w:val="Style14"/>
        </w:rPr>
        <w:footnoteRef/>
      </w:r>
      <w:r>
        <w:rPr/>
        <w:t xml:space="preserve"> </w:t>
      </w:r>
      <w:r>
        <w:rPr/>
        <w:t>В случае, если Контрагент – МСП и применяется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6">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7">
    <w:p>
      <w:pPr>
        <w:pStyle w:val="FootnoteText"/>
        <w:jc w:val="both"/>
        <w:rPr/>
      </w:pPr>
      <w:r>
        <w:rPr>
          <w:rStyle w:val="Style14"/>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8">
    <w:p>
      <w:pPr>
        <w:pStyle w:val="FootnoteText"/>
        <w:jc w:val="both"/>
        <w:rPr/>
      </w:pPr>
      <w:r>
        <w:rPr>
          <w:rStyle w:val="Style14"/>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9">
    <w:p>
      <w:pPr>
        <w:pStyle w:val="FootnoteText"/>
        <w:jc w:val="both"/>
        <w:rPr/>
      </w:pPr>
      <w:r>
        <w:rPr>
          <w:rStyle w:val="Style14"/>
        </w:rPr>
        <w:footnoteRef/>
      </w:r>
      <w:r>
        <w:rPr/>
        <w:t xml:space="preserve"> </w:t>
      </w:r>
      <w:r>
        <w:rPr/>
        <w:t>В случае если Поставщик является субъектом малого предпринимательства,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0">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1">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12">
    <w:p>
      <w:pPr>
        <w:pStyle w:val="FootnoteText"/>
        <w:jc w:val="both"/>
        <w:rPr/>
      </w:pPr>
      <w:r>
        <w:rPr>
          <w:rStyle w:val="Style14"/>
        </w:rPr>
        <w:footnoteRef/>
      </w:r>
      <w:r>
        <w:rPr>
          <w:highlight w:val="lightGray"/>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13">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Общества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/6</w:t>
      </w:r>
    </w:p>
  </w:footnote>
  <w:footnote w:id="14">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15">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16">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17">
    <w:p>
      <w:pPr>
        <w:pStyle w:val="FootnoteText"/>
        <w:jc w:val="both"/>
        <w:rPr/>
      </w:pPr>
      <w:r>
        <w:rPr>
          <w:rStyle w:val="Style14"/>
        </w:rPr>
        <w:footnoteRef/>
      </w:r>
      <w:r>
        <w:rPr>
          <w:lang w:eastAsia="x-none"/>
        </w:rPr>
        <w:t xml:space="preserve"> </w:t>
      </w:r>
      <w:r>
        <w:rPr>
          <w:lang w:eastAsia="x-none"/>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rPr/>
        <w:t> </w:t>
      </w:r>
      <w:r>
        <w:rPr>
          <w:lang w:eastAsia="x-none"/>
        </w:rPr>
        <w:t>440 млн. руб., лимит к установлению - 5</w:t>
      </w:r>
      <w:r>
        <w:rPr/>
        <w:t> </w:t>
      </w:r>
      <w:r>
        <w:rPr>
          <w:lang w:eastAsia="x-none"/>
        </w:rPr>
        <w:t>400 млн. руб.; расчетное значение лимита - 5</w:t>
      </w:r>
      <w:r>
        <w:rPr/>
        <w:t> </w:t>
      </w:r>
      <w:r>
        <w:rPr>
          <w:lang w:eastAsia="x-none"/>
        </w:rPr>
        <w:t>450 млн. руб., лимит к установлению - 5</w:t>
      </w:r>
      <w:r>
        <w:rPr/>
        <w:t> </w:t>
      </w:r>
      <w:r>
        <w:rPr>
          <w:lang w:eastAsia="x-none"/>
        </w:rPr>
        <w:t>500 млн. руб.</w:t>
      </w:r>
    </w:p>
  </w:footnote>
  <w:footnote w:id="18">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t>ТФД 2.2.1_ЮФ</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19</w:t>
    </w:r>
    <w:r>
      <w:rPr/>
      <w:fldChar w:fldCharType="end"/>
    </w:r>
  </w:p>
  <w:p>
    <w:pPr>
      <w:pStyle w:val="Header"/>
      <w:jc w:val="right"/>
      <w:rPr/>
    </w:pPr>
    <w:r>
      <w:rPr/>
      <w:t xml:space="preserve">ТФД 2.2.1_ЮФ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21</w:t>
    </w:r>
    <w:r>
      <w:rPr/>
      <w:fldChar w:fldCharType="end"/>
    </w:r>
  </w:p>
  <w:p>
    <w:pPr>
      <w:pStyle w:val="Header"/>
      <w:jc w:val="right"/>
      <w:rPr/>
    </w:pPr>
    <w:r>
      <w:rPr/>
      <w:t>ТФД 2.2.1_ЮФ</w:t>
    </w:r>
  </w:p>
  <w:p>
    <w:pPr>
      <w:pStyle w:val="Normal"/>
      <w:tabs>
        <w:tab w:val="clear" w:pos="709"/>
        <w:tab w:val="left" w:pos="1875" w:leader="none"/>
        <w:tab w:val="center" w:pos="4153" w:leader="none"/>
        <w:tab w:val="right" w:pos="8306" w:leader="none"/>
      </w:tabs>
      <w:rPr>
        <w:i/>
        <w:i/>
      </w:rPr>
    </w:pPr>
    <w:r>
      <w:rPr>
        <w:i/>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26</w:t>
    </w:r>
    <w:r>
      <w:rPr/>
      <w:fldChar w:fldCharType="end"/>
    </w:r>
  </w:p>
  <w:p>
    <w:pPr>
      <w:pStyle w:val="Header"/>
      <w:jc w:val="right"/>
      <w:rPr/>
    </w:pPr>
    <w:r>
      <w:rPr/>
      <w:t>ТФД 2.2.1_ЮФ</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3">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4">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8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Style27">
    <w:name w:val="Содержимое таблицы"/>
    <w:basedOn w:val="Normal"/>
    <w:qFormat/>
    <w:pPr>
      <w:widowControl w:val="false"/>
      <w:suppressLineNumbers/>
    </w:pPr>
    <w:rPr/>
  </w:style>
  <w:style w:type="paragraph" w:styleId="Style28">
    <w:name w:val="Заголовок таблицы"/>
    <w:basedOn w:val="Style27"/>
    <w:qFormat/>
    <w:pPr>
      <w:suppressLineNumbers/>
      <w:jc w:val="center"/>
    </w:pPr>
    <w:rPr>
      <w:b/>
      <w:bCs/>
    </w:rPr>
  </w:style>
  <w:style w:type="paragraph" w:styleId="NoSpacing">
    <w:name w:val="No Spacing"/>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yperlink" Target="http://www.cbr.ru/" TargetMode="External"/><Relationship Id="rId14" Type="http://schemas.openxmlformats.org/officeDocument/2006/relationships/header" Target="header6.xml"/><Relationship Id="rId15" Type="http://schemas.openxmlformats.org/officeDocument/2006/relationships/header" Target="header7.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footnotes" Target="footnotes.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Relationship Id="rId24" Type="http://schemas.openxmlformats.org/officeDocument/2006/relationships/customXml" Target="../customXml/item2.xml"/><Relationship Id="rId25" Type="http://schemas.openxmlformats.org/officeDocument/2006/relationships/customXml" Target="../customXml/item3.xml"/><Relationship Id="rId26"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0BAB9-8B8F-4B85-B8DF-266ED50E1B2E}">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C70CD4F-2764-4595-AB6F-4B36397AE6DF}">
  <ds:schemaRefs>
    <ds:schemaRef ds:uri="http://schemas.openxmlformats.org/officeDocument/2006/bibliography"/>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379</TotalTime>
  <Application>AlterOffice/3.4.0.9$Linux_X86_64 LibreOffice_project/b8daf9e823b1a5463a2f48435ddc2e8696e7d4fc</Application>
  <AppVersion>15.0000</AppVersion>
  <Pages>26</Pages>
  <Words>9473</Words>
  <Characters>67579</Characters>
  <CharactersWithSpaces>76566</CharactersWithSpaces>
  <Paragraphs>465</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2023-02-14T07:19:00Z</dcterms:created>
  <dc:creator>tsypilev_ag</dc:creator>
  <dc:description/>
  <dc:language>ru-RU</dc:language>
  <cp:lastModifiedBy>schigarevnn@corp.gidroogk.com</cp:lastModifiedBy>
  <cp:lastPrinted>2018-05-22T09:46:00Z</cp:lastPrinted>
  <dcterms:modified xsi:type="dcterms:W3CDTF">2026-08-31T12:37:38Z</dcterms:modified>
  <cp:revision>24</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