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82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28"/>
      </w:tblGrid>
      <w:tr>
        <w:trPr/>
        <w:tc>
          <w:tcPr>
            <w:tcW w:w="5828" w:type="dxa"/>
            <w:tcBorders/>
          </w:tcPr>
          <w:p>
            <w:pPr>
              <w:pStyle w:val="ListParagraph"/>
              <w:widowControl w:val="false"/>
              <w:jc w:val="right"/>
              <w:rPr/>
            </w:pPr>
            <w:r>
              <w:rPr/>
              <w:t xml:space="preserve">Приложение № </w:t>
            </w:r>
            <w:r>
              <w:rPr>
                <w:b w:val="false"/>
                <w:bCs w:val="false"/>
              </w:rPr>
              <w:t>1</w:t>
            </w:r>
          </w:p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-227" w:right="113" w:hanging="0"/>
              <w:contextualSpacing/>
              <w:jc w:val="righ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к запросу технико-коммерческого предложения</w:t>
            </w:r>
          </w:p>
        </w:tc>
      </w:tr>
      <w:tr>
        <w:trPr/>
        <w:tc>
          <w:tcPr>
            <w:tcW w:w="5828" w:type="dxa"/>
            <w:tcBorders/>
          </w:tcPr>
          <w:p>
            <w:pPr>
              <w:pStyle w:val="ListParagraph"/>
              <w:widowControl w:val="false"/>
              <w:ind w:hanging="0"/>
              <w:jc w:val="right"/>
              <w:rPr>
                <w:sz w:val="24"/>
                <w:szCs w:val="24"/>
                <w:lang w:val="ru-RU"/>
              </w:rPr>
            </w:pPr>
            <w:r>
              <w:rPr/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26.20 Приобретение расходных материалов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к вычислительной технике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/>
      </w:r>
      <w:r>
        <w:br w:type="page"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94680113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94680114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94680115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94680117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680118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94680119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94680120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680121">
            <w:r>
              <w:rPr>
                <w:webHidden/>
                <w:rStyle w:val="Style14"/>
                <w:rFonts w:eastAsia="Calibri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94680122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680123">
            <w:r>
              <w:rPr>
                <w:webHidden/>
                <w:rStyle w:val="Style14"/>
                <w:rFonts w:eastAsia="Calibri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94680124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680125">
            <w:r>
              <w:rPr>
                <w:webHidden/>
                <w:rStyle w:val="Style14"/>
                <w:rFonts w:eastAsia="Calibri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680126">
            <w:r>
              <w:rPr>
                <w:webHidden/>
                <w:rStyle w:val="Style14"/>
                <w:rFonts w:eastAsia="Calibri"/>
                <w:vanish w:val="false"/>
              </w:rPr>
              <w:t>Таблица 3.1. Общие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_Toc194680126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680127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</w:rPr>
              <w:tab/>
              <w:t>3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-423" w:hanging="3"/>
        <w:jc w:val="center"/>
        <w:rPr>
          <w:caps/>
        </w:rPr>
      </w:pPr>
      <w:bookmarkStart w:id="0" w:name="_Toc51339692"/>
      <w:bookmarkStart w:id="1" w:name="_Toc194680113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432" w:hanging="858"/>
        <w:rPr>
          <w:rStyle w:val="Style8"/>
          <w:b/>
          <w:i w:val="false"/>
          <w:i w:val="false"/>
          <w:shd w:fill="auto" w:val="clear"/>
        </w:rPr>
      </w:pPr>
      <w:bookmarkStart w:id="2" w:name="_Toc46743505"/>
      <w:bookmarkStart w:id="3" w:name="_Toc194680114"/>
      <w:r>
        <w:rPr>
          <w:lang w:val="ru-RU"/>
        </w:rPr>
        <w:t xml:space="preserve"> </w:t>
      </w:r>
      <w:r>
        <w:rPr/>
        <w:t>Обозначения и сокращения</w:t>
      </w:r>
      <w:bookmarkEnd w:id="2"/>
      <w:bookmarkEnd w:id="3"/>
    </w:p>
    <w:tbl>
      <w:tblPr>
        <w:tblW w:w="102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16"/>
        <w:gridCol w:w="7997"/>
      </w:tblGrid>
      <w:tr>
        <w:trPr>
          <w:cantSplit w:val="true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«ЭСК РусГидро» (далее – Заказчик). Адрес местонахождения: 660049, Красноярский край, г. Красноярск, ул. Перенсона, д. 2А, помещ. 1.</w:t>
            </w:r>
          </w:p>
        </w:tc>
      </w:tr>
      <w:tr>
        <w:trPr>
          <w:cantSplit w:val="true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ПП РФ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 xml:space="preserve">1875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23.12.2024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РФ от 23 декабря 2024 года №1875 (ред.                         от 18.02.2025)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</w:tr>
    </w:tbl>
    <w:p>
      <w:pPr>
        <w:pStyle w:val="Heading4"/>
        <w:numPr>
          <w:ilvl w:val="1"/>
          <w:numId w:val="3"/>
        </w:numPr>
        <w:ind w:left="432" w:hanging="858"/>
        <w:rPr>
          <w:lang w:val="ru-RU"/>
        </w:rPr>
      </w:pPr>
      <w:bookmarkStart w:id="4" w:name="_Toc194680115"/>
      <w:bookmarkStart w:id="5" w:name="_Toc46743506"/>
      <w:bookmarkEnd w:id="5"/>
      <w:r>
        <w:rPr>
          <w:lang w:val="ru-RU"/>
        </w:rPr>
        <w:t xml:space="preserve"> </w:t>
      </w:r>
      <w:r>
        <w:rPr>
          <w:lang w:val="ru-RU"/>
        </w:rPr>
        <w:t>Наименование закупаемой продукции</w:t>
      </w:r>
      <w:bookmarkEnd w:id="4"/>
    </w:p>
    <w:p>
      <w:pPr>
        <w:pStyle w:val="Heading4"/>
        <w:tabs>
          <w:tab w:val="clear" w:pos="0"/>
        </w:tabs>
        <w:ind w:left="-366" w:hanging="0"/>
        <w:jc w:val="both"/>
        <w:rPr>
          <w:b w:val="false"/>
        </w:rPr>
      </w:pPr>
      <w:bookmarkStart w:id="6" w:name="_Toc194680116"/>
      <w:r>
        <w:rPr>
          <w:b w:val="false"/>
        </w:rPr>
        <w:t xml:space="preserve">Приобретение </w:t>
      </w:r>
      <w:r>
        <w:rPr>
          <w:b w:val="false"/>
          <w:lang w:val="ru-RU"/>
        </w:rPr>
        <w:t>расходных материалов к вычислительной технике</w:t>
      </w:r>
      <w:r>
        <w:rPr>
          <w:b w:val="false"/>
        </w:rPr>
        <w:t xml:space="preserve"> для нужд АО «</w:t>
      </w:r>
      <w:r>
        <w:rPr>
          <w:b w:val="false"/>
          <w:lang w:val="ru-RU"/>
        </w:rPr>
        <w:t>ЭСК РусГидро</w:t>
      </w:r>
      <w:r>
        <w:rPr>
          <w:b w:val="false"/>
        </w:rPr>
        <w:t>» (далее – Товар).</w:t>
      </w:r>
      <w:bookmarkEnd w:id="6"/>
    </w:p>
    <w:p>
      <w:pPr>
        <w:pStyle w:val="Heading4"/>
        <w:numPr>
          <w:ilvl w:val="1"/>
          <w:numId w:val="3"/>
        </w:numPr>
        <w:ind w:left="432" w:hanging="858"/>
        <w:rPr>
          <w:lang w:val="ru-RU"/>
        </w:rPr>
      </w:pPr>
      <w:bookmarkStart w:id="7" w:name="_Toc194680117"/>
      <w:bookmarkStart w:id="8" w:name="_Toc46743507"/>
      <w:r>
        <w:rPr>
          <w:lang w:val="ru-RU"/>
        </w:rPr>
        <w:t xml:space="preserve"> </w:t>
      </w:r>
      <w:r>
        <w:rPr>
          <w:lang w:val="ru-RU"/>
        </w:rPr>
        <w:t xml:space="preserve">Цель </w:t>
      </w:r>
      <w:bookmarkEnd w:id="8"/>
      <w:r>
        <w:rPr>
          <w:lang w:val="ru-RU"/>
        </w:rPr>
        <w:t>использования закупаемой продукции</w:t>
      </w:r>
      <w:bookmarkEnd w:id="7"/>
    </w:p>
    <w:p>
      <w:pPr>
        <w:pStyle w:val="Heading4"/>
        <w:tabs>
          <w:tab w:val="clear" w:pos="0"/>
        </w:tabs>
        <w:ind w:left="-366" w:hanging="0"/>
        <w:jc w:val="both"/>
        <w:rPr>
          <w:b w:val="false"/>
          <w:lang w:val="ru-RU"/>
        </w:rPr>
      </w:pPr>
      <w:r>
        <w:rPr>
          <w:b w:val="false"/>
        </w:rPr>
        <w:t xml:space="preserve">Материально-техническое обеспечение деятельности </w:t>
      </w:r>
      <w:r>
        <w:rPr>
          <w:b w:val="false"/>
          <w:lang w:val="ru-RU"/>
        </w:rPr>
        <w:t>АО</w:t>
      </w:r>
      <w:r>
        <w:rPr>
          <w:b w:val="false"/>
        </w:rPr>
        <w:t xml:space="preserve"> «ЭСК РусГидро» </w:t>
      </w:r>
      <w:r>
        <w:rPr>
          <w:b w:val="false"/>
          <w:lang w:val="ru-RU"/>
        </w:rPr>
        <w:t>расходными материалами к вычислительной технике.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ind w:left="-423" w:hanging="3"/>
        <w:jc w:val="center"/>
        <w:rPr/>
      </w:pPr>
      <w:bookmarkStart w:id="9" w:name="_Toc51339693"/>
      <w:bookmarkStart w:id="10" w:name="_Toc194680118"/>
      <w:r>
        <w:rPr/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ind w:left="432" w:hanging="858"/>
        <w:rPr>
          <w:lang w:val="ru-RU"/>
        </w:rPr>
      </w:pPr>
      <w:bookmarkStart w:id="11" w:name="_Toc194680119"/>
      <w:r>
        <w:rPr>
          <w:lang w:val="ru-RU"/>
        </w:rPr>
        <w:t xml:space="preserve"> </w:t>
      </w:r>
      <w:r>
        <w:rPr>
          <w:lang w:val="ru-RU"/>
        </w:rPr>
        <w:t>Требования к объемам и срокам поставки</w:t>
      </w:r>
      <w:bookmarkEnd w:id="11"/>
    </w:p>
    <w:p>
      <w:pPr>
        <w:pStyle w:val="Heading4"/>
        <w:numPr>
          <w:ilvl w:val="2"/>
          <w:numId w:val="3"/>
        </w:numPr>
        <w:ind w:left="284" w:hanging="710"/>
        <w:rPr>
          <w:lang w:val="ru-RU"/>
        </w:rPr>
      </w:pPr>
      <w:bookmarkStart w:id="12" w:name="_Toc194680120"/>
      <w:r>
        <w:rPr>
          <w:lang w:val="ru-RU"/>
        </w:rPr>
        <w:t>Перечень и объем закупаемой продукции</w:t>
      </w:r>
      <w:bookmarkEnd w:id="12"/>
    </w:p>
    <w:p>
      <w:pPr>
        <w:pStyle w:val="Heading1"/>
        <w:tabs>
          <w:tab w:val="clear" w:pos="0"/>
        </w:tabs>
        <w:ind w:left="426" w:hanging="852"/>
        <w:rPr>
          <w:sz w:val="24"/>
          <w:szCs w:val="24"/>
        </w:rPr>
      </w:pPr>
      <w:bookmarkStart w:id="13" w:name="_Toc194680121"/>
      <w:bookmarkStart w:id="14" w:name="_Toc51339695"/>
      <w:r>
        <w:rPr>
          <w:sz w:val="24"/>
          <w:szCs w:val="24"/>
        </w:rPr>
        <w:t xml:space="preserve">Таблица 1.1 Перечень </w:t>
      </w:r>
      <w:bookmarkEnd w:id="14"/>
      <w:r>
        <w:rPr>
          <w:sz w:val="24"/>
          <w:szCs w:val="24"/>
        </w:rPr>
        <w:t>и объем закупаемой продукции</w:t>
      </w:r>
      <w:bookmarkEnd w:id="13"/>
    </w:p>
    <w:tbl>
      <w:tblPr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1"/>
        <w:gridCol w:w="3657"/>
        <w:gridCol w:w="2766"/>
        <w:gridCol w:w="1771"/>
        <w:gridCol w:w="1134"/>
      </w:tblGrid>
      <w:tr>
        <w:trPr>
          <w:tblHeader w:val="true"/>
          <w:trHeight w:val="615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 xml:space="preserve">№ </w:t>
            </w:r>
            <w:r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Наименование позиции товара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Код ОКПД2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Ед. изм-я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>1</w:t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color w:val="000000"/>
                <w:sz w:val="24"/>
                <w:szCs w:val="20"/>
                <w:lang w:val="en-US"/>
              </w:rPr>
              <w:t>Web-</w:t>
            </w:r>
            <w:r>
              <w:rPr>
                <w:color w:val="000000"/>
                <w:sz w:val="24"/>
                <w:szCs w:val="20"/>
              </w:rPr>
              <w:t xml:space="preserve">камера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26.20.40.190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</w:t>
            </w:r>
          </w:p>
        </w:tc>
      </w:tr>
      <w:tr>
        <w:trPr>
          <w:trHeight w:val="227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>2</w:t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 xml:space="preserve">Гарнитура </w:t>
            </w:r>
            <w:r>
              <w:rPr>
                <w:color w:val="000000"/>
                <w:sz w:val="24"/>
                <w:szCs w:val="20"/>
                <w:lang w:val="en-US"/>
              </w:rPr>
              <w:t xml:space="preserve">USB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26.20.40.190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</w:t>
            </w:r>
          </w:p>
        </w:tc>
      </w:tr>
      <w:tr>
        <w:trPr>
          <w:trHeight w:val="409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>3</w:t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>Комплект клавиатура и мышь беспроводные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26.20.16.190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</w:t>
            </w:r>
          </w:p>
        </w:tc>
      </w:tr>
    </w:tbl>
    <w:p>
      <w:pPr>
        <w:pStyle w:val="Normal"/>
        <w:ind w:firstLine="426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2"/>
          <w:numId w:val="3"/>
        </w:numPr>
        <w:ind w:left="284" w:hanging="710"/>
        <w:rPr>
          <w:lang w:val="ru-RU"/>
        </w:rPr>
      </w:pPr>
      <w:bookmarkStart w:id="15" w:name="_Toc194680122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поставки продукции и оказания сопутствующих услуг</w:t>
      </w:r>
      <w:bookmarkEnd w:id="15"/>
    </w:p>
    <w:p>
      <w:pPr>
        <w:pStyle w:val="Heading1"/>
        <w:tabs>
          <w:tab w:val="clear" w:pos="0"/>
        </w:tabs>
        <w:ind w:left="426" w:hanging="852"/>
        <w:rPr>
          <w:sz w:val="24"/>
          <w:szCs w:val="24"/>
        </w:rPr>
      </w:pPr>
      <w:bookmarkStart w:id="17" w:name="_Toc194680123"/>
      <w:bookmarkStart w:id="18" w:name="_Toc51339697"/>
      <w:bookmarkStart w:id="19" w:name="_Toc50125127"/>
      <w:bookmarkStart w:id="20" w:name="_Toc50125126"/>
      <w:bookmarkEnd w:id="20"/>
      <w:r>
        <w:rPr>
          <w:sz w:val="24"/>
          <w:szCs w:val="24"/>
        </w:rPr>
        <w:t xml:space="preserve">Таблица 2.1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</w:rPr>
        <w:t>поставки продукции</w:t>
      </w:r>
      <w:bookmarkEnd w:id="17"/>
      <w:r>
        <w:rPr>
          <w:sz w:val="24"/>
          <w:szCs w:val="24"/>
        </w:rPr>
        <w:t xml:space="preserve"> </w:t>
      </w:r>
    </w:p>
    <w:p>
      <w:pPr>
        <w:pStyle w:val="Normal"/>
        <w:ind w:left="-426" w:firstLine="71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W w:w="1034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3"/>
        <w:gridCol w:w="3685"/>
        <w:gridCol w:w="2552"/>
        <w:gridCol w:w="3118"/>
      </w:tblGrid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продукции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Общая продолжительность договора на поставку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Geneva"/>
                <w:bCs/>
                <w:sz w:val="24"/>
                <w:szCs w:val="24"/>
                <w:lang w:eastAsia="en-US"/>
              </w:rPr>
              <w:t>с даты заключения договора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1 месяца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851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2" w:name="_Toc194680124"/>
      <w:bookmarkStart w:id="23" w:name="_Toc46743511"/>
      <w:r>
        <w:rPr>
          <w:lang w:val="ru-RU"/>
        </w:rPr>
        <w:t xml:space="preserve">Требования к </w:t>
      </w:r>
      <w:bookmarkEnd w:id="23"/>
      <w:r>
        <w:rPr>
          <w:lang w:val="ru-RU"/>
        </w:rPr>
        <w:t>качеству продукции</w:t>
      </w:r>
      <w:bookmarkEnd w:id="22"/>
    </w:p>
    <w:p>
      <w:pPr>
        <w:pStyle w:val="Heading1"/>
        <w:tabs>
          <w:tab w:val="clear" w:pos="0"/>
        </w:tabs>
        <w:ind w:left="1224" w:hanging="1224"/>
        <w:rPr>
          <w:sz w:val="24"/>
          <w:szCs w:val="24"/>
        </w:rPr>
      </w:pPr>
      <w:bookmarkStart w:id="24" w:name="_Toc194680125"/>
      <w:bookmarkStart w:id="25" w:name="_Toc51339698"/>
      <w:bookmarkEnd w:id="2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4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c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6"/>
        <w:gridCol w:w="1933"/>
        <w:gridCol w:w="2000"/>
        <w:gridCol w:w="3891"/>
        <w:gridCol w:w="3849"/>
        <w:gridCol w:w="2999"/>
      </w:tblGrid>
      <w:tr>
        <w:trPr>
          <w:tblHeader w:val="true"/>
        </w:trPr>
        <w:tc>
          <w:tcPr>
            <w:tcW w:w="6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9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позиции </w:t>
              <w:br/>
              <w:t xml:space="preserve">Таблицы 1.1. «Перечень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и объем закупаемой продукции»</w:t>
            </w:r>
          </w:p>
        </w:tc>
        <w:tc>
          <w:tcPr>
            <w:tcW w:w="58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заказчика</w:t>
            </w:r>
          </w:p>
        </w:tc>
        <w:tc>
          <w:tcPr>
            <w:tcW w:w="68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Предложения участника</w:t>
            </w:r>
          </w:p>
        </w:tc>
      </w:tr>
      <w:tr>
        <w:trPr/>
        <w:tc>
          <w:tcPr>
            <w:tcW w:w="6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9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0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3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Технические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(параметры эквивалентности)</w:t>
            </w:r>
          </w:p>
        </w:tc>
        <w:tc>
          <w:tcPr>
            <w:tcW w:w="3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Наименование продукции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(</w:t>
            </w: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 xml:space="preserve">Способ подтверждения: указание наименования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и марки/артикула(при наличии) предлагаемой продукции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29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Технические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(</w:t>
            </w: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Способ подтверждения: указание технических характеристик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 xml:space="preserve">предлагаемой продукции;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роизводителя продукции; страны происхождения продукции)</w:t>
            </w:r>
          </w:p>
        </w:tc>
      </w:tr>
      <w:tr>
        <w:trPr/>
        <w:tc>
          <w:tcPr>
            <w:tcW w:w="6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0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8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3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9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67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6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Позиция 1</w:t>
            </w:r>
          </w:p>
        </w:tc>
        <w:tc>
          <w:tcPr>
            <w:tcW w:w="2000" w:type="dxa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Web-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камера  </w:t>
            </w:r>
          </w:p>
        </w:tc>
        <w:tc>
          <w:tcPr>
            <w:tcW w:w="38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интерфейс: USB не ниже 2.0;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разрешение видео: не ниже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1920 x 1080;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количество мегапикселей: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не ниже 2;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наличие автофокусировки;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материал объектива: стеклянный;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наличие встроенного стереомикрофона;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диапазон микрофона: не ниже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поле обзора по диагонали: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не менее 78°.</w:t>
            </w:r>
          </w:p>
        </w:tc>
        <w:tc>
          <w:tcPr>
            <w:tcW w:w="38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 xml:space="preserve">указание наименования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и артикула предлагаемой продукции</w:t>
            </w:r>
          </w:p>
        </w:tc>
        <w:tc>
          <w:tcPr>
            <w:tcW w:w="29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указание технических характеристик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 xml:space="preserve">предлагаемой продукции,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производителя, страны происхождения  продукции</w:t>
            </w:r>
          </w:p>
        </w:tc>
      </w:tr>
      <w:tr>
        <w:trPr/>
        <w:tc>
          <w:tcPr>
            <w:tcW w:w="6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Позиция 2</w:t>
            </w:r>
          </w:p>
        </w:tc>
        <w:tc>
          <w:tcPr>
            <w:tcW w:w="2000" w:type="dxa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Гарнитура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USB </w:t>
            </w:r>
          </w:p>
        </w:tc>
        <w:tc>
          <w:tcPr>
            <w:tcW w:w="38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- 2 накладных широкополосных наушника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;</w:t>
            </w:r>
            <w:bookmarkStart w:id="26" w:name="_GoBack"/>
            <w:bookmarkEnd w:id="26"/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интерфейс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USB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plug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and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play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тип микрофона: выдвижной микрофон на гибком держателе; - наличие системы шумоподавления;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диаметр динамиков: не менее 40 мм;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регулировка громкости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поддержка технологии цифровой обработки сигнала (DSP);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широкополосное акустическое эхоподавление;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подушечки на динамиках;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антивандальное исполнение оголовья;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- наличие пульта управления громкостью, отключением микрофона и «поднятием трубки»;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72" w:leader="none"/>
              </w:tabs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сменные амбушюры.</w:t>
            </w:r>
          </w:p>
        </w:tc>
        <w:tc>
          <w:tcPr>
            <w:tcW w:w="38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 xml:space="preserve">указание наименования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и артикула предлагаемой продукции</w:t>
            </w:r>
          </w:p>
        </w:tc>
        <w:tc>
          <w:tcPr>
            <w:tcW w:w="29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указание технических характеристик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 xml:space="preserve">предлагаемой продукции,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производителя, страны происхождения  продукции</w:t>
            </w:r>
          </w:p>
        </w:tc>
      </w:tr>
      <w:tr>
        <w:trPr/>
        <w:tc>
          <w:tcPr>
            <w:tcW w:w="60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Позиция 3</w:t>
            </w:r>
          </w:p>
        </w:tc>
        <w:tc>
          <w:tcPr>
            <w:tcW w:w="2000" w:type="dxa"/>
            <w:tcBorders>
              <w:top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Комплект клавиатура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 мышь беспроводные</w:t>
            </w:r>
          </w:p>
        </w:tc>
        <w:tc>
          <w:tcPr>
            <w:tcW w:w="38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Комплект клавиатура и мышь: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- клавиатура беспроводная, мембранная, не менее 100 клавиш, интерфейс подключения радиоканал цвет белый/серый;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- мышь оптическая, количество кнопок не менее 3, разрешение на менее 1000 DPI для правой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0"/>
                <w:szCs w:val="20"/>
                <w:highlight w:val="yellow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и левой руки, цвет серый/черный.</w:t>
            </w:r>
          </w:p>
        </w:tc>
        <w:tc>
          <w:tcPr>
            <w:tcW w:w="38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 xml:space="preserve">указание наименования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и артикула предлагаемой продукции</w:t>
            </w:r>
          </w:p>
        </w:tc>
        <w:tc>
          <w:tcPr>
            <w:tcW w:w="29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указание технических характеристик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 xml:space="preserve">предлагаемой продукции, </w:t>
            </w: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производителя, страны происхождения  продукции</w:t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spacing w:before="40" w:after="120"/>
        <w:ind w:right="-28" w:firstLine="851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                           в объеме не менее установленных в настоящих ТТ требований.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27" w:name="_Toc194680126"/>
      <w:r>
        <w:rPr>
          <w:sz w:val="24"/>
          <w:szCs w:val="24"/>
        </w:rPr>
        <w:t>Таблица 3.1. Общие требования к Продукции</w:t>
      </w:r>
      <w:bookmarkEnd w:id="27"/>
    </w:p>
    <w:tbl>
      <w:tblPr>
        <w:tblStyle w:val="affffc"/>
        <w:tblW w:w="153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549"/>
        <w:gridCol w:w="5104"/>
        <w:gridCol w:w="3119"/>
        <w:gridCol w:w="3687"/>
      </w:tblGrid>
      <w:tr>
        <w:trPr>
          <w:tblHeader w:val="true"/>
          <w:trHeight w:val="842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keepLines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53" w:type="dxa"/>
            <w:gridSpan w:val="2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keepLines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Электробезопасность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Товар, подлежащий обязательной сертификации, должен соответствовать требованиям технического регламента Таможенного союза ТР ТС 004/2011 «О безопасности низковольтного оборудования» утв. Решением КТС                      от 16.08.2011 г. №768 и/или требованиям технического регламента Таможенного союза ТР ТС 020/2011 «Электромагнитная совместимость технических средств» утв. Решением КТС от 09.12.2011 г. № 879.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5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Место поставки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uppressAutoHyphens w:val="true"/>
              <w:spacing w:before="0" w:after="0"/>
              <w:ind w:left="-57" w:right="-57" w:hanging="46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660049, Красноярский край, г. Красноярск, ул. Перенсона, д.2А, помещ. 1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упаковке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Товар должен отгружаться Поставщиком в таре                                  и упаковке, обеспечивающих полную сохранность Товара от всякого рода повреждений и порчи с учетом возможных перегрузок, и длительного хранения. Поставщик обязан сообщить Покупателю условия длительного хранения поставленного Товара (допускается определение условий хранения                                        в сопроводительных документах).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Стоимость тары и упаковки включена в стоимость Товара. Тара и упаковка возврату не подлежат.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маркировке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  <w:tab w:val="left" w:pos="1985" w:leader="none"/>
              </w:tabs>
              <w:suppressAutoHyphens w:val="fals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На упаковочной коробке типографским способом (не на наклейке) должна быть нанесена следующая информация: </w:t>
            </w:r>
          </w:p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  <w:tab w:val="left" w:pos="1985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информация о производителе и его товарный знак, </w:t>
            </w:r>
          </w:p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  <w:tab w:val="left" w:pos="1985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гарантийный срок хранения до ввода в эксплуатацию (если установлен производителем) и/или дата изготовления,</w:t>
            </w:r>
          </w:p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  <w:tab w:val="left" w:pos="1985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иная информация, которую производитель сочтет необходимым разместить.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5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Иные требования</w:t>
            </w:r>
          </w:p>
        </w:tc>
      </w:tr>
      <w:tr>
        <w:trPr>
          <w:trHeight w:val="1456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техническим характеристикам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Поставляемый Товар, включая его отдельные детали, компоненты и составные части, должен быть оригинальный, новый, не восстановленный, не бывший в употреблении, в исправном рабочем состоянии, изготовленным компанией-производителем, пригодным для использования по своему назначению.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before="120" w:after="60"/>
              <w:ind w:left="426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56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Год выпуска товара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Не ранее 2025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0"/>
                <w:szCs w:val="20"/>
                <w:lang w:val="ru-RU" w:eastAsia="ru-RU" w:bidi="ar-SA"/>
              </w:rPr>
              <w:t>Указание года выпуска Товара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before="120" w:after="60"/>
              <w:ind w:left="426" w:hanging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</w:tr>
      <w:tr>
        <w:trPr>
          <w:trHeight w:val="1456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гарантийным обязательствам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Товар должен иметь гарантию производителя не менее 12 месяцев с даты подписания Сторонами накладной ТОРГ-12 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0"/>
                <w:szCs w:val="22"/>
                <w:lang w:val="ru-RU" w:eastAsia="ru-RU" w:bidi="ar-SA"/>
              </w:rPr>
              <w:t>Указание срока гарантии производителя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before="120" w:after="60"/>
              <w:ind w:left="426" w:hanging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tabs>
          <w:tab w:val="clear" w:pos="0"/>
          <w:tab w:val="left" w:pos="567" w:leader="none"/>
        </w:tabs>
        <w:ind w:left="709" w:hanging="283"/>
        <w:rPr>
          <w:sz w:val="24"/>
          <w:szCs w:val="24"/>
        </w:rPr>
      </w:pPr>
      <w:bookmarkStart w:id="28" w:name="_Toc194680127"/>
      <w:bookmarkStart w:id="29" w:name="_Toc53393312"/>
      <w:r>
        <w:rPr>
          <w:sz w:val="24"/>
          <w:szCs w:val="24"/>
        </w:rPr>
        <w:t>Требования к документации по ценообразованию</w:t>
      </w:r>
      <w:bookmarkEnd w:id="29"/>
      <w:r>
        <w:rPr>
          <w:sz w:val="24"/>
          <w:szCs w:val="24"/>
        </w:rPr>
        <w:t xml:space="preserve"> на этапе закупки</w:t>
      </w:r>
      <w:bookmarkEnd w:id="28"/>
    </w:p>
    <w:p>
      <w:pPr>
        <w:pStyle w:val="ListParagraph"/>
        <w:numPr>
          <w:ilvl w:val="0"/>
          <w:numId w:val="7"/>
        </w:numPr>
        <w:ind w:left="0" w:firstLine="360"/>
        <w:jc w:val="both"/>
        <w:rPr>
          <w:b/>
        </w:rPr>
      </w:pPr>
      <w:r>
        <w:rPr/>
        <w:t>Цена Товара должна включать все затраты Участника, уплату всех налогов, пошлин                          и сборов, предусмотренных законодательством Российской Федерации, в том числе НДС, страхование, расходы на доставку Товара до места поставки, погрузку и разгрузку, стоимость тары и упаковки.</w:t>
      </w:r>
    </w:p>
    <w:p>
      <w:pPr>
        <w:pStyle w:val="ListParagraph"/>
        <w:numPr>
          <w:ilvl w:val="0"/>
          <w:numId w:val="7"/>
        </w:numPr>
        <w:ind w:left="0" w:firstLine="360"/>
        <w:jc w:val="both"/>
        <w:rPr>
          <w:b/>
        </w:rPr>
      </w:pPr>
      <w:bookmarkStart w:id="30" w:name="_Toc51339699"/>
      <w:bookmarkStart w:id="31" w:name="_Toc46743519"/>
      <w:r>
        <w:rPr/>
        <w:t>Цена Товара должна быть указана без учета НДС и с учетом НДС (если НДС предусмотрено налоговым законодательством) или должно быть указание на то, что «НДС                         не облагается».</w:t>
      </w:r>
      <w:bookmarkEnd w:id="30"/>
      <w:bookmarkEnd w:id="31"/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</w:p>
    <w:p>
      <w:pPr>
        <w:pStyle w:val="Normal"/>
        <w:rPr>
          <w:rFonts w:eastAsia="Calibri"/>
          <w:lang w:val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43E26FA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3E26FA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uiPriority="99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 w:qFormat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20b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75141f"/>
    <w:pPr>
      <w:keepNext w:val="true"/>
      <w:tabs>
        <w:tab w:val="clear" w:pos="708"/>
        <w:tab w:val="left" w:pos="0" w:leader="none"/>
      </w:tabs>
      <w:spacing w:before="120" w:after="60"/>
      <w:ind w:left="1224" w:hanging="798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75141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13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17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Заголовок Знак"/>
    <w:basedOn w:val="DefaultParagraphFont"/>
    <w:qFormat/>
    <w:rsid w:val="002c400b"/>
    <w:rPr>
      <w:rFonts w:ascii="Liberation Sans" w:hAnsi="Liberation Sans" w:eastAsia="Arial Unicode MS" w:cs="Arial Unicode MS"/>
      <w:sz w:val="28"/>
      <w:szCs w:val="28"/>
    </w:rPr>
  </w:style>
  <w:style w:type="character" w:styleId="14" w:customStyle="1">
    <w:name w:val="Основной текст Знак1"/>
    <w:basedOn w:val="DefaultParagraphFont"/>
    <w:uiPriority w:val="99"/>
    <w:semiHidden/>
    <w:qFormat/>
    <w:rsid w:val="002c400b"/>
    <w:rPr>
      <w:sz w:val="28"/>
      <w:szCs w:val="28"/>
    </w:rPr>
  </w:style>
  <w:style w:type="character" w:styleId="15" w:customStyle="1">
    <w:name w:val="Текст сноски Знак1"/>
    <w:basedOn w:val="DefaultParagraphFont"/>
    <w:uiPriority w:val="99"/>
    <w:semiHidden/>
    <w:qFormat/>
    <w:rsid w:val="002c400b"/>
    <w:rPr/>
  </w:style>
  <w:style w:type="character" w:styleId="16" w:customStyle="1">
    <w:name w:val="Верхний колонтитул Знак1"/>
    <w:basedOn w:val="DefaultParagraphFont"/>
    <w:uiPriority w:val="99"/>
    <w:semiHidden/>
    <w:qFormat/>
    <w:rsid w:val="002c400b"/>
    <w:rPr>
      <w:sz w:val="28"/>
      <w:szCs w:val="28"/>
    </w:rPr>
  </w:style>
  <w:style w:type="character" w:styleId="Style16" w:customStyle="1">
    <w:name w:val="Основной текст с отступом Знак"/>
    <w:basedOn w:val="DefaultParagraphFont"/>
    <w:qFormat/>
    <w:rsid w:val="002c400b"/>
    <w:rPr>
      <w:sz w:val="24"/>
      <w:szCs w:val="24"/>
    </w:rPr>
  </w:style>
  <w:style w:type="character" w:styleId="Style17" w:customStyle="1">
    <w:name w:val="Нижний колонтитул Знак"/>
    <w:basedOn w:val="DefaultParagraphFont"/>
    <w:qFormat/>
    <w:rsid w:val="002c400b"/>
    <w:rPr>
      <w:sz w:val="28"/>
      <w:szCs w:val="28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2c400b"/>
    <w:rPr>
      <w:sz w:val="28"/>
      <w:szCs w:val="28"/>
    </w:rPr>
  </w:style>
  <w:style w:type="character" w:styleId="33" w:customStyle="1">
    <w:name w:val="Основной текст 3 Знак"/>
    <w:basedOn w:val="DefaultParagraphFont"/>
    <w:link w:val="BodyText3"/>
    <w:qFormat/>
    <w:rsid w:val="002c400b"/>
    <w:rPr>
      <w:sz w:val="16"/>
      <w:szCs w:val="16"/>
    </w:rPr>
  </w:style>
  <w:style w:type="character" w:styleId="311" w:customStyle="1">
    <w:name w:val="Основной текст с отступом 3 Знак1"/>
    <w:basedOn w:val="DefaultParagraphFont"/>
    <w:uiPriority w:val="99"/>
    <w:semiHidden/>
    <w:qFormat/>
    <w:rsid w:val="002c400b"/>
    <w:rPr>
      <w:sz w:val="16"/>
      <w:szCs w:val="16"/>
    </w:rPr>
  </w:style>
  <w:style w:type="character" w:styleId="24" w:customStyle="1">
    <w:name w:val="Основной текст 2 Знак"/>
    <w:basedOn w:val="DefaultParagraphFont"/>
    <w:link w:val="BodyText2"/>
    <w:qFormat/>
    <w:rsid w:val="002c400b"/>
    <w:rPr>
      <w:sz w:val="28"/>
      <w:szCs w:val="28"/>
    </w:rPr>
  </w:style>
  <w:style w:type="character" w:styleId="Style18" w:customStyle="1">
    <w:name w:val="Текст выноски Знак"/>
    <w:basedOn w:val="DefaultParagraphFont"/>
    <w:link w:val="BalloonText"/>
    <w:semiHidden/>
    <w:qFormat/>
    <w:rsid w:val="002c400b"/>
    <w:rPr>
      <w:rFonts w:ascii="Tahoma" w:hAnsi="Tahoma" w:cs="Tahoma"/>
      <w:sz w:val="16"/>
      <w:szCs w:val="16"/>
    </w:rPr>
  </w:style>
  <w:style w:type="character" w:styleId="17" w:customStyle="1">
    <w:name w:val="Текст примечания Знак1"/>
    <w:basedOn w:val="DefaultParagraphFont"/>
    <w:uiPriority w:val="99"/>
    <w:semiHidden/>
    <w:qFormat/>
    <w:rsid w:val="002c400b"/>
    <w:rPr/>
  </w:style>
  <w:style w:type="character" w:styleId="Style19" w:customStyle="1">
    <w:name w:val="Тема примечания Знак"/>
    <w:basedOn w:val="17"/>
    <w:link w:val="Annotationsubject"/>
    <w:semiHidden/>
    <w:qFormat/>
    <w:rsid w:val="002c400b"/>
    <w:rPr>
      <w:b/>
      <w:bCs/>
    </w:rPr>
  </w:style>
  <w:style w:type="character" w:styleId="18" w:customStyle="1">
    <w:name w:val="Подзаголовок Знак1"/>
    <w:basedOn w:val="DefaultParagraphFont"/>
    <w:uiPriority w:val="11"/>
    <w:qFormat/>
    <w:rsid w:val="002c400b"/>
    <w:rPr>
      <w:rFonts w:ascii="Calibri" w:hAnsi="Calibri" w:eastAsia="新細明體" w:cs="Arial" w:asciiTheme="minorHAnsi" w:cstheme="minorBidi" w:eastAsiaTheme="minorEastAsia" w:hAnsiTheme="minorHAnsi"/>
      <w:color w:val="5A5A5A" w:themeColor="text1" w:themeTint="a5"/>
      <w:spacing w:val="15"/>
      <w:sz w:val="22"/>
      <w:szCs w:val="22"/>
    </w:rPr>
  </w:style>
  <w:style w:type="character" w:styleId="211" w:customStyle="1">
    <w:name w:val="Цитата 2 Знак1"/>
    <w:basedOn w:val="DefaultParagraphFont"/>
    <w:uiPriority w:val="29"/>
    <w:qFormat/>
    <w:rsid w:val="002c400b"/>
    <w:rPr>
      <w:i/>
      <w:iCs/>
      <w:color w:val="404040" w:themeColor="text1" w:themeTint="bf"/>
      <w:sz w:val="28"/>
      <w:szCs w:val="28"/>
    </w:rPr>
  </w:style>
  <w:style w:type="character" w:styleId="19" w:customStyle="1">
    <w:name w:val="Выделенная цитата Знак1"/>
    <w:basedOn w:val="DefaultParagraphFont"/>
    <w:uiPriority w:val="30"/>
    <w:qFormat/>
    <w:rsid w:val="002c400b"/>
    <w:rPr>
      <w:i/>
      <w:iCs/>
      <w:color w:val="4472C4" w:themeColor="accent1"/>
      <w:sz w:val="28"/>
      <w:szCs w:val="28"/>
    </w:rPr>
  </w:style>
  <w:style w:type="character" w:styleId="110" w:customStyle="1">
    <w:name w:val="Электронная подпись Знак1"/>
    <w:basedOn w:val="DefaultParagraphFont"/>
    <w:uiPriority w:val="99"/>
    <w:semiHidden/>
    <w:qFormat/>
    <w:rsid w:val="002c400b"/>
    <w:rPr>
      <w:sz w:val="28"/>
      <w:szCs w:val="28"/>
    </w:rPr>
  </w:style>
  <w:style w:type="character" w:styleId="111" w:customStyle="1">
    <w:name w:val="Текст концевой сноски Знак1"/>
    <w:basedOn w:val="DefaultParagraphFont"/>
    <w:uiPriority w:val="99"/>
    <w:semiHidden/>
    <w:qFormat/>
    <w:rsid w:val="002c400b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Style15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2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12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3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6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7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3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05d99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7a3c7d"/>
    <w:pPr>
      <w:tabs>
        <w:tab w:val="clear" w:pos="708"/>
        <w:tab w:val="left" w:pos="567" w:leader="none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7" w:customStyle="1">
    <w:name w:val="Раздел регламента"/>
    <w:basedOn w:val="Normal"/>
    <w:qFormat/>
    <w:rsid w:val="00e228fa"/>
    <w:pPr/>
    <w:rPr/>
  </w:style>
  <w:style w:type="paragraph" w:styleId="Style2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8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9"/>
    <w:semiHidden/>
    <w:qFormat/>
    <w:rsid w:val="00b714b0"/>
    <w:pPr/>
    <w:rPr>
      <w:b/>
      <w:bCs/>
    </w:rPr>
  </w:style>
  <w:style w:type="paragraph" w:styleId="114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7a3c7d"/>
    <w:pPr>
      <w:tabs>
        <w:tab w:val="clear" w:pos="708"/>
        <w:tab w:val="left" w:pos="426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2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5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4" w:customStyle="1">
    <w:name w:val="Подподпункт"/>
    <w:basedOn w:val="Style2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6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7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abletext" w:customStyle="1">
    <w:name w:val="Table text"/>
    <w:qFormat/>
    <w:rsid w:val="0086277d"/>
    <w:pPr>
      <w:widowControl/>
      <w:suppressAutoHyphens w:val="true"/>
      <w:bidi w:val="0"/>
      <w:spacing w:before="12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118" w:customStyle="1">
    <w:name w:val="Верхний колонтитул1"/>
    <w:basedOn w:val="Normal"/>
    <w:qFormat/>
    <w:rsid w:val="0086277d"/>
    <w:pPr>
      <w:tabs>
        <w:tab w:val="clear" w:pos="708"/>
        <w:tab w:val="center" w:pos="4153" w:leader="none"/>
        <w:tab w:val="right" w:pos="8306" w:leader="none"/>
      </w:tabs>
      <w:spacing w:lineRule="auto" w:line="276" w:before="120" w:after="200"/>
      <w:ind w:firstLine="709"/>
    </w:pPr>
    <w:rPr>
      <w:sz w:val="24"/>
      <w:szCs w:val="20"/>
      <w:lang w:val="en-US" w:eastAsia="en-US" w:bidi="en-US"/>
    </w:rPr>
  </w:style>
  <w:style w:type="paragraph" w:styleId="Style38" w:customStyle="1">
    <w:name w:val="Содержимое врезки"/>
    <w:basedOn w:val="Normal"/>
    <w:qFormat/>
    <w:pPr/>
    <w:rPr/>
  </w:style>
  <w:style w:type="paragraph" w:styleId="Style3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0" w:customStyle="1">
    <w:name w:val="Заголовок таблицы"/>
    <w:basedOn w:val="Style39"/>
    <w:qFormat/>
    <w:pPr>
      <w:jc w:val="center"/>
    </w:pPr>
    <w:rPr>
      <w:b/>
      <w:bCs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2c400b"/>
    <w:pPr>
      <w:ind w:left="280" w:hanging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9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6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F153-C3C0-4406-8C1E-BCB609D7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AlterOffice/3.4.0.9$Linux_X86_64 LibreOffice_project/b8daf9e823b1a5463a2f48435ddc2e8696e7d4fc</Application>
  <AppVersion>15.0000</AppVersion>
  <Pages>7</Pages>
  <Words>1036</Words>
  <Characters>6923</Characters>
  <CharactersWithSpaces>7989</CharactersWithSpaces>
  <Paragraphs>203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2026-08-26T12:18:00Z</dcterms:created>
  <dc:creator>Быстров Олег Геннадьевич</dc:creator>
  <dc:description/>
  <dc:language>ru-RU</dc:language>
  <cp:lastModifiedBy>solyannikovaka@corp.gidroogk.com</cp:lastModifiedBy>
  <cp:lastPrinted>2006-07-26T14:04:00Z</cp:lastPrinted>
  <dcterms:modified xsi:type="dcterms:W3CDTF">2026-08-31T16:22:49Z</dcterms:modified>
  <cp:revision>33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