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9"/>
        <w:shd w:val="clear" w:color="auto" w:fill="auto"/>
        <w:spacing w:lineRule="auto" w:line="240"/>
        <w:ind w:left="5069" w:right="40" w:hanging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auto" w:line="240"/>
        <w:ind w:left="5069" w:right="4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19"/>
        <w:shd w:val="clear" w:color="auto" w:fill="auto"/>
        <w:spacing w:lineRule="exact" w:line="331" w:before="0" w:after="263"/>
        <w:ind w:left="60" w:hanging="0"/>
        <w:jc w:val="center"/>
        <w:rPr>
          <w:b/>
        </w:rPr>
      </w:pPr>
      <w:r>
        <w:rPr>
          <w:b/>
        </w:rPr>
        <w:t xml:space="preserve">ТЕХНИЧЕСКИЕ ТРЕБОВАНИЯ </w:t>
      </w:r>
    </w:p>
    <w:p>
      <w:pPr>
        <w:pStyle w:val="19"/>
        <w:shd w:val="clear" w:color="auto" w:fill="auto"/>
        <w:spacing w:lineRule="exact" w:line="331" w:before="0" w:after="263"/>
        <w:ind w:left="60" w:hanging="0"/>
        <w:jc w:val="center"/>
        <w:rPr>
          <w:i w:val="false"/>
          <w:i w:val="false"/>
          <w:iCs w:val="false"/>
        </w:rPr>
      </w:pPr>
      <w:r>
        <w:rPr>
          <w:i w:val="false"/>
          <w:iCs w:val="false"/>
        </w:rPr>
        <w:t>ОКПД 2 [52.29.19] Оказание транспортно-экспедиторских услуг по транспортировке грузов автомобильным транспортом для нужд Жигулевского филиала АО «Гидроремонт-ВКК».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numPr>
          <w:ilvl w:val="1"/>
          <w:numId w:val="3"/>
        </w:numPr>
        <w:spacing w:before="0" w:after="0"/>
        <w:ind w:left="0" w:hanging="0"/>
        <w:rPr>
          <w:sz w:val="24"/>
          <w:szCs w:val="24"/>
        </w:rPr>
      </w:pPr>
      <w:bookmarkStart w:id="0" w:name="_Toc54643696"/>
      <w:bookmarkStart w:id="1" w:name="_Toc46743506"/>
      <w:bookmarkStart w:id="2" w:name="_Hlk125629695"/>
      <w:bookmarkEnd w:id="2"/>
      <w:r>
        <w:rPr>
          <w:sz w:val="24"/>
          <w:szCs w:val="24"/>
        </w:rPr>
        <w:t>Наименование закупаемой продукции</w:t>
      </w:r>
      <w:bookmarkEnd w:id="0"/>
      <w:bookmarkEnd w:id="1"/>
      <w:r>
        <w:rPr>
          <w:sz w:val="24"/>
          <w:szCs w:val="24"/>
          <w:lang w:val="ru-RU"/>
        </w:rPr>
        <w:t>.</w:t>
      </w:r>
    </w:p>
    <w:p>
      <w:pPr>
        <w:pStyle w:val="19"/>
        <w:shd w:val="clear" w:color="auto" w:fill="auto"/>
        <w:spacing w:lineRule="exact" w:line="331" w:before="0" w:after="263"/>
        <w:ind w:left="60" w:hanging="0"/>
        <w:jc w:val="left"/>
        <w:rPr>
          <w:i w:val="false"/>
          <w:i w:val="false"/>
          <w:iCs w:val="false"/>
          <w:sz w:val="26"/>
          <w:szCs w:val="26"/>
        </w:rPr>
      </w:pPr>
      <w:r>
        <w:rPr>
          <w:rStyle w:val="Style8"/>
          <w:b w:val="false"/>
          <w:bCs/>
          <w:i w:val="false"/>
          <w:iCs w:val="false"/>
          <w:sz w:val="24"/>
          <w:szCs w:val="24"/>
          <w:shd w:fill="FFFFFF" w:val="clear"/>
        </w:rPr>
        <w:t>ОКПД 2 [52.29.19] Оказание транспортно-экспедиторских услуг по транспортировке грузов автомобильным транспортом для нужд Жигулевского филиала АО «Гидроремонт-ВКК» в г.Жигулевск.</w:t>
      </w:r>
    </w:p>
    <w:p>
      <w:pPr>
        <w:pStyle w:val="Heading4"/>
        <w:numPr>
          <w:ilvl w:val="1"/>
          <w:numId w:val="3"/>
        </w:numPr>
        <w:spacing w:before="0" w:after="0"/>
        <w:ind w:left="0" w:hanging="0"/>
        <w:rPr>
          <w:sz w:val="24"/>
          <w:szCs w:val="24"/>
        </w:rPr>
      </w:pPr>
      <w:bookmarkStart w:id="3" w:name="_Toc54643697"/>
      <w:bookmarkStart w:id="4" w:name="_Hlk125629894"/>
      <w:bookmarkStart w:id="5" w:name="_Toc46743507"/>
      <w:r>
        <w:rPr>
          <w:sz w:val="24"/>
          <w:szCs w:val="24"/>
        </w:rPr>
        <w:t xml:space="preserve">Цель </w:t>
      </w:r>
      <w:bookmarkEnd w:id="5"/>
      <w:r>
        <w:rPr>
          <w:sz w:val="24"/>
          <w:szCs w:val="24"/>
        </w:rPr>
        <w:t>оказания услуг</w:t>
      </w:r>
      <w:bookmarkEnd w:id="4"/>
      <w:r>
        <w:rPr>
          <w:sz w:val="24"/>
          <w:szCs w:val="24"/>
        </w:rPr>
        <w:t>.</w:t>
      </w:r>
    </w:p>
    <w:p>
      <w:pPr>
        <w:pStyle w:val="BodyText"/>
        <w:tabs>
          <w:tab w:val="clear" w:pos="708"/>
          <w:tab w:val="left" w:pos="142" w:leader="none"/>
          <w:tab w:val="left" w:pos="426" w:leader="none"/>
          <w:tab w:val="left" w:pos="8789" w:leader="none"/>
        </w:tabs>
        <w:spacing w:before="0" w:after="0"/>
        <w:jc w:val="both"/>
        <w:rPr>
          <w:i w:val="false"/>
          <w:i w:val="false"/>
          <w:iCs w:val="false"/>
          <w:sz w:val="24"/>
          <w:szCs w:val="24"/>
        </w:rPr>
      </w:pPr>
      <w:r>
        <w:rPr>
          <w:bCs/>
          <w:i w:val="false"/>
          <w:iCs w:val="false"/>
          <w:sz w:val="24"/>
          <w:szCs w:val="24"/>
        </w:rPr>
        <w:t>Услуги предназначены для доставк</w:t>
      </w:r>
      <w:r>
        <w:rPr>
          <w:bCs/>
          <w:i w:val="false"/>
          <w:iCs w:val="false"/>
          <w:sz w:val="24"/>
          <w:szCs w:val="24"/>
          <w:shd w:fill="FFFFFF" w:val="clear"/>
        </w:rPr>
        <w:t xml:space="preserve">и </w:t>
      </w:r>
      <w:r>
        <w:rPr>
          <w:bCs/>
          <w:i w:val="false"/>
          <w:iCs w:val="false"/>
          <w:sz w:val="24"/>
          <w:szCs w:val="24"/>
          <w:shd w:fill="FFFFFF" w:val="clear"/>
        </w:rPr>
        <w:t>гр</w:t>
      </w:r>
      <w:r>
        <w:rPr>
          <w:bCs/>
          <w:i w:val="false"/>
          <w:iCs w:val="false"/>
          <w:sz w:val="24"/>
          <w:szCs w:val="24"/>
          <w:shd w:fill="FFFFFF" w:val="clear"/>
        </w:rPr>
        <w:t>анулированного шлака в рамках</w:t>
      </w:r>
      <w:r>
        <w:rPr>
          <w:bCs/>
          <w:i w:val="false"/>
          <w:iCs w:val="false"/>
          <w:sz w:val="24"/>
          <w:szCs w:val="24"/>
          <w:shd w:fill="FFFFFF" w:val="clear"/>
        </w:rPr>
        <w:t xml:space="preserve"> </w:t>
      </w:r>
      <w:r>
        <w:rPr>
          <w:rStyle w:val="Style8"/>
          <w:b w:val="false"/>
          <w:bCs/>
          <w:i w:val="false"/>
          <w:iCs w:val="false"/>
          <w:sz w:val="24"/>
          <w:szCs w:val="24"/>
          <w:shd w:fill="FFFFFF" w:val="clear"/>
        </w:rPr>
        <w:t xml:space="preserve">договора подряда </w:t>
      </w:r>
      <w:r>
        <w:rPr>
          <w:rStyle w:val="Style8"/>
          <w:rFonts w:eastAsia="Calibri" w:cs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x-none" w:bidi="ar-SA"/>
        </w:rPr>
        <w:t xml:space="preserve">№ </w:t>
      </w:r>
      <w:r>
        <w:rPr>
          <w:rStyle w:val="Style8"/>
          <w:rFonts w:eastAsia="Calibri" w:cs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x-none" w:bidi="ar-SA"/>
        </w:rPr>
        <w:t>1090-189-2025/1-ТО-БПД-2025-ЖиГЭС от 21.05.2025 «</w:t>
      </w:r>
      <w:r>
        <w:rPr>
          <w:rStyle w:val="Style8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FFFFFF" w:val="clear"/>
          <w:em w:val="none"/>
        </w:rPr>
        <w:t>Техническое обслуживание электротехнического оборудования собственных нужд</w:t>
      </w:r>
      <w:r>
        <w:rPr>
          <w:rStyle w:val="Style8"/>
          <w:rFonts w:eastAsia="Calibri" w:cs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x-none" w:bidi="ar-SA"/>
        </w:rPr>
        <w:t>», заключенный между филиалом ПАО «РусГидро»-«Жигулевская ГЭС» и Жигулевским филиалом АО «Гидроремонт-ВКК» в г. Жигулевск.</w:t>
      </w:r>
    </w:p>
    <w:p>
      <w:pPr>
        <w:pStyle w:val="Normal"/>
        <w:spacing w:before="0" w:after="0"/>
        <w:ind w:left="0" w:hanging="0"/>
        <w:rPr>
          <w:i w:val="false"/>
          <w:i w:val="false"/>
          <w:iCs w:val="false"/>
          <w:sz w:val="24"/>
          <w:szCs w:val="24"/>
        </w:rPr>
      </w:pPr>
      <w:r>
        <w:rPr>
          <w:i w:val="false"/>
          <w:iCs w:val="false"/>
          <w:sz w:val="24"/>
          <w:szCs w:val="24"/>
        </w:rPr>
      </w:r>
    </w:p>
    <w:p>
      <w:pPr>
        <w:pStyle w:val="Heading4"/>
        <w:numPr>
          <w:ilvl w:val="1"/>
          <w:numId w:val="3"/>
        </w:numPr>
        <w:spacing w:before="0" w:after="0"/>
        <w:ind w:left="0" w:hanging="0"/>
        <w:rPr>
          <w:sz w:val="24"/>
          <w:szCs w:val="24"/>
        </w:rPr>
      </w:pPr>
      <w:r>
        <w:rPr>
          <w:b/>
          <w:sz w:val="24"/>
          <w:szCs w:val="24"/>
        </w:rPr>
        <w:t>Существующее положение.</w:t>
      </w:r>
      <w:r>
        <w:rPr>
          <w:sz w:val="24"/>
          <w:szCs w:val="24"/>
        </w:rPr>
        <w:t xml:space="preserve"> </w:t>
      </w:r>
      <w:bookmarkEnd w:id="3"/>
    </w:p>
    <w:p>
      <w:pPr>
        <w:pStyle w:val="Heading1"/>
        <w:tabs>
          <w:tab w:val="clear" w:pos="0"/>
          <w:tab w:val="left" w:pos="851" w:leader="none"/>
          <w:tab w:val="left" w:pos="993" w:leader="none"/>
        </w:tabs>
        <w:ind w:left="284" w:hanging="0"/>
        <w:rPr>
          <w:sz w:val="24"/>
          <w:szCs w:val="24"/>
        </w:rPr>
      </w:pPr>
      <w:bookmarkStart w:id="6" w:name="_Toc54643699"/>
      <w:r>
        <w:rPr>
          <w:sz w:val="24"/>
          <w:szCs w:val="24"/>
        </w:rPr>
        <w:t>Таблица 1. Перечень объектов заказчика</w:t>
      </w:r>
      <w:bookmarkEnd w:id="6"/>
      <w:r>
        <w:rPr>
          <w:sz w:val="24"/>
          <w:szCs w:val="24"/>
        </w:rPr>
        <w:t>.</w:t>
      </w:r>
    </w:p>
    <w:tbl>
      <w:tblPr>
        <w:tblStyle w:val="affff4"/>
        <w:tblW w:w="10110" w:type="dxa"/>
        <w:jc w:val="left"/>
        <w:tblInd w:w="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75"/>
        <w:gridCol w:w="2501"/>
        <w:gridCol w:w="2970"/>
        <w:gridCol w:w="2419"/>
        <w:gridCol w:w="1545"/>
      </w:tblGrid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  <w:t xml:space="preserve">№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  <w:t>п/п</w:t>
            </w:r>
          </w:p>
        </w:tc>
        <w:tc>
          <w:tcPr>
            <w:tcW w:w="25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Наименование объекта (услуг)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x-none" w:eastAsia="x-none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x-none" w:eastAsia="x-none" w:bidi="ar-SA"/>
              </w:rPr>
            </w:r>
          </w:p>
        </w:tc>
        <w:tc>
          <w:tcPr>
            <w:tcW w:w="29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 xml:space="preserve">Расположение объекта </w:t>
              <w:br/>
              <w:t>(место оказания услуг)</w:t>
            </w:r>
          </w:p>
        </w:tc>
        <w:tc>
          <w:tcPr>
            <w:tcW w:w="241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54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000000" w:themeColor="text1"/>
                <w:kern w:val="0"/>
                <w:sz w:val="24"/>
                <w:szCs w:val="24"/>
                <w:lang w:val="ru-RU" w:eastAsia="ru-RU" w:bidi="ar-SA"/>
              </w:rPr>
              <w:t>Примечание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  <w:t>1.</w:t>
            </w:r>
          </w:p>
        </w:tc>
        <w:tc>
          <w:tcPr>
            <w:tcW w:w="2501" w:type="dxa"/>
            <w:tcBorders/>
          </w:tcPr>
          <w:p>
            <w:pPr>
              <w:pStyle w:val="19"/>
              <w:widowControl w:val="false"/>
              <w:shd w:val="clear" w:color="auto" w:fill="auto"/>
              <w:spacing w:lineRule="exact" w:line="331" w:before="0" w:after="263"/>
              <w:ind w:left="60" w:hanging="0"/>
              <w:jc w:val="left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Оказание транспортно-экспедиторских услуг по транспортировке грузов автомобильным транспортом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x-none" w:bidi="ar-SA"/>
              </w:rPr>
            </w:r>
          </w:p>
        </w:tc>
        <w:tc>
          <w:tcPr>
            <w:tcW w:w="29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shd w:fill="FFFFFF" w:val="clear"/>
                <w:lang w:val="ru-RU" w:eastAsia="x-none" w:bidi="ar-SA"/>
              </w:rPr>
              <w:t xml:space="preserve">Маршрут перевозки: </w:t>
              <w:br/>
            </w: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Адрес отправки: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Кемеровская область, 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г.</w:t>
            </w:r>
            <w:r>
              <w:rPr>
                <w:rFonts w:eastAsia="Times New Roman" w:cs="Times New Roman"/>
                <w:i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Новокузнецк, шоссе Северное, д.6, цех шлакопереработки АО «СГМК»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Cs/>
                <w:i/>
                <w:i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eastAsia="Calibri"/>
                <w:bCs/>
                <w:i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b/>
                <w:bCs/>
                <w:i/>
                <w:i/>
                <w:sz w:val="24"/>
                <w:szCs w:val="24"/>
              </w:rPr>
            </w:pPr>
            <w:r>
              <w:rPr>
                <w:rFonts w:eastAsia="Calibri" w:cs="Times New Roman"/>
                <w:b/>
                <w:bCs/>
                <w:i/>
                <w:kern w:val="0"/>
                <w:sz w:val="24"/>
                <w:szCs w:val="24"/>
                <w:lang w:val="ru-RU" w:eastAsia="ru-RU" w:bidi="ar-SA"/>
              </w:rPr>
              <w:t>Адрес доставки: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 w:val="false"/>
                <w:bCs w:val="false"/>
                <w:i/>
                <w:i/>
                <w:iCs/>
                <w:kern w:val="0"/>
                <w:lang w:val="ru-RU" w:eastAsia="ru-RU" w:bidi="ar-SA"/>
              </w:rPr>
            </w:pPr>
            <w:r>
              <w:rPr>
                <w:rFonts w:eastAsia="Calibri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Самарская обл. г. Жигулевск, Московское ш.2 </w:t>
            </w:r>
            <w:r>
              <w:rPr>
                <w:rFonts w:eastAsia="Times New Roman" w:cs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Филиал ПАО «РусГидро» — «Жигулевская ГЭС»</w:t>
            </w:r>
          </w:p>
        </w:tc>
        <w:tc>
          <w:tcPr>
            <w:tcW w:w="2419" w:type="dxa"/>
            <w:tcBorders/>
            <w:shd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i/>
                <w:kern w:val="0"/>
                <w:sz w:val="24"/>
                <w:szCs w:val="24"/>
                <w:shd w:fill="FFFFFF" w:val="clear"/>
                <w:lang w:val="ru-RU" w:eastAsia="x-none" w:bidi="ar-SA"/>
              </w:rPr>
              <w:t>Гранулированный шлак</w:t>
            </w:r>
          </w:p>
        </w:tc>
        <w:tc>
          <w:tcPr>
            <w:tcW w:w="154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x-none" w:eastAsia="x-none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x-none" w:eastAsia="x-none" w:bidi="ar-SA"/>
              </w:rPr>
            </w:r>
          </w:p>
        </w:tc>
      </w:tr>
    </w:tbl>
    <w:p>
      <w:pPr>
        <w:pStyle w:val="Heading4"/>
        <w:numPr>
          <w:ilvl w:val="1"/>
          <w:numId w:val="3"/>
        </w:numPr>
        <w:spacing w:before="0" w:after="0"/>
        <w:ind w:left="0" w:hanging="0"/>
        <w:rPr>
          <w:i w:val="false"/>
          <w:i w:val="false"/>
          <w:iCs w:val="false"/>
          <w:sz w:val="24"/>
          <w:szCs w:val="24"/>
        </w:rPr>
      </w:pPr>
      <w:bookmarkStart w:id="7" w:name="_Toc46743509"/>
      <w:bookmarkStart w:id="8" w:name="_Hlk49857604"/>
      <w:r>
        <w:rPr>
          <w:i w:val="false"/>
          <w:iCs w:val="false"/>
          <w:color w:val="000000" w:themeColor="text1"/>
          <w:sz w:val="24"/>
          <w:szCs w:val="24"/>
          <w:lang w:val="ru-RU"/>
        </w:rPr>
        <w:t xml:space="preserve">Информация в отношении исполнения договора, </w:t>
      </w:r>
      <w:bookmarkStart w:id="9" w:name="_Hlk46492347"/>
      <w:r>
        <w:rPr>
          <w:i w:val="false"/>
          <w:iCs w:val="false"/>
          <w:color w:val="000000" w:themeColor="text1"/>
          <w:sz w:val="24"/>
          <w:szCs w:val="24"/>
          <w:lang w:val="ru-RU"/>
        </w:rPr>
        <w:t xml:space="preserve">которая должна быть учтена при подготовке заявки </w:t>
      </w:r>
      <w:bookmarkEnd w:id="9"/>
      <w:r>
        <w:rPr>
          <w:i w:val="false"/>
          <w:iCs w:val="false"/>
          <w:color w:val="000000" w:themeColor="text1"/>
          <w:sz w:val="24"/>
          <w:szCs w:val="24"/>
          <w:lang w:val="ru-RU"/>
        </w:rPr>
        <w:t>(в том числе перечень ресурсов, услуг и документов, предоставляемых заказчиком на этапе исполнения договора)</w:t>
      </w:r>
      <w:bookmarkEnd w:id="7"/>
      <w:bookmarkEnd w:id="8"/>
      <w:r>
        <w:rPr>
          <w:i w:val="false"/>
          <w:iCs w:val="false"/>
          <w:sz w:val="24"/>
          <w:szCs w:val="24"/>
          <w:lang w:val="ru-RU"/>
        </w:rPr>
        <w:t>.</w:t>
      </w:r>
    </w:p>
    <w:p>
      <w:pPr>
        <w:pStyle w:val="Heading3"/>
        <w:numPr>
          <w:ilvl w:val="2"/>
          <w:numId w:val="3"/>
        </w:numPr>
        <w:spacing w:before="0" w:after="0"/>
        <w:ind w:left="0" w:hanging="0"/>
        <w:rPr>
          <w:i w:val="false"/>
          <w:i w:val="false"/>
          <w:iCs w:val="false"/>
          <w:sz w:val="24"/>
          <w:szCs w:val="24"/>
        </w:rPr>
      </w:pPr>
      <w:r>
        <w:rPr>
          <w:b w:val="false"/>
          <w:i w:val="false"/>
          <w:iCs w:val="false"/>
          <w:sz w:val="24"/>
          <w:szCs w:val="24"/>
        </w:rPr>
        <w:t xml:space="preserve">Заказчик планирует </w:t>
      </w:r>
      <w:r>
        <w:rPr>
          <w:b w:val="false"/>
          <w:i w:val="false"/>
          <w:iCs w:val="false"/>
          <w:sz w:val="24"/>
          <w:szCs w:val="24"/>
          <w:lang w:val="ru-RU"/>
        </w:rPr>
        <w:t>перевозить</w:t>
      </w:r>
      <w:r>
        <w:rPr>
          <w:b w:val="false"/>
          <w:i w:val="false"/>
          <w:iCs w:val="false"/>
          <w:sz w:val="24"/>
          <w:szCs w:val="24"/>
        </w:rPr>
        <w:t xml:space="preserve"> </w:t>
      </w:r>
      <w:r>
        <w:rPr>
          <w:b w:val="false"/>
          <w:i w:val="false"/>
          <w:iCs w:val="false"/>
          <w:sz w:val="24"/>
          <w:szCs w:val="24"/>
          <w:lang w:val="ru-RU"/>
        </w:rPr>
        <w:t xml:space="preserve">грузы </w:t>
      </w:r>
      <w:r>
        <w:rPr>
          <w:b w:val="false"/>
          <w:i w:val="false"/>
          <w:iCs w:val="false"/>
          <w:sz w:val="24"/>
          <w:szCs w:val="24"/>
        </w:rPr>
        <w:t xml:space="preserve">в соответствии с </w:t>
      </w:r>
      <w:r>
        <w:rPr>
          <w:b w:val="false"/>
          <w:i w:val="false"/>
          <w:iCs w:val="false"/>
          <w:sz w:val="24"/>
          <w:szCs w:val="24"/>
          <w:lang w:val="ru-RU"/>
        </w:rPr>
        <w:t> табл. 1. и табл.2</w:t>
      </w:r>
      <w:r>
        <w:rPr>
          <w:b w:val="false"/>
          <w:i w:val="false"/>
          <w:iCs w:val="false"/>
          <w:sz w:val="24"/>
          <w:szCs w:val="24"/>
        </w:rPr>
        <w:t>.</w:t>
      </w:r>
      <w:r>
        <w:rPr>
          <w:b w:val="false"/>
          <w:i w:val="false"/>
          <w:iCs w:val="false"/>
          <w:sz w:val="24"/>
          <w:szCs w:val="24"/>
          <w:lang w:val="ru-RU"/>
        </w:rPr>
        <w:t xml:space="preserve"> настоящих Технических требований)</w:t>
      </w:r>
      <w:r>
        <w:rPr>
          <w:b w:val="false"/>
          <w:i w:val="false"/>
          <w:iCs w:val="false"/>
          <w:sz w:val="24"/>
          <w:szCs w:val="24"/>
        </w:rPr>
        <w:t xml:space="preserve">. </w:t>
      </w:r>
    </w:p>
    <w:p>
      <w:pPr>
        <w:pStyle w:val="Heading3"/>
        <w:numPr>
          <w:ilvl w:val="2"/>
          <w:numId w:val="3"/>
        </w:numPr>
        <w:spacing w:before="0" w:after="0"/>
        <w:ind w:left="0" w:hanging="0"/>
        <w:rPr>
          <w:i w:val="false"/>
          <w:i w:val="false"/>
          <w:iCs w:val="false"/>
          <w:sz w:val="24"/>
          <w:szCs w:val="24"/>
        </w:rPr>
      </w:pPr>
      <w:r>
        <w:rPr>
          <w:b w:val="false"/>
          <w:i w:val="false"/>
          <w:iCs w:val="false"/>
          <w:sz w:val="24"/>
          <w:szCs w:val="24"/>
          <w:lang w:eastAsia="en-US"/>
        </w:rPr>
        <w:t xml:space="preserve">Перевозка </w:t>
      </w:r>
      <w:r>
        <w:rPr>
          <w:b w:val="false"/>
          <w:i w:val="false"/>
          <w:iCs w:val="false"/>
          <w:sz w:val="24"/>
          <w:szCs w:val="24"/>
          <w:lang w:val="ru-RU" w:eastAsia="en-US"/>
        </w:rPr>
        <w:t>грузов</w:t>
      </w:r>
      <w:r>
        <w:rPr>
          <w:b w:val="false"/>
          <w:i w:val="false"/>
          <w:iCs w:val="false"/>
          <w:sz w:val="24"/>
          <w:szCs w:val="24"/>
          <w:lang w:eastAsia="en-US"/>
        </w:rPr>
        <w:t xml:space="preserve"> должна осуществляться в соответствии с законодательством РФ</w:t>
      </w:r>
      <w:r>
        <w:rPr>
          <w:b w:val="false"/>
          <w:i w:val="false"/>
          <w:iCs w:val="false"/>
          <w:sz w:val="24"/>
          <w:szCs w:val="24"/>
        </w:rPr>
        <w:t>.</w:t>
      </w:r>
    </w:p>
    <w:p>
      <w:pPr>
        <w:pStyle w:val="Heading3"/>
        <w:numPr>
          <w:ilvl w:val="2"/>
          <w:numId w:val="3"/>
        </w:numPr>
        <w:spacing w:before="0" w:after="0"/>
        <w:ind w:left="0" w:hanging="0"/>
        <w:rPr/>
      </w:pPr>
      <w:r>
        <w:rPr>
          <w:b w:val="false"/>
          <w:i w:val="false"/>
          <w:iCs w:val="false"/>
          <w:sz w:val="24"/>
          <w:szCs w:val="24"/>
        </w:rPr>
        <w:t xml:space="preserve">Перевозка </w:t>
      </w:r>
      <w:r>
        <w:rPr>
          <w:b w:val="false"/>
          <w:i w:val="false"/>
          <w:iCs w:val="false"/>
          <w:sz w:val="24"/>
          <w:szCs w:val="24"/>
          <w:lang w:val="ru-RU" w:eastAsia="en-US"/>
        </w:rPr>
        <w:t xml:space="preserve">грузов </w:t>
      </w:r>
      <w:r>
        <w:rPr>
          <w:b w:val="false"/>
          <w:i w:val="false"/>
          <w:iCs w:val="false"/>
          <w:sz w:val="24"/>
          <w:szCs w:val="24"/>
        </w:rPr>
        <w:t xml:space="preserve">должна быть согласована </w:t>
      </w:r>
      <w:r>
        <w:rPr>
          <w:rStyle w:val="Apple-converted-space"/>
          <w:b w:val="false"/>
          <w:i w:val="false"/>
          <w:iCs w:val="false"/>
          <w:color w:val="666666"/>
          <w:sz w:val="24"/>
          <w:szCs w:val="24"/>
        </w:rPr>
        <w:t> </w:t>
      </w:r>
      <w:r>
        <w:rPr>
          <w:b w:val="false"/>
          <w:i w:val="false"/>
          <w:iCs w:val="false"/>
          <w:sz w:val="24"/>
          <w:szCs w:val="24"/>
        </w:rPr>
        <w:t>по всему маршруту движения с органами управления автомобильными дорогами, балансодержателями искусственных сооружений и коммуникаций, отделениями железных дорог (мосты, путепроводы, железнодорожные переезды,  подземные трубопроводы и кабели, воздушные линии электроснабжения и связи и т.п.), службами, уполномоченными органами субъекта Российской Федерации или органами местного самоуправления, управлять улично-дорожной сетью городов и других населенных пунктов.</w:t>
      </w:r>
    </w:p>
    <w:p>
      <w:pPr>
        <w:pStyle w:val="Heading3"/>
        <w:numPr>
          <w:ilvl w:val="2"/>
          <w:numId w:val="3"/>
        </w:numPr>
        <w:spacing w:before="0" w:after="0"/>
        <w:ind w:left="0" w:hanging="0"/>
        <w:rPr>
          <w:i w:val="false"/>
          <w:i w:val="false"/>
          <w:iCs w:val="false"/>
          <w:sz w:val="24"/>
          <w:szCs w:val="24"/>
        </w:rPr>
      </w:pPr>
      <w:r>
        <w:rPr>
          <w:b w:val="false"/>
          <w:i w:val="false"/>
          <w:iCs w:val="false"/>
          <w:sz w:val="24"/>
          <w:szCs w:val="24"/>
        </w:rPr>
        <w:t xml:space="preserve">Исполнитель обязан нести все расходы, включая, но не ограничиваясь расходы на заработную плату членам экипажей, оплату топлива, горюче-смазочных материалов и эксплуатационных жидкостей, оплату ремонта и запасных частей для </w:t>
      </w:r>
      <w:r>
        <w:rPr>
          <w:b w:val="false"/>
          <w:i w:val="false"/>
          <w:iCs w:val="false"/>
          <w:sz w:val="24"/>
          <w:szCs w:val="24"/>
          <w:lang w:val="ru-RU"/>
        </w:rPr>
        <w:t>автомобильного транспорта</w:t>
      </w:r>
      <w:r>
        <w:rPr>
          <w:b w:val="false"/>
          <w:i w:val="false"/>
          <w:iCs w:val="false"/>
          <w:sz w:val="24"/>
          <w:szCs w:val="24"/>
        </w:rPr>
        <w:t xml:space="preserve">, оплату стоимости налоговых пошлин, страховых сборов, оплату штрафов, и иных расходов, возникающих в связи с </w:t>
      </w:r>
      <w:r>
        <w:rPr>
          <w:b w:val="false"/>
          <w:i w:val="false"/>
          <w:iCs w:val="false"/>
          <w:sz w:val="24"/>
          <w:szCs w:val="24"/>
          <w:lang w:val="ru-RU"/>
        </w:rPr>
        <w:t>перевозкой грузов</w:t>
      </w:r>
      <w:r>
        <w:rPr>
          <w:b w:val="false"/>
          <w:i w:val="false"/>
          <w:iCs w:val="false"/>
          <w:sz w:val="24"/>
          <w:szCs w:val="24"/>
        </w:rPr>
        <w:t>.</w:t>
      </w:r>
    </w:p>
    <w:p>
      <w:pPr>
        <w:pStyle w:val="Heading3"/>
        <w:numPr>
          <w:ilvl w:val="2"/>
          <w:numId w:val="3"/>
        </w:numPr>
        <w:spacing w:before="0" w:after="0"/>
        <w:ind w:left="0" w:hanging="0"/>
        <w:rPr>
          <w:i w:val="false"/>
          <w:i w:val="false"/>
          <w:iCs w:val="false"/>
          <w:sz w:val="24"/>
          <w:szCs w:val="24"/>
        </w:rPr>
      </w:pPr>
      <w:r>
        <w:rPr>
          <w:b w:val="false"/>
          <w:i w:val="false"/>
          <w:iCs w:val="false"/>
          <w:color w:val="000000"/>
          <w:sz w:val="24"/>
          <w:szCs w:val="24"/>
          <w:shd w:fill="FFFFFF" w:val="clear"/>
        </w:rPr>
        <w:t xml:space="preserve">Исполнитель обязан обеспечить диспетчерский контроль за перевозкой </w:t>
      </w:r>
      <w:r>
        <w:rPr>
          <w:b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грузов</w:t>
      </w:r>
      <w:r>
        <w:rPr>
          <w:b w:val="false"/>
          <w:i w:val="false"/>
          <w:iCs w:val="false"/>
          <w:color w:val="000000"/>
          <w:sz w:val="24"/>
          <w:szCs w:val="24"/>
          <w:shd w:fill="FFFFFF" w:val="clear"/>
        </w:rPr>
        <w:t xml:space="preserve">, при возникновении нештатной ситуации, немедленно принять меры для устранения факторов способных повлиять на не своевременную доставку груза в пункт назначения, незамедлительно информировать Заказчика обо всех случаях задержки транспортных средств, которые повлекли или могут повлечь за собой нарушение срока </w:t>
      </w:r>
      <w:r>
        <w:rPr>
          <w:b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перевозки</w:t>
      </w:r>
      <w:r>
        <w:rPr>
          <w:b w:val="false"/>
          <w:i w:val="false"/>
          <w:iCs w:val="false"/>
          <w:color w:val="000000"/>
          <w:sz w:val="24"/>
          <w:szCs w:val="24"/>
          <w:shd w:fill="FFFFFF" w:val="clear"/>
        </w:rPr>
        <w:t xml:space="preserve">, или не обеспечение </w:t>
      </w:r>
      <w:r>
        <w:rPr>
          <w:b w:val="false"/>
          <w:i w:val="false"/>
          <w:iCs w:val="false"/>
          <w:color w:val="000000"/>
          <w:sz w:val="24"/>
          <w:szCs w:val="24"/>
          <w:shd w:fill="FFFFFF" w:val="clear"/>
          <w:lang w:val="ru-RU"/>
        </w:rPr>
        <w:t>их</w:t>
      </w:r>
      <w:r>
        <w:rPr>
          <w:b w:val="false"/>
          <w:i w:val="false"/>
          <w:iCs w:val="false"/>
          <w:color w:val="000000"/>
          <w:sz w:val="24"/>
          <w:szCs w:val="24"/>
          <w:shd w:fill="FFFFFF" w:val="clear"/>
        </w:rPr>
        <w:t xml:space="preserve"> сохранности с указанием причин возникновения</w:t>
      </w:r>
      <w:r>
        <w:rPr>
          <w:b w:val="false"/>
          <w:i w:val="false"/>
          <w:iCs w:val="false"/>
          <w:sz w:val="24"/>
          <w:szCs w:val="24"/>
        </w:rPr>
        <w:t>.</w:t>
      </w:r>
    </w:p>
    <w:p>
      <w:pPr>
        <w:pStyle w:val="Heading3"/>
        <w:spacing w:before="0" w:after="0"/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Heading1"/>
        <w:numPr>
          <w:ilvl w:val="0"/>
          <w:numId w:val="3"/>
        </w:numPr>
        <w:ind w:left="426" w:hanging="360"/>
        <w:rPr>
          <w:sz w:val="24"/>
          <w:szCs w:val="24"/>
        </w:rPr>
      </w:pPr>
      <w:bookmarkStart w:id="10" w:name="_Toc51339693"/>
      <w:bookmarkStart w:id="11" w:name="_Toc54643702"/>
      <w:r>
        <w:rPr>
          <w:sz w:val="24"/>
          <w:szCs w:val="24"/>
          <w:lang w:val="ru-RU"/>
        </w:rPr>
        <w:t>Требования</w:t>
      </w:r>
      <w:r>
        <w:rPr>
          <w:sz w:val="24"/>
          <w:szCs w:val="24"/>
        </w:rPr>
        <w:t xml:space="preserve"> к продукции</w:t>
      </w:r>
      <w:bookmarkEnd w:id="10"/>
      <w:bookmarkEnd w:id="11"/>
    </w:p>
    <w:p>
      <w:pPr>
        <w:pStyle w:val="Heading4"/>
        <w:numPr>
          <w:ilvl w:val="1"/>
          <w:numId w:val="3"/>
        </w:numPr>
        <w:ind w:left="567" w:hanging="432"/>
        <w:rPr>
          <w:sz w:val="24"/>
          <w:szCs w:val="24"/>
        </w:rPr>
      </w:pPr>
      <w:bookmarkStart w:id="12" w:name="_Toc54643703"/>
      <w:r>
        <w:rPr>
          <w:sz w:val="24"/>
          <w:szCs w:val="24"/>
        </w:rPr>
        <w:t xml:space="preserve">Требования к объемам и срокам </w:t>
      </w:r>
      <w:r>
        <w:rPr>
          <w:sz w:val="24"/>
          <w:szCs w:val="24"/>
          <w:lang w:val="ru-RU"/>
        </w:rPr>
        <w:t>оказания услуг</w:t>
      </w:r>
      <w:bookmarkEnd w:id="12"/>
    </w:p>
    <w:p>
      <w:pPr>
        <w:pStyle w:val="Heading3"/>
        <w:numPr>
          <w:ilvl w:val="2"/>
          <w:numId w:val="3"/>
        </w:numPr>
        <w:ind w:left="567" w:hanging="504"/>
        <w:rPr>
          <w:sz w:val="24"/>
          <w:szCs w:val="24"/>
        </w:rPr>
      </w:pPr>
      <w:bookmarkStart w:id="13" w:name="_Toc54643704"/>
      <w:r>
        <w:rPr>
          <w:sz w:val="24"/>
          <w:szCs w:val="24"/>
        </w:rPr>
        <w:t>Требования к перечню и объему услуг</w:t>
      </w:r>
      <w:bookmarkEnd w:id="13"/>
    </w:p>
    <w:p>
      <w:pPr>
        <w:pStyle w:val="Heading1"/>
        <w:tabs>
          <w:tab w:val="clear" w:pos="0"/>
          <w:tab w:val="left" w:pos="851" w:leader="none"/>
          <w:tab w:val="left" w:pos="993" w:leader="none"/>
        </w:tabs>
        <w:ind w:left="426" w:hanging="0"/>
        <w:rPr>
          <w:sz w:val="24"/>
          <w:szCs w:val="24"/>
        </w:rPr>
      </w:pPr>
      <w:bookmarkStart w:id="14" w:name="_Toc54643705"/>
      <w:bookmarkStart w:id="15" w:name="_Toc51339695"/>
      <w:r>
        <w:rPr>
          <w:sz w:val="24"/>
          <w:szCs w:val="24"/>
        </w:rPr>
        <w:t xml:space="preserve">Таблица 2. Перечень </w:t>
      </w:r>
      <w:bookmarkEnd w:id="15"/>
      <w:r>
        <w:rPr>
          <w:sz w:val="24"/>
          <w:szCs w:val="24"/>
        </w:rPr>
        <w:t>и объем оказываемых услуг</w:t>
      </w:r>
      <w:bookmarkEnd w:id="14"/>
    </w:p>
    <w:tbl>
      <w:tblPr>
        <w:tblW w:w="98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641"/>
        <w:gridCol w:w="2199"/>
        <w:gridCol w:w="2120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п/п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груза / этапа услуг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1</w:t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2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3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b/>
                <w:i w:val="false"/>
                <w:iCs w:val="false"/>
                <w:sz w:val="24"/>
                <w:szCs w:val="24"/>
              </w:rPr>
              <w:t>4</w:t>
            </w:r>
          </w:p>
        </w:tc>
      </w:tr>
      <w:tr>
        <w:trPr>
          <w:trHeight w:val="493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4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b/>
                <w:i/>
                <w:sz w:val="24"/>
                <w:szCs w:val="20"/>
                <w:shd w:fill="FFFFFF" w:val="clear"/>
              </w:rPr>
              <w:t>Гранулированный шлак</w:t>
            </w:r>
            <w:r>
              <w:rPr>
                <w:b/>
                <w:i/>
                <w:sz w:val="24"/>
                <w:szCs w:val="20"/>
                <w:shd w:fill="FFFFFF" w:val="clear"/>
              </w:rPr>
              <w:t xml:space="preserve"> в </w:t>
            </w:r>
            <w:r>
              <w:rPr>
                <w:b/>
                <w:i/>
                <w:sz w:val="24"/>
                <w:szCs w:val="20"/>
                <w:shd w:fill="FFFFFF" w:val="clear"/>
              </w:rPr>
              <w:t>упаковке (бигбэг)</w:t>
            </w:r>
            <w:r>
              <w:rPr>
                <w:b/>
                <w:i/>
                <w:sz w:val="24"/>
                <w:szCs w:val="20"/>
                <w:shd w:fill="FFFFFF" w:val="clear"/>
              </w:rPr>
              <w:t xml:space="preserve">: </w:t>
            </w:r>
          </w:p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i/>
                <w:sz w:val="24"/>
                <w:szCs w:val="20"/>
                <w:shd w:fill="FFFFFF" w:val="clear"/>
              </w:rPr>
              <w:t xml:space="preserve">Длина </w:t>
            </w:r>
            <w:r>
              <w:rPr>
                <w:i/>
                <w:sz w:val="24"/>
                <w:szCs w:val="20"/>
                <w:shd w:fill="FFFFFF" w:val="clear"/>
                <w:lang w:val="en-US"/>
              </w:rPr>
              <w:t>l</w:t>
            </w:r>
            <w:r>
              <w:rPr>
                <w:i/>
                <w:sz w:val="24"/>
                <w:szCs w:val="20"/>
                <w:shd w:fill="FFFFFF" w:val="clear"/>
              </w:rPr>
              <w:t xml:space="preserve">, мм – </w:t>
            </w:r>
            <w:r>
              <w:rPr>
                <w:i/>
                <w:sz w:val="24"/>
                <w:szCs w:val="20"/>
                <w:shd w:fill="FFFFFF" w:val="clear"/>
              </w:rPr>
              <w:t>75</w:t>
            </w:r>
            <w:r>
              <w:rPr>
                <w:i/>
                <w:sz w:val="24"/>
                <w:szCs w:val="20"/>
                <w:shd w:fill="FFFFFF" w:val="clear"/>
              </w:rPr>
              <w:t xml:space="preserve">0; </w:t>
            </w:r>
          </w:p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i/>
                <w:sz w:val="24"/>
                <w:szCs w:val="20"/>
                <w:shd w:fill="FFFFFF" w:val="clear"/>
              </w:rPr>
              <w:t xml:space="preserve">Ширина </w:t>
            </w:r>
            <w:r>
              <w:rPr>
                <w:i/>
                <w:sz w:val="24"/>
                <w:szCs w:val="20"/>
                <w:shd w:fill="FFFFFF" w:val="clear"/>
                <w:lang w:val="en-US"/>
              </w:rPr>
              <w:t>b</w:t>
            </w:r>
            <w:r>
              <w:rPr>
                <w:i/>
                <w:sz w:val="24"/>
                <w:szCs w:val="20"/>
                <w:shd w:fill="FFFFFF" w:val="clear"/>
              </w:rPr>
              <w:t xml:space="preserve">, мм – </w:t>
            </w:r>
            <w:r>
              <w:rPr>
                <w:i/>
                <w:sz w:val="24"/>
                <w:szCs w:val="20"/>
                <w:shd w:fill="FFFFFF" w:val="clear"/>
              </w:rPr>
              <w:t>75</w:t>
            </w:r>
            <w:r>
              <w:rPr>
                <w:i/>
                <w:sz w:val="24"/>
                <w:szCs w:val="20"/>
                <w:shd w:fill="FFFFFF" w:val="clear"/>
              </w:rPr>
              <w:t>0;</w:t>
            </w:r>
          </w:p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i/>
                <w:sz w:val="24"/>
                <w:szCs w:val="20"/>
                <w:shd w:fill="FFFFFF" w:val="clear"/>
              </w:rPr>
              <w:t xml:space="preserve">Высота </w:t>
            </w:r>
            <w:r>
              <w:rPr>
                <w:i/>
                <w:sz w:val="24"/>
                <w:szCs w:val="20"/>
                <w:shd w:fill="FFFFFF" w:val="clear"/>
                <w:lang w:val="en-US"/>
              </w:rPr>
              <w:t>h</w:t>
            </w:r>
            <w:r>
              <w:rPr>
                <w:i/>
                <w:sz w:val="24"/>
                <w:szCs w:val="20"/>
                <w:shd w:fill="FFFFFF" w:val="clear"/>
              </w:rPr>
              <w:t>, мм – 1</w:t>
            </w:r>
            <w:r>
              <w:rPr>
                <w:i/>
                <w:sz w:val="24"/>
                <w:szCs w:val="20"/>
                <w:shd w:fill="FFFFFF" w:val="clear"/>
              </w:rPr>
              <w:t>25</w:t>
            </w:r>
            <w:r>
              <w:rPr>
                <w:i/>
                <w:sz w:val="24"/>
                <w:szCs w:val="20"/>
                <w:shd w:fill="FFFFFF" w:val="clear"/>
              </w:rPr>
              <w:t>0;</w:t>
            </w:r>
          </w:p>
          <w:p>
            <w:pPr>
              <w:pStyle w:val="Normal"/>
              <w:widowControl w:val="false"/>
              <w:rPr>
                <w:highlight w:val="none"/>
                <w:shd w:fill="FFFFFF" w:val="clear"/>
              </w:rPr>
            </w:pPr>
            <w:r>
              <w:rPr>
                <w:b w:val="false"/>
                <w:bCs w:val="false"/>
                <w:i/>
                <w:iCs w:val="false"/>
                <w:sz w:val="24"/>
                <w:szCs w:val="20"/>
                <w:shd w:fill="FFFFFF" w:val="clear"/>
              </w:rPr>
              <w:t>Вес, кг –</w:t>
            </w:r>
            <w:r>
              <w:rPr>
                <w:b w:val="false"/>
                <w:bCs w:val="false"/>
                <w:i/>
                <w:iCs w:val="false"/>
                <w:sz w:val="24"/>
                <w:szCs w:val="20"/>
                <w:shd w:fill="FFFFFF" w:val="clear"/>
              </w:rPr>
              <w:t>1000</w:t>
            </w:r>
            <w:r>
              <w:rPr>
                <w:b w:val="false"/>
                <w:bCs w:val="false"/>
                <w:i/>
                <w:iCs w:val="false"/>
                <w:sz w:val="24"/>
                <w:szCs w:val="20"/>
                <w:shd w:fill="FFFFFF" w:val="clear"/>
              </w:rPr>
              <w:t>;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i w:val="false"/>
                <w:iCs w:val="false"/>
                <w:sz w:val="24"/>
                <w:szCs w:val="24"/>
                <w:shd w:fill="FFFFFF" w:val="clear"/>
              </w:rPr>
              <w:t>шт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i w:val="false"/>
                <w:iCs w:val="false"/>
                <w:sz w:val="24"/>
                <w:szCs w:val="24"/>
                <w:shd w:fill="FFFFFF" w:val="clear"/>
              </w:rPr>
              <w:t>40</w:t>
            </w:r>
          </w:p>
        </w:tc>
      </w:tr>
    </w:tbl>
    <w:p>
      <w:pPr>
        <w:pStyle w:val="Heading3"/>
        <w:numPr>
          <w:ilvl w:val="2"/>
          <w:numId w:val="3"/>
        </w:numPr>
        <w:ind w:left="567" w:hanging="504"/>
        <w:rPr>
          <w:sz w:val="24"/>
          <w:szCs w:val="24"/>
        </w:rPr>
      </w:pPr>
      <w:bookmarkStart w:id="16" w:name="_Toc54643706"/>
      <w:bookmarkStart w:id="17" w:name="_Toc51339696"/>
      <w:r>
        <w:rPr>
          <w:sz w:val="24"/>
          <w:szCs w:val="24"/>
        </w:rPr>
        <w:t xml:space="preserve">Требования </w:t>
      </w:r>
      <w:bookmarkEnd w:id="17"/>
      <w:r>
        <w:rPr>
          <w:sz w:val="24"/>
          <w:szCs w:val="24"/>
        </w:rPr>
        <w:t>к срокам оказания услуг</w:t>
      </w:r>
      <w:bookmarkEnd w:id="16"/>
    </w:p>
    <w:p>
      <w:pPr>
        <w:pStyle w:val="Heading1"/>
        <w:tabs>
          <w:tab w:val="clear" w:pos="0"/>
          <w:tab w:val="left" w:pos="851" w:leader="none"/>
          <w:tab w:val="left" w:pos="993" w:leader="none"/>
        </w:tabs>
        <w:ind w:left="426" w:hanging="0"/>
        <w:rPr>
          <w:sz w:val="24"/>
          <w:szCs w:val="24"/>
        </w:rPr>
      </w:pPr>
      <w:bookmarkStart w:id="18" w:name="_Toc54643707"/>
      <w:bookmarkStart w:id="19" w:name="_Toc50125127"/>
      <w:bookmarkStart w:id="20" w:name="_Toc51339697"/>
      <w:bookmarkStart w:id="21" w:name="_Toc50125126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2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9"/>
      <w:bookmarkEnd w:id="20"/>
      <w:bookmarkEnd w:id="22"/>
      <w:r>
        <w:rPr>
          <w:sz w:val="24"/>
          <w:szCs w:val="24"/>
          <w:lang w:val="ru-RU"/>
        </w:rPr>
        <w:t>оказания услуг</w:t>
      </w:r>
      <w:bookmarkEnd w:id="18"/>
    </w:p>
    <w:tbl>
      <w:tblPr>
        <w:tblStyle w:val="affff4"/>
        <w:tblW w:w="991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8"/>
        <w:gridCol w:w="4279"/>
        <w:gridCol w:w="2483"/>
        <w:gridCol w:w="2480"/>
      </w:tblGrid>
      <w:tr>
        <w:trPr/>
        <w:tc>
          <w:tcPr>
            <w:tcW w:w="66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427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Наименование услуг/ этапа услуг</w:t>
            </w:r>
          </w:p>
        </w:tc>
        <w:tc>
          <w:tcPr>
            <w:tcW w:w="24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Требования к началу срока оказания услуг/ этапа услуг</w:t>
            </w:r>
          </w:p>
        </w:tc>
        <w:tc>
          <w:tcPr>
            <w:tcW w:w="24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6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 w:val="false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Calibri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.</w:t>
            </w:r>
          </w:p>
        </w:tc>
        <w:tc>
          <w:tcPr>
            <w:tcW w:w="4279" w:type="dxa"/>
            <w:tcBorders/>
          </w:tcPr>
          <w:p>
            <w:pPr>
              <w:pStyle w:val="19"/>
              <w:widowControl w:val="false"/>
              <w:shd w:val="clear" w:color="auto" w:fill="auto"/>
              <w:spacing w:lineRule="exact" w:line="331" w:before="0" w:after="263"/>
              <w:ind w:left="60" w:hanging="0"/>
              <w:jc w:val="left"/>
              <w:rPr/>
            </w:pPr>
            <w:r>
              <w:rPr>
                <w:rStyle w:val="Style8"/>
                <w:b w:val="false"/>
                <w:bCs w:val="false"/>
                <w:i w:val="false"/>
                <w:iCs w:val="false"/>
                <w:sz w:val="24"/>
                <w:szCs w:val="24"/>
                <w:shd w:fill="FFFFFF" w:val="clear"/>
                <w:lang w:eastAsia="x-none"/>
              </w:rPr>
              <w:t>ОКПД 2 [52.29.19] Оказание транспортно-экспедиторских услуг по транспортировке грузов автомобильным транспортом для нужд Жигулевского филиала АО «Гидроремонт-ВКК» в г.Жигулевск</w:t>
            </w:r>
          </w:p>
        </w:tc>
        <w:tc>
          <w:tcPr>
            <w:tcW w:w="24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с 01.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10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.2026г.</w:t>
            </w:r>
          </w:p>
        </w:tc>
        <w:tc>
          <w:tcPr>
            <w:tcW w:w="24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 xml:space="preserve">до 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FFFFFF" w:val="clear"/>
                <w:lang w:val="en-US" w:eastAsia="ru-RU" w:bidi="ar-SA"/>
              </w:rPr>
              <w:t>3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FFFFFF" w:val="clear"/>
                <w:lang w:val="en-US" w:eastAsia="ru-RU" w:bidi="ar-SA"/>
              </w:rPr>
              <w:t>0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.1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1</w:t>
            </w: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shd w:fill="FFFFFF" w:val="clear"/>
                <w:lang w:val="ru-RU" w:eastAsia="ru-RU" w:bidi="ar-SA"/>
              </w:rPr>
              <w:t>.2026г.</w:t>
            </w:r>
            <w:bookmarkStart w:id="23" w:name="_Toc46743510"/>
          </w:p>
        </w:tc>
      </w:tr>
    </w:tbl>
    <w:p>
      <w:pPr>
        <w:pStyle w:val="Normal"/>
        <w:keepNext w:val="true"/>
        <w:keepLines/>
        <w:numPr>
          <w:ilvl w:val="0"/>
          <w:numId w:val="0"/>
        </w:numPr>
        <w:tabs>
          <w:tab w:val="clear" w:pos="708"/>
          <w:tab w:val="left" w:pos="8505" w:leader="none"/>
        </w:tabs>
        <w:spacing w:before="240" w:after="60"/>
        <w:ind w:left="0" w:hanging="0"/>
        <w:outlineLvl w:val="0"/>
        <w:rPr>
          <w:b/>
          <w:sz w:val="24"/>
          <w:szCs w:val="24"/>
        </w:rPr>
      </w:pPr>
      <w:bookmarkStart w:id="24" w:name="_Toc54643709"/>
      <w:bookmarkStart w:id="25" w:name="_Toc50125131"/>
      <w:bookmarkStart w:id="26" w:name="_Toc51339698"/>
      <w:bookmarkEnd w:id="23"/>
      <w:r>
        <w:rPr>
          <w:b/>
          <w:sz w:val="24"/>
          <w:szCs w:val="24"/>
        </w:rPr>
        <w:t xml:space="preserve">Таблица 4. Требования к </w:t>
      </w:r>
      <w:bookmarkEnd w:id="25"/>
      <w:bookmarkEnd w:id="26"/>
      <w:r>
        <w:rPr>
          <w:b/>
          <w:sz w:val="24"/>
          <w:szCs w:val="24"/>
        </w:rPr>
        <w:t>качеству услуг</w:t>
      </w:r>
      <w:bookmarkEnd w:id="24"/>
      <w:r>
        <w:rPr>
          <w:b/>
          <w:sz w:val="24"/>
          <w:szCs w:val="24"/>
        </w:rPr>
        <w:t xml:space="preserve"> </w:t>
      </w:r>
    </w:p>
    <w:tbl>
      <w:tblPr>
        <w:tblStyle w:val="affff4"/>
        <w:tblW w:w="9469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1"/>
        <w:gridCol w:w="2376"/>
        <w:gridCol w:w="6242"/>
      </w:tblGrid>
      <w:tr>
        <w:trPr>
          <w:trHeight w:val="230" w:hRule="atLeast"/>
        </w:trPr>
        <w:tc>
          <w:tcPr>
            <w:tcW w:w="85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237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2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</w:tr>
      <w:tr>
        <w:trPr>
          <w:trHeight w:val="937" w:hRule="atLeast"/>
        </w:trPr>
        <w:tc>
          <w:tcPr>
            <w:tcW w:w="85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37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62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bookmarkStart w:id="27" w:name="_Toc53499667"/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1</w:t>
            </w:r>
            <w:bookmarkEnd w:id="27"/>
          </w:p>
        </w:tc>
        <w:tc>
          <w:tcPr>
            <w:tcW w:w="237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86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 xml:space="preserve">Требования к оказанию услуг 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i w:val="false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Требование к предоставляемой технике</w:t>
            </w:r>
          </w:p>
        </w:tc>
        <w:tc>
          <w:tcPr>
            <w:tcW w:w="624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Исполнитель должен иметь автотранспорт для исполнения договора в собственности или на праве аренды материально-технических ресурсов (машин и механизмов, специальных приспособлений и инструментов) либо привлечь третьих лиц для оказания услуг по предмету закупки.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6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3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Ответственность Исполнителя в части оказания услуг</w:t>
            </w:r>
          </w:p>
        </w:tc>
        <w:tc>
          <w:tcPr>
            <w:tcW w:w="6242" w:type="dxa"/>
            <w:tcBorders/>
          </w:tcPr>
          <w:p>
            <w:pPr>
              <w:pStyle w:val="Default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Исполнитель несет ответственность за качество, работоспособность, функциональные свойства и технические характеристики автотранспорта, используемой для оказания услуг в соответствии с настоящими техническими требованиями и действующих нормативных актов РФ, сроков исполнения, в полном объеме, с надлежащим качеством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6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3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Соответствие техники законодательству РФ</w:t>
            </w:r>
          </w:p>
        </w:tc>
        <w:tc>
          <w:tcPr>
            <w:tcW w:w="62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Исполнитель должен соблюдать законодательство РФ при эксплуатации, обслуживании и предоставлении автотранспорта Заказчику.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61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376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6242" w:type="dxa"/>
            <w:tcBorders/>
            <w:shd w:color="auto" w:fill="auto" w:val="clear"/>
          </w:tcPr>
          <w:p>
            <w:pPr>
              <w:pStyle w:val="Default"/>
              <w:widowControl w:val="false"/>
              <w:tabs>
                <w:tab w:val="clear" w:pos="708"/>
                <w:tab w:val="left" w:pos="426" w:leader="none"/>
                <w:tab w:val="left" w:pos="567" w:leader="none"/>
              </w:tabs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cs="Times New Roman"/>
                <w:bCs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Лица, управляющие автотранспортом, должны иметь действующие водительское удостоверение с разрешенной категорией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6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6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Общие требования к результатам услуг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3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Требования к соблюдению Исполнителя технологической, производственной и трудовой дисциплин</w:t>
            </w:r>
          </w:p>
        </w:tc>
        <w:tc>
          <w:tcPr>
            <w:tcW w:w="62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Исполнитель должен соблюдать требования технологической, производственной и трудовой дисциплины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6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4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Требования к соблюдению положений нормативной и иной обязательной для исполнителя документации, определяемой видами услуг (помимо указанных в других разделах ТТ)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37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Соответствие ТС законодательству РФ</w:t>
            </w:r>
          </w:p>
        </w:tc>
        <w:tc>
          <w:tcPr>
            <w:tcW w:w="624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Исполнитель должен соблюдать законодательство РФ при эксплуатации, обслуживании и предоставлении автотранспорта предоставляемых Заказчику.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6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3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624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Исполнитель обязан нести все расходы, связанные с эксплуатацией автотранспорта, включая, но не ограничиваясь расходы на заработную плату членам экипажей, оплату топлива, горюче-смазочных материалов и эксплуатационных жидкостей, оплату ремонта и запасных частей для спецтехники, оплату стоимости налоговых пошлин, страховых сборов, оплату штрафов, и иных расходов, возникающих в связи с эксплуатацией спецтехники.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618" w:type="dxa"/>
            <w:gridSpan w:val="2"/>
            <w:tcBorders/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7"/>
              </w:numPr>
              <w:suppressAutoHyphens w:val="true"/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37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Обязанности Исполнителя</w:t>
            </w:r>
          </w:p>
        </w:tc>
        <w:tc>
          <w:tcPr>
            <w:tcW w:w="624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Исполнитель обязан при невозможности предоставления автотранспорта для перевозки грузов (ДТП, постановка в ремонт / на техническое обслуживание, угон ТС, иные причины) незамедлительно уведомить об этом Заказчика и по согласованию с Заказчиком предоставить подменный транспорт с аналогичными техническими характеристиками, соответствующими условиям Договора и на условиях, согласованных в Заявках. Время простоя, по причине неисправной техники, не оплачивается.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861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Times New Roman" w:hAnsi="Times New Roman" w:eastAsia="Times New Roman" w:cs="Times New Roman"/>
                <w:i w:val="false"/>
                <w:i w:val="false"/>
                <w:iCs w:val="false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 xml:space="preserve">Прочие требования к оказанию услуг </w:t>
            </w:r>
          </w:p>
        </w:tc>
      </w:tr>
      <w:tr>
        <w:trPr/>
        <w:tc>
          <w:tcPr>
            <w:tcW w:w="85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7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i w:val="false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cs="Times New Roman"/>
                <w:b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376" w:type="dxa"/>
            <w:tcBorders/>
            <w:vAlign w:val="cente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cs="Times New Roman"/>
                <w:i w:val="false"/>
                <w:i w:val="false"/>
                <w:iCs w:val="false"/>
                <w:kern w:val="0"/>
                <w:lang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Стоимость перевозки</w:t>
            </w:r>
          </w:p>
        </w:tc>
        <w:tc>
          <w:tcPr>
            <w:tcW w:w="6242" w:type="dxa"/>
            <w:tcBorders/>
            <w:vAlign w:val="center"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cs="Times New Roman"/>
                <w:i w:val="false"/>
                <w:i w:val="false"/>
                <w:iCs w:val="false"/>
                <w:kern w:val="0"/>
                <w:lang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kern w:val="0"/>
                <w:sz w:val="20"/>
                <w:szCs w:val="20"/>
                <w:lang w:val="ru-RU" w:eastAsia="ru-RU" w:bidi="ar-SA"/>
              </w:rPr>
              <w:t>Стоимость перевозки грузов определяется с учетом расстояния, времени, затраченное на перевозку, размера и веса перевозимого груза и неизменна на весь срок договора</w:t>
            </w:r>
          </w:p>
        </w:tc>
      </w:tr>
    </w:tbl>
    <w:p>
      <w:pPr>
        <w:pStyle w:val="Normal"/>
        <w:rPr>
          <w:rFonts w:eastAsia="Calibri"/>
          <w:b/>
          <w:iCs/>
          <w:caps/>
          <w:sz w:val="24"/>
          <w:szCs w:val="24"/>
          <w:lang w:eastAsia="x-none"/>
        </w:rPr>
      </w:pPr>
      <w:r>
        <w:rPr>
          <w:rFonts w:eastAsia="Calibri"/>
          <w:b/>
          <w:iCs/>
          <w:caps/>
          <w:sz w:val="24"/>
          <w:szCs w:val="24"/>
          <w:lang w:eastAsia="x-none"/>
        </w:rPr>
      </w:r>
    </w:p>
    <w:p>
      <w:pPr>
        <w:pStyle w:val="Normal"/>
        <w:rPr>
          <w:rFonts w:eastAsia="Calibri"/>
          <w:b/>
          <w:iCs/>
          <w:caps/>
          <w:sz w:val="24"/>
          <w:szCs w:val="24"/>
          <w:lang w:eastAsia="x-none"/>
        </w:rPr>
      </w:pPr>
      <w:r>
        <w:rPr>
          <w:rFonts w:eastAsia="Calibri"/>
          <w:b/>
          <w:iCs/>
          <w:caps/>
          <w:sz w:val="24"/>
          <w:szCs w:val="24"/>
          <w:lang w:eastAsia="x-none"/>
        </w:rPr>
      </w:r>
      <w:bookmarkStart w:id="28" w:name="_Toc46743519"/>
      <w:bookmarkStart w:id="29" w:name="_Toc51339699"/>
      <w:bookmarkStart w:id="30" w:name="_Toc46743519"/>
      <w:bookmarkStart w:id="31" w:name="_Toc51339699"/>
      <w:bookmarkEnd w:id="30"/>
      <w:bookmarkEnd w:id="31"/>
    </w:p>
    <w:p>
      <w:pPr>
        <w:pStyle w:val="Normal"/>
        <w:rPr>
          <w:rFonts w:eastAsia="Calibri"/>
          <w:b/>
          <w:iCs/>
          <w:caps/>
          <w:sz w:val="24"/>
          <w:szCs w:val="24"/>
          <w:lang w:eastAsia="x-none"/>
        </w:rPr>
      </w:pPr>
      <w:r>
        <w:rPr>
          <w:rFonts w:eastAsia="Calibri"/>
          <w:b/>
          <w:iCs/>
          <w:caps/>
          <w:sz w:val="24"/>
          <w:szCs w:val="24"/>
          <w:lang w:eastAsia="x-none"/>
        </w:rPr>
      </w:r>
    </w:p>
    <w:p>
      <w:pPr>
        <w:pStyle w:val="19"/>
        <w:shd w:val="clear" w:color="auto" w:fill="auto"/>
        <w:spacing w:lineRule="auto" w:line="240"/>
        <w:ind w:left="9020" w:right="40" w:hanging="9020"/>
        <w:rPr>
          <w:sz w:val="22"/>
          <w:szCs w:val="22"/>
        </w:rPr>
      </w:pPr>
      <w:r>
        <w:rPr>
          <w:sz w:val="22"/>
          <w:szCs w:val="22"/>
        </w:rPr>
        <w:t xml:space="preserve">Механик        </w:t>
      </w:r>
      <w:r>
        <w:rPr>
          <w:rFonts w:eastAsia="Arial Unicode MS"/>
          <w:color w:val="00000A"/>
          <w:kern w:val="2"/>
          <w:sz w:val="22"/>
          <w:szCs w:val="22"/>
        </w:rPr>
        <w:t xml:space="preserve">   _________________                   Власов Д.Г.</w:t>
      </w:r>
    </w:p>
    <w:p>
      <w:pPr>
        <w:pStyle w:val="Normal"/>
        <w:rPr>
          <w:rFonts w:eastAsia="Calibri"/>
          <w:b/>
          <w:iCs/>
          <w:caps/>
          <w:sz w:val="24"/>
          <w:szCs w:val="24"/>
          <w:lang w:eastAsia="x-none"/>
        </w:rPr>
      </w:pPr>
      <w:r>
        <w:rPr>
          <w:rFonts w:eastAsia="Calibri"/>
          <w:b/>
          <w:iCs/>
          <w:caps/>
          <w:sz w:val="24"/>
          <w:szCs w:val="24"/>
          <w:lang w:eastAsia="x-none"/>
        </w:rPr>
      </w:r>
    </w:p>
    <w:p>
      <w:pPr>
        <w:pStyle w:val="Normal"/>
        <w:rPr>
          <w:rFonts w:eastAsia="Calibri"/>
          <w:b/>
          <w:iCs/>
          <w:caps/>
          <w:sz w:val="24"/>
          <w:szCs w:val="24"/>
          <w:lang w:eastAsia="x-none"/>
        </w:rPr>
      </w:pPr>
      <w:r>
        <w:rPr/>
      </w:r>
      <w:bookmarkStart w:id="32" w:name="_GoBack"/>
      <w:bookmarkStart w:id="33" w:name="_GoBack"/>
      <w:bookmarkEnd w:id="33"/>
    </w:p>
    <w:sectPr>
      <w:headerReference w:type="even" r:id="rId2"/>
      <w:headerReference w:type="default" r:id="rId3"/>
      <w:footerReference w:type="default" r:id="rId4"/>
      <w:type w:val="nextPage"/>
      <w:pgSz w:w="11906" w:h="16838"/>
      <w:pgMar w:left="1134" w:right="851" w:gutter="0" w:header="680" w:top="1134" w:footer="737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92013957"/>
    </w:sdtPr>
    <w:sdtContent>
      <w:p>
        <w:pPr>
          <w:pStyle w:val="Footer"/>
          <w:jc w:val="right"/>
          <w:rPr>
            <w:sz w:val="24"/>
            <w:szCs w:val="24"/>
          </w:rPr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669F671F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669F671F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45728"/>
    <w:pPr>
      <w:keepNext w:val="true"/>
      <w:tabs>
        <w:tab w:val="clear" w:pos="708"/>
        <w:tab w:val="left" w:pos="0" w:leader="none"/>
        <w:tab w:val="left" w:pos="851" w:leader="none"/>
        <w:tab w:val="left" w:pos="993" w:leader="none"/>
      </w:tabs>
      <w:spacing w:before="120" w:after="60"/>
      <w:ind w:left="567" w:hanging="0"/>
      <w:jc w:val="both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 w:customStyle="1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45728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Style14" w:customStyle="1">
    <w:name w:val="Основной текст_"/>
    <w:link w:val="19"/>
    <w:uiPriority w:val="99"/>
    <w:qFormat/>
    <w:locked/>
    <w:rsid w:val="003c12f6"/>
    <w:rPr>
      <w:sz w:val="28"/>
      <w:szCs w:val="28"/>
      <w:shd w:fill="FFFFFF" w:val="clear"/>
    </w:rPr>
  </w:style>
  <w:style w:type="character" w:styleId="Style15" w:customStyle="1">
    <w:name w:val="Нижний колонтитул Знак"/>
    <w:basedOn w:val="DefaultParagraphFont"/>
    <w:uiPriority w:val="99"/>
    <w:qFormat/>
    <w:rsid w:val="00fc560b"/>
    <w:rPr>
      <w:sz w:val="28"/>
      <w:szCs w:val="28"/>
    </w:rPr>
  </w:style>
  <w:style w:type="character" w:styleId="Apple-converted-space" w:customStyle="1">
    <w:name w:val="apple-converted-space"/>
    <w:qFormat/>
    <w:rsid w:val="004c3853"/>
    <w:rPr>
      <w:rFonts w:cs="Times New Roman"/>
    </w:rPr>
  </w:style>
  <w:style w:type="character" w:styleId="Style16" w:customStyle="1">
    <w:name w:val="Ссылка указателя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Title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5"/>
    <w:uiPriority w:val="99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6b6b70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6b6b70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99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  <w:tab w:val="left" w:pos="851" w:leader="none"/>
        <w:tab w:val="left" w:pos="993" w:leader="none"/>
      </w:tabs>
      <w:spacing w:before="480" w:after="240"/>
      <w:ind w:left="567" w:hanging="567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19" w:customStyle="1">
    <w:name w:val="Основной текст1"/>
    <w:basedOn w:val="Normal"/>
    <w:link w:val="Style14"/>
    <w:uiPriority w:val="99"/>
    <w:qFormat/>
    <w:rsid w:val="003c12f6"/>
    <w:pPr>
      <w:widowControl w:val="false"/>
      <w:shd w:val="clear" w:color="auto" w:fill="FFFFFF"/>
      <w:spacing w:lineRule="exact" w:line="302"/>
    </w:pPr>
    <w:rPr/>
  </w:style>
  <w:style w:type="paragraph" w:styleId="Default" w:customStyle="1">
    <w:name w:val="Default"/>
    <w:qFormat/>
    <w:rsid w:val="002d5c4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Style36">
    <w:name w:val="Содержимое таблицы"/>
    <w:basedOn w:val="Normal"/>
    <w:qFormat/>
    <w:pPr>
      <w:widowControl w:val="false"/>
      <w:suppressLineNumbers/>
    </w:pPr>
    <w:rPr/>
  </w:style>
  <w:style w:type="paragraph" w:styleId="Style37">
    <w:name w:val="Заголовок таблицы"/>
    <w:basedOn w:val="Style36"/>
    <w:qFormat/>
    <w:pPr>
      <w:suppressLineNumbers/>
      <w:jc w:val="center"/>
    </w:pPr>
    <w:rPr>
      <w:b/>
      <w:bCs/>
    </w:rPr>
  </w:style>
  <w:style w:type="paragraph" w:styleId="Indexheading2">
    <w:name w:val="index heading2"/>
    <w:basedOn w:val="Title"/>
    <w:qFormat/>
    <w:pPr/>
    <w:rPr/>
  </w:style>
  <w:style w:type="paragraph" w:styleId="Caption2">
    <w:name w:val="caption2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4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81E0-F8A6-43DC-B4CF-E9F859054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Application>AlterOffice/3.4.0.9$Linux_X86_64 LibreOffice_project/b8daf9e823b1a5463a2f48435ddc2e8696e7d4fc</Application>
  <AppVersion>15.0000</AppVersion>
  <Pages>5</Pages>
  <Words>870</Words>
  <Characters>6313</Characters>
  <CharactersWithSpaces>7103</CharactersWithSpaces>
  <Paragraphs>113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2024-03-14T10:29:00Z</dcterms:created>
  <dc:creator>Быстров Олег Геннадьевич</dc:creator>
  <dc:description/>
  <dc:language>ru-RU</dc:language>
  <cp:lastModifiedBy>vlasovdg@corp.gidroogk.com</cp:lastModifiedBy>
  <cp:lastPrinted>2024-03-14T10:32:00Z</cp:lastPrinted>
  <dcterms:modified xsi:type="dcterms:W3CDTF">2026-08-26T14:00:06Z</dcterms:modified>
  <cp:revision>12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