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ind w:left="0" w:right="15" w:hanging="0"/>
        <w:jc w:val="right"/>
        <w:outlineLvl w:val="2"/>
        <w:rPr>
          <w:rFonts w:eastAsia="Calibri"/>
          <w:b w:val="false"/>
          <w:sz w:val="24"/>
          <w:szCs w:val="24"/>
          <w:lang w:eastAsia="en-US"/>
        </w:rPr>
      </w:pPr>
      <w:r>
        <w:rPr>
          <w:rFonts w:eastAsia="Calibri"/>
          <w:b w:val="false"/>
          <w:sz w:val="24"/>
          <w:szCs w:val="24"/>
          <w:lang w:eastAsia="en-US"/>
        </w:rPr>
        <w:t>Приложение №1</w:t>
      </w:r>
    </w:p>
    <w:p>
      <w:pPr>
        <w:pStyle w:val="Normal"/>
        <w:numPr>
          <w:ilvl w:val="0"/>
          <w:numId w:val="0"/>
        </w:numPr>
        <w:ind w:left="0" w:right="15" w:hanging="0"/>
        <w:jc w:val="right"/>
        <w:outlineLvl w:val="2"/>
        <w:rPr>
          <w:rFonts w:eastAsia="Calibri"/>
          <w:b w:val="false"/>
          <w:sz w:val="24"/>
          <w:szCs w:val="24"/>
          <w:lang w:eastAsia="en-US"/>
        </w:rPr>
      </w:pPr>
      <w:r>
        <w:rPr>
          <w:rFonts w:eastAsia="Calibri"/>
          <w:b w:val="false"/>
          <w:sz w:val="24"/>
          <w:szCs w:val="24"/>
          <w:lang w:eastAsia="en-US"/>
        </w:rPr>
        <w:t>к документации по запросу предложений</w:t>
      </w:r>
    </w:p>
    <w:p>
      <w:pPr>
        <w:pStyle w:val="Normal"/>
        <w:numPr>
          <w:ilvl w:val="0"/>
          <w:numId w:val="0"/>
        </w:numPr>
        <w:ind w:left="0" w:right="15" w:hanging="0"/>
        <w:jc w:val="right"/>
        <w:outlineLvl w:val="2"/>
        <w:rPr>
          <w:rFonts w:eastAsia="Calibri"/>
          <w:b w:val="false"/>
          <w:sz w:val="24"/>
          <w:szCs w:val="24"/>
          <w:lang w:eastAsia="en-US"/>
        </w:rPr>
      </w:pPr>
      <w:r>
        <w:rPr>
          <w:rFonts w:eastAsia="Calibri"/>
          <w:b w:val="false"/>
          <w:sz w:val="24"/>
          <w:szCs w:val="24"/>
          <w:lang w:eastAsia="en-US"/>
        </w:rPr>
        <w:t>в электронной форме</w:t>
      </w:r>
    </w:p>
    <w:p>
      <w:pPr>
        <w:pStyle w:val="Normal"/>
        <w:numPr>
          <w:ilvl w:val="0"/>
          <w:numId w:val="0"/>
        </w:numPr>
        <w:ind w:left="0" w:right="15" w:hanging="0"/>
        <w:jc w:val="right"/>
        <w:outlineLvl w:val="2"/>
        <w:rPr/>
      </w:pPr>
      <w:r>
        <w:rPr>
          <w:rFonts w:eastAsia="Calibri"/>
          <w:b w:val="false"/>
          <w:sz w:val="24"/>
          <w:szCs w:val="24"/>
          <w:lang w:eastAsia="en-US"/>
        </w:rPr>
        <w:t>Лот 51</w:t>
      </w:r>
      <w:r>
        <w:rPr>
          <w:rFonts w:eastAsia="Calibri"/>
          <w:b w:val="false"/>
          <w:sz w:val="24"/>
          <w:szCs w:val="24"/>
          <w:lang w:eastAsia="en-US"/>
        </w:rPr>
        <w:t>29</w:t>
      </w:r>
      <w:r>
        <w:rPr>
          <w:rFonts w:eastAsia="Calibri"/>
          <w:b w:val="false"/>
          <w:sz w:val="24"/>
          <w:szCs w:val="24"/>
          <w:lang w:eastAsia="en-US"/>
        </w:rPr>
        <w:t>-</w:t>
      </w:r>
      <w:r>
        <w:rPr>
          <w:rFonts w:eastAsia="Calibri"/>
          <w:b w:val="false"/>
          <w:sz w:val="24"/>
          <w:szCs w:val="24"/>
          <w:lang w:eastAsia="en-US"/>
        </w:rPr>
        <w:t xml:space="preserve">ТО </w:t>
      </w:r>
      <w:r>
        <w:rPr>
          <w:rFonts w:eastAsia="Calibri"/>
          <w:b w:val="false"/>
          <w:sz w:val="24"/>
          <w:szCs w:val="24"/>
          <w:lang w:eastAsia="en-US"/>
        </w:rPr>
        <w:t>ПРОД-202</w:t>
      </w:r>
      <w:r>
        <w:rPr>
          <w:rFonts w:eastAsia="Calibri"/>
          <w:b w:val="false"/>
          <w:sz w:val="24"/>
          <w:szCs w:val="24"/>
          <w:lang w:eastAsia="en-US"/>
        </w:rPr>
        <w:t>7</w:t>
      </w:r>
      <w:r>
        <w:rPr>
          <w:rFonts w:eastAsia="Calibri"/>
          <w:b w:val="false"/>
          <w:sz w:val="24"/>
          <w:szCs w:val="24"/>
          <w:lang w:eastAsia="en-US"/>
        </w:rPr>
        <w:t>-ТК-ПриволФ</w:t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jc w:val="lef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</w:t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Технические требования на оказание услуг</w:t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ascii="Times New Roman" w:hAnsi="Times New Roman"/>
          <w:b/>
          <w:bCs/>
          <w:sz w:val="24"/>
          <w:szCs w:val="24"/>
        </w:rPr>
      </w:pPr>
      <w:r>
        <w:rPr>
          <w:rFonts w:eastAsia="Calibri"/>
          <w:b/>
          <w:bCs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  <w:lang w:eastAsia="en-US"/>
        </w:rPr>
        <w:t>О</w:t>
      </w:r>
      <w:r>
        <w:rPr>
          <w:b/>
          <w:bCs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КПД2: 45.20.21.519 Услуги по текущему ремонту подъемных механизмов Жигулевского транспортного участка Приволжского филиала АО «ТК РусГидро»</w:t>
      </w:r>
      <w:r>
        <w:rPr>
          <w:rFonts w:eastAsia="Calibri"/>
          <w:b/>
          <w:bCs/>
          <w:sz w:val="24"/>
          <w:szCs w:val="24"/>
          <w:lang w:eastAsia="en-US"/>
        </w:rPr>
        <w:t xml:space="preserve"> </w:t>
      </w:r>
    </w:p>
    <w:p>
      <w:pPr>
        <w:pStyle w:val="Normal"/>
        <w:spacing w:lineRule="auto" w:line="360"/>
        <w:ind w:left="0" w:hanging="0"/>
        <w:jc w:val="center"/>
        <w:rPr/>
      </w:pPr>
      <w:r>
        <w:rPr>
          <w:rFonts w:eastAsia="Calibri"/>
          <w:b/>
          <w:bCs/>
          <w:sz w:val="24"/>
          <w:szCs w:val="24"/>
          <w:lang w:eastAsia="en-US"/>
        </w:rPr>
        <w:t>ЛОТ 5129-ТО ПРОД-2027-ТК-ПриволФ</w:t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i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i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jc w:val="center"/>
        <w:rPr>
          <w:b/>
        </w:rPr>
      </w:pPr>
      <w:r>
        <w:rPr>
          <w:b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2"/>
        </w:numPr>
        <w:ind w:left="426" w:right="0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Общие сведения …………………………………………………………………………………...3</w:t>
      </w:r>
    </w:p>
    <w:p>
      <w:pPr>
        <w:pStyle w:val="Normal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Обозначения и сокращения……………………………………………………………..3</w:t>
      </w:r>
    </w:p>
    <w:p>
      <w:pPr>
        <w:pStyle w:val="Normal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Наименование закупаемой продукции…………………………………………………3</w:t>
      </w:r>
    </w:p>
    <w:p>
      <w:pPr>
        <w:pStyle w:val="Normal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Цели оказания услуг……………………………………………………………………..3</w:t>
      </w:r>
    </w:p>
    <w:p>
      <w:pPr>
        <w:pStyle w:val="Normal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Существующее положение………….…………..…………………….………………...3</w:t>
      </w:r>
    </w:p>
    <w:p>
      <w:pPr>
        <w:pStyle w:val="Normal"/>
        <w:numPr>
          <w:ilvl w:val="0"/>
          <w:numId w:val="0"/>
        </w:numPr>
        <w:ind w:left="426" w:right="0" w:hanging="0"/>
        <w:rPr>
          <w:sz w:val="24"/>
          <w:szCs w:val="24"/>
        </w:rPr>
      </w:pPr>
      <w:r>
        <w:rPr>
          <w:b/>
          <w:bCs/>
          <w:sz w:val="24"/>
          <w:szCs w:val="24"/>
        </w:rPr>
        <w:t>Таблица 1. Перечень объектов заказчика ……………………………………………………..3</w:t>
      </w:r>
    </w:p>
    <w:p>
      <w:pPr>
        <w:pStyle w:val="Normal"/>
        <w:numPr>
          <w:ilvl w:val="0"/>
          <w:numId w:val="0"/>
        </w:numPr>
        <w:ind w:left="0" w:right="0" w:hanging="0"/>
        <w:rPr>
          <w:sz w:val="24"/>
          <w:szCs w:val="24"/>
        </w:rPr>
      </w:pPr>
      <w:r>
        <w:rPr>
          <w:b/>
          <w:bCs/>
          <w:sz w:val="24"/>
          <w:szCs w:val="24"/>
        </w:rPr>
        <w:t>2.    Требования к продукции ………………………………………………………………………....4</w:t>
      </w:r>
    </w:p>
    <w:p>
      <w:pPr>
        <w:pStyle w:val="Normal"/>
        <w:ind w:left="426" w:right="0" w:hanging="0"/>
        <w:rPr>
          <w:sz w:val="24"/>
          <w:szCs w:val="24"/>
        </w:rPr>
      </w:pPr>
      <w:r>
        <w:rPr>
          <w:sz w:val="24"/>
          <w:szCs w:val="24"/>
        </w:rPr>
        <w:t xml:space="preserve">2.1. </w:t>
        <w:tab/>
      </w:r>
      <w:r>
        <w:rPr>
          <w:bCs/>
          <w:sz w:val="24"/>
          <w:szCs w:val="24"/>
        </w:rPr>
        <w:t>Требования к объемам и срокам оказания услуг…………………………………..…..4</w:t>
      </w:r>
    </w:p>
    <w:p>
      <w:pPr>
        <w:pStyle w:val="Normal"/>
        <w:ind w:left="426" w:right="0" w:hanging="0"/>
        <w:rPr>
          <w:sz w:val="24"/>
          <w:szCs w:val="24"/>
        </w:rPr>
      </w:pPr>
      <w:r>
        <w:rPr>
          <w:bCs/>
          <w:sz w:val="24"/>
          <w:szCs w:val="24"/>
        </w:rPr>
        <w:t xml:space="preserve">2.1.1. </w:t>
        <w:tab/>
        <w:t>Требования к перечню</w:t>
      </w:r>
      <w:r>
        <w:rPr>
          <w:sz w:val="24"/>
          <w:szCs w:val="24"/>
        </w:rPr>
        <w:t xml:space="preserve"> и объему услуг………………………………………..……….4</w:t>
      </w:r>
    </w:p>
    <w:p>
      <w:pPr>
        <w:pStyle w:val="Normal"/>
        <w:widowControl/>
        <w:suppressAutoHyphens w:val="true"/>
        <w:bidi w:val="0"/>
        <w:spacing w:before="0" w:after="0"/>
        <w:ind w:left="397" w:right="0" w:hanging="0"/>
        <w:jc w:val="left"/>
        <w:rPr>
          <w:sz w:val="24"/>
          <w:szCs w:val="24"/>
        </w:rPr>
      </w:pPr>
      <w:r>
        <w:rPr>
          <w:b/>
          <w:sz w:val="24"/>
          <w:szCs w:val="24"/>
          <w:lang w:val="x-none"/>
        </w:rPr>
        <w:t xml:space="preserve">Таблица </w:t>
      </w:r>
      <w:r>
        <w:rPr>
          <w:b/>
          <w:sz w:val="24"/>
          <w:szCs w:val="24"/>
        </w:rPr>
        <w:t>2.</w:t>
      </w:r>
      <w:r>
        <w:rPr>
          <w:b/>
          <w:sz w:val="24"/>
          <w:szCs w:val="24"/>
          <w:lang w:val="x-none"/>
        </w:rPr>
        <w:t xml:space="preserve"> </w:t>
      </w:r>
      <w:r>
        <w:rPr>
          <w:b/>
          <w:sz w:val="24"/>
          <w:szCs w:val="24"/>
        </w:rPr>
        <w:t>Перечень и объем оказываемых услуг …………………………………………....4</w:t>
      </w:r>
    </w:p>
    <w:p>
      <w:pPr>
        <w:pStyle w:val="Normal"/>
        <w:widowControl/>
        <w:suppressAutoHyphens w:val="true"/>
        <w:bidi w:val="0"/>
        <w:spacing w:before="0" w:after="0"/>
        <w:ind w:left="397" w:right="0" w:hanging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2.1.2. </w:t>
        <w:tab/>
        <w:t>Требования к срокам оказания услуг...…………………………………………………4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left"/>
        <w:rPr>
          <w:sz w:val="24"/>
          <w:szCs w:val="24"/>
        </w:rPr>
      </w:pPr>
      <w:r>
        <w:rPr>
          <w:b/>
          <w:sz w:val="24"/>
          <w:szCs w:val="24"/>
          <w:lang w:val="x-none"/>
        </w:rPr>
        <w:t xml:space="preserve">       </w:t>
      </w:r>
      <w:r>
        <w:rPr>
          <w:b/>
          <w:sz w:val="24"/>
          <w:szCs w:val="24"/>
          <w:lang w:val="x-none"/>
        </w:rPr>
        <w:t xml:space="preserve">Таблица </w:t>
      </w:r>
      <w:r>
        <w:rPr>
          <w:b/>
          <w:sz w:val="24"/>
          <w:szCs w:val="24"/>
        </w:rPr>
        <w:t>3</w:t>
      </w:r>
      <w:r>
        <w:rPr>
          <w:b/>
          <w:sz w:val="24"/>
          <w:szCs w:val="24"/>
          <w:lang w:val="x-none"/>
        </w:rPr>
        <w:t xml:space="preserve">. Требования </w:t>
      </w:r>
      <w:r>
        <w:rPr>
          <w:b/>
          <w:sz w:val="24"/>
          <w:szCs w:val="24"/>
        </w:rPr>
        <w:t>к</w:t>
      </w:r>
      <w:r>
        <w:rPr>
          <w:b/>
          <w:sz w:val="24"/>
          <w:szCs w:val="24"/>
          <w:lang w:val="x-none"/>
        </w:rPr>
        <w:t xml:space="preserve"> срокам </w:t>
      </w:r>
      <w:r>
        <w:rPr>
          <w:b/>
          <w:sz w:val="24"/>
          <w:szCs w:val="24"/>
        </w:rPr>
        <w:t>оказания услуг……………………………………………..4</w:t>
      </w:r>
    </w:p>
    <w:p>
      <w:pPr>
        <w:pStyle w:val="Heading4"/>
        <w:numPr>
          <w:ilvl w:val="0"/>
          <w:numId w:val="0"/>
        </w:numPr>
        <w:tabs>
          <w:tab w:val="clear" w:pos="720"/>
          <w:tab w:val="left" w:pos="284" w:leader="none"/>
        </w:tabs>
        <w:spacing w:lineRule="auto" w:line="240" w:before="0" w:after="0"/>
        <w:ind w:left="0" w:right="0" w:hanging="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2.2. </w:t>
        <w:tab/>
        <w:t xml:space="preserve">Требования к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качеству продукции.…………………...………………………………...</w:t>
      </w:r>
      <w:r>
        <w:rPr>
          <w:rFonts w:ascii="Times New Roman" w:hAnsi="Times New Roman"/>
          <w:b w:val="false"/>
          <w:bCs w:val="false"/>
          <w:sz w:val="24"/>
          <w:szCs w:val="24"/>
        </w:rPr>
        <w:t>5</w:t>
      </w:r>
    </w:p>
    <w:p>
      <w:pPr>
        <w:pStyle w:val="Heading4"/>
        <w:widowControl/>
        <w:numPr>
          <w:ilvl w:val="3"/>
        </w:numPr>
        <w:suppressAutoHyphens w:val="true"/>
        <w:overflowPunct w:val="false"/>
        <w:bidi w:val="0"/>
        <w:spacing w:lineRule="auto" w:line="240" w:before="0" w:after="0"/>
        <w:ind w:left="0" w:right="0" w:hanging="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</w:t>
      </w:r>
      <w:r>
        <w:rPr>
          <w:rFonts w:cs="Times New Roman" w:ascii="Times New Roman" w:hAnsi="Times New Roman"/>
          <w:sz w:val="24"/>
          <w:szCs w:val="24"/>
        </w:rPr>
        <w:t xml:space="preserve">Таблица 4. Требования к </w:t>
      </w:r>
      <w:r>
        <w:rPr>
          <w:rFonts w:cs="Times New Roman" w:ascii="Times New Roman" w:hAnsi="Times New Roman"/>
          <w:sz w:val="24"/>
          <w:szCs w:val="24"/>
          <w:lang w:val="ru-RU"/>
        </w:rPr>
        <w:t>качеству продукции..…………………………….…..……………..5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rPr>
          <w:sz w:val="24"/>
          <w:szCs w:val="24"/>
        </w:rPr>
      </w:pPr>
      <w:r>
        <w:rPr>
          <w:b/>
          <w:sz w:val="24"/>
          <w:szCs w:val="24"/>
        </w:rPr>
        <w:t>3.    Требования к документации по ценообразованию на этапе закупки ……………………...8</w:t>
      </w:r>
    </w:p>
    <w:p>
      <w:pPr>
        <w:pStyle w:val="Style18"/>
        <w:widowControl/>
        <w:tabs>
          <w:tab w:val="clear" w:pos="720"/>
          <w:tab w:val="left" w:pos="426" w:leader="none"/>
        </w:tabs>
        <w:suppressAutoHyphens w:val="true"/>
        <w:bidi w:val="0"/>
        <w:spacing w:before="0" w:after="0"/>
        <w:ind w:left="0" w:right="0" w:hanging="0"/>
        <w:jc w:val="both"/>
        <w:rPr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  <w:lang w:val="ru-RU"/>
        </w:rPr>
        <w:t xml:space="preserve">4. </w:t>
        <w:tab/>
        <w:t>Требования к документации по ценообразованию на этапе заключения (исполнения) договора………………………………………………………………………………………………….8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rPr>
              <w:i/>
              <w:i/>
            </w:rPr>
          </w:pPr>
          <w:r>
            <w:fldChar w:fldCharType="begin"/>
          </w:r>
          <w:r>
            <w:rPr>
              <w:i/>
            </w:rPr>
            <w:instrText xml:space="preserve"> TOC \o "1-4" \h</w:instrText>
          </w:r>
          <w:r>
            <w:rPr>
              <w:i/>
            </w:rPr>
            <w:fldChar w:fldCharType="separate"/>
          </w:r>
          <w:r>
            <w:rPr>
              <w:i/>
            </w:rPr>
          </w:r>
        </w:p>
        <w:p>
          <w:pPr>
            <w:pStyle w:val="Normal"/>
            <w:rPr/>
          </w:pPr>
          <w:r>
            <w:rPr/>
          </w:r>
        </w:p>
        <w:p>
          <w:pPr>
            <w:pStyle w:val="Normal"/>
            <w:rPr/>
          </w:pPr>
          <w:r>
            <w:rPr/>
          </w:r>
          <w:r>
            <w:rPr/>
            <w:fldChar w:fldCharType="end"/>
          </w:r>
        </w:p>
      </w:sdtContent>
    </w:sdt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b w:val="false"/>
          <w:sz w:val="26"/>
          <w:szCs w:val="26"/>
        </w:rPr>
      </w:pPr>
      <w:r>
        <w:rPr>
          <w:rFonts w:eastAsia="Calibri"/>
          <w:b w:val="false"/>
          <w:sz w:val="26"/>
          <w:szCs w:val="26"/>
        </w:rPr>
      </w:r>
    </w:p>
    <w:p>
      <w:pPr>
        <w:pStyle w:val="Normal"/>
        <w:spacing w:lineRule="auto" w:line="276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spacing w:lineRule="auto" w:line="276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numPr>
          <w:ilvl w:val="0"/>
          <w:numId w:val="1"/>
        </w:numPr>
        <w:spacing w:before="120" w:after="60"/>
        <w:jc w:val="center"/>
        <w:outlineLvl w:val="0"/>
        <w:rPr>
          <w:rFonts w:eastAsia="Calibri"/>
          <w:b/>
          <w:sz w:val="28"/>
          <w:szCs w:val="28"/>
          <w:lang w:eastAsia="x-none"/>
        </w:rPr>
      </w:pPr>
      <w:bookmarkStart w:id="0" w:name="_Toc54643694"/>
      <w:r>
        <w:rPr>
          <w:rFonts w:eastAsia="Calibri"/>
          <w:b/>
          <w:sz w:val="28"/>
          <w:szCs w:val="28"/>
          <w:lang w:eastAsia="x-none"/>
        </w:rPr>
        <w:t>Общие сведения</w:t>
      </w:r>
      <w:bookmarkEnd w:id="0"/>
    </w:p>
    <w:p>
      <w:pPr>
        <w:pStyle w:val="Normal"/>
        <w:keepNext w:val="true"/>
        <w:numPr>
          <w:ilvl w:val="0"/>
          <w:numId w:val="0"/>
        </w:numPr>
        <w:spacing w:before="120" w:after="60"/>
        <w:ind w:left="432" w:right="0" w:hanging="432"/>
        <w:outlineLvl w:val="3"/>
        <w:rPr/>
      </w:pPr>
      <w:bookmarkStart w:id="1" w:name="_Toc54643695"/>
      <w:bookmarkStart w:id="2" w:name="_Toc46743505"/>
      <w:r>
        <w:rPr>
          <w:rFonts w:eastAsia="Calibri"/>
          <w:b/>
          <w:bCs/>
          <w:sz w:val="24"/>
          <w:szCs w:val="24"/>
          <w:lang w:eastAsia="x-none"/>
        </w:rPr>
        <w:t>1.1.</w:t>
        <w:tab/>
        <w:tab/>
      </w:r>
      <w:r>
        <w:rPr>
          <w:rFonts w:eastAsia="Calibri"/>
          <w:b/>
          <w:bCs/>
          <w:sz w:val="24"/>
          <w:szCs w:val="24"/>
          <w:lang w:val="x-none" w:eastAsia="x-none"/>
        </w:rPr>
        <w:t>Обозначения и сокращения</w:t>
      </w:r>
      <w:bookmarkEnd w:id="1"/>
      <w:bookmarkEnd w:id="2"/>
    </w:p>
    <w:p>
      <w:pPr>
        <w:pStyle w:val="Normal"/>
        <w:rPr>
          <w:bCs/>
          <w:i/>
          <w:i/>
          <w:iCs/>
          <w:sz w:val="26"/>
          <w:szCs w:val="26"/>
          <w:shd w:fill="FFFF99" w:val="clear"/>
        </w:rPr>
      </w:pPr>
      <w:r>
        <w:rPr>
          <w:bCs/>
          <w:i/>
          <w:iCs/>
          <w:sz w:val="26"/>
          <w:szCs w:val="26"/>
          <w:shd w:fill="FFFF99" w:val="clear"/>
        </w:rPr>
      </w:r>
    </w:p>
    <w:tbl>
      <w:tblPr>
        <w:tblW w:w="997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0"/>
        <w:gridCol w:w="7274"/>
      </w:tblGrid>
      <w:tr>
        <w:trPr>
          <w:cantSplit w:val="true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7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Транспортное средство</w:t>
            </w:r>
          </w:p>
        </w:tc>
      </w:tr>
      <w:tr>
        <w:trPr>
          <w:cantSplit w:val="true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</w:t>
            </w:r>
          </w:p>
        </w:tc>
        <w:tc>
          <w:tcPr>
            <w:tcW w:w="7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ремонт</w:t>
            </w:r>
          </w:p>
        </w:tc>
      </w:tr>
      <w:tr>
        <w:trPr>
          <w:cantSplit w:val="true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Н/Ч</w:t>
            </w:r>
          </w:p>
        </w:tc>
        <w:tc>
          <w:tcPr>
            <w:tcW w:w="7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Норма/час</w:t>
            </w:r>
          </w:p>
        </w:tc>
      </w:tr>
      <w:tr>
        <w:trPr>
          <w:cantSplit w:val="true"/>
        </w:trPr>
        <w:tc>
          <w:tcPr>
            <w:tcW w:w="2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</w:t>
            </w:r>
          </w:p>
        </w:tc>
        <w:tc>
          <w:tcPr>
            <w:tcW w:w="7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</w:t>
            </w:r>
          </w:p>
        </w:tc>
      </w:tr>
    </w:tbl>
    <w:p>
      <w:pPr>
        <w:pStyle w:val="Normal"/>
        <w:numPr>
          <w:ilvl w:val="0"/>
          <w:numId w:val="0"/>
        </w:numPr>
        <w:ind w:left="426" w:right="0" w:hanging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right="0" w:hanging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1.2.</w:t>
        <w:tab/>
        <w:t>Наименование закупаемой продукции</w:t>
      </w:r>
    </w:p>
    <w:p>
      <w:pPr>
        <w:pStyle w:val="Normal"/>
        <w:ind w:right="0" w:hanging="0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ab/>
        <w:t>ОКПД2: 45.20.21.519 Услуги по текущему ремонту подъемных механизмов Жигулевского транспортного участка Приволжского филиала АО «ТК РусГидро»</w:t>
      </w:r>
    </w:p>
    <w:p>
      <w:pPr>
        <w:pStyle w:val="Normal"/>
        <w:ind w:left="426" w:right="0" w:hanging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right="0" w:hanging="0"/>
        <w:jc w:val="both"/>
        <w:outlineLvl w:val="8"/>
        <w:rPr>
          <w:b/>
          <w:bCs/>
          <w:spacing w:val="-10"/>
          <w:sz w:val="24"/>
          <w:szCs w:val="24"/>
        </w:rPr>
      </w:pPr>
      <w:r>
        <w:rPr>
          <w:b/>
          <w:bCs/>
          <w:spacing w:val="-10"/>
          <w:sz w:val="24"/>
          <w:szCs w:val="24"/>
        </w:rPr>
        <w:t>1.3.</w:t>
        <w:tab/>
      </w:r>
      <w:bookmarkStart w:id="3" w:name="_Toc54643697"/>
      <w:r>
        <w:rPr>
          <w:b/>
          <w:bCs/>
          <w:spacing w:val="-10"/>
          <w:sz w:val="24"/>
          <w:szCs w:val="24"/>
        </w:rPr>
        <w:t>Цель оказания услуг</w:t>
      </w:r>
      <w:bookmarkEnd w:id="3"/>
    </w:p>
    <w:p>
      <w:pPr>
        <w:pStyle w:val="Normal"/>
        <w:ind w:right="0" w:hanging="0"/>
        <w:jc w:val="both"/>
        <w:rPr>
          <w:rFonts w:ascii="Times New Roman" w:hAnsi="Times New Roman" w:eastAsia="Times New Roman" w:cs="Times New Roman"/>
          <w:bCs/>
          <w:color w:val="auto"/>
          <w:kern w:val="0"/>
          <w:sz w:val="24"/>
          <w:szCs w:val="20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4"/>
          <w:szCs w:val="20"/>
          <w:lang w:val="ru-RU" w:eastAsia="ru-RU" w:bidi="ar-SA"/>
        </w:rPr>
        <w:tab/>
        <w:t>Проведение диагностических, регулировочных, наладочных и сопутствующих работ с соблюдением Постановление Правительства РФ от 29.05.2025 N 780  "Об утверждении Правил оказания услуг (выполнения работ) по техническому обслуживанию и ремонту автомототранспортных средств" (далее - Постановление Правительства РФ № 780) (в действующей редакции), инструкций по эксплуатации ТС, государственных стандартов к техническому состоянию ТС, с целью поддержания надлежащего технического состояния ТС, а также типовых норм периодичности, трудоемкости и продолжительности ТР подъемных кранов и автовышек.</w:t>
      </w:r>
    </w:p>
    <w:p>
      <w:pPr>
        <w:pStyle w:val="Normal"/>
        <w:ind w:left="426" w:right="0" w:hanging="0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</w:r>
    </w:p>
    <w:p>
      <w:pPr>
        <w:pStyle w:val="Normal"/>
        <w:ind w:left="0" w:right="0" w:hanging="0"/>
        <w:jc w:val="both"/>
        <w:rPr>
          <w:sz w:val="24"/>
          <w:szCs w:val="24"/>
        </w:rPr>
      </w:pPr>
      <w:r>
        <w:rPr>
          <w:b/>
          <w:bCs/>
          <w:spacing w:val="-10"/>
          <w:sz w:val="24"/>
          <w:szCs w:val="24"/>
        </w:rPr>
        <w:t xml:space="preserve">1.4.  </w:t>
        <w:tab/>
        <w:t>Существующее положение</w:t>
      </w:r>
    </w:p>
    <w:p>
      <w:pPr>
        <w:pStyle w:val="NoSpacing"/>
        <w:tabs>
          <w:tab w:val="clear" w:pos="720"/>
          <w:tab w:val="left" w:pos="567" w:leader="none"/>
        </w:tabs>
        <w:spacing w:before="0" w:after="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right="0" w:hanging="0"/>
        <w:jc w:val="both"/>
        <w:rPr>
          <w:b/>
          <w:bCs/>
          <w:spacing w:val="-10"/>
          <w:sz w:val="24"/>
          <w:szCs w:val="24"/>
        </w:rPr>
      </w:pPr>
      <w:r>
        <w:rPr>
          <w:b/>
          <w:bCs/>
          <w:spacing w:val="-10"/>
          <w:sz w:val="24"/>
          <w:szCs w:val="24"/>
        </w:rPr>
        <w:t>Таблица 1. Перечень объектов заказчика</w:t>
      </w:r>
    </w:p>
    <w:p>
      <w:pPr>
        <w:pStyle w:val="Normal"/>
        <w:ind w:left="360" w:right="0" w:hanging="0"/>
        <w:jc w:val="both"/>
        <w:rPr>
          <w:b/>
          <w:bCs/>
          <w:spacing w:val="-10"/>
          <w:sz w:val="24"/>
          <w:szCs w:val="24"/>
        </w:rPr>
      </w:pPr>
      <w:r>
        <w:rPr>
          <w:b/>
          <w:bCs/>
          <w:spacing w:val="-10"/>
          <w:sz w:val="24"/>
          <w:szCs w:val="24"/>
        </w:rPr>
      </w:r>
    </w:p>
    <w:tbl>
      <w:tblPr>
        <w:tblW w:w="9915" w:type="dxa"/>
        <w:jc w:val="left"/>
        <w:tblInd w:w="1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2299"/>
        <w:gridCol w:w="2219"/>
        <w:gridCol w:w="4665"/>
      </w:tblGrid>
      <w:tr>
        <w:trPr/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</w:r>
          </w:p>
        </w:tc>
      </w:tr>
      <w:tr>
        <w:trPr/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462" w:hRule="atLeast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overflowPunct w:val="false"/>
              <w:bidi w:val="0"/>
              <w:spacing w:before="0" w:after="0"/>
              <w:ind w:left="-57" w:right="0" w:hanging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113" w:right="0" w:hanging="0"/>
              <w:jc w:val="center"/>
              <w:rPr>
                <w:sz w:val="20"/>
                <w:szCs w:val="20"/>
              </w:rPr>
            </w:pPr>
            <w:r>
              <w:rPr>
                <w:bCs/>
                <w:iCs/>
                <w:spacing w:val="-2"/>
                <w:sz w:val="20"/>
                <w:szCs w:val="20"/>
              </w:rPr>
              <w:t>Текущий ремонт подъемных механизмов</w:t>
            </w:r>
          </w:p>
        </w:tc>
        <w:tc>
          <w:tcPr>
            <w:tcW w:w="2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Приволжский филиал АО «ТК РусГидро» Жигулевский  транспортный участок</w:t>
            </w:r>
          </w:p>
          <w:p>
            <w:pPr>
              <w:pStyle w:val="Normal"/>
              <w:widowControl w:val="false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Самарская область город Жигулевск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Крановая установка КС-45721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заводской номер 2366/0092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регистрационный номер 10344-Т</w:t>
            </w:r>
          </w:p>
        </w:tc>
      </w:tr>
      <w:tr>
        <w:trPr>
          <w:trHeight w:val="435" w:hRule="atLeast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overflowPunct w:val="false"/>
              <w:bidi w:val="0"/>
              <w:spacing w:before="0" w:after="0"/>
              <w:ind w:left="0" w:right="0" w:hanging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  <w:tc>
          <w:tcPr>
            <w:tcW w:w="22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Крановая установка МКАТ-20.01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заводской номер 228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регистрационный номер 10345-Т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overflowPunct w:val="false"/>
              <w:bidi w:val="0"/>
              <w:spacing w:before="0" w:after="0"/>
              <w:ind w:left="0" w:right="0" w:hanging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</w:t>
            </w:r>
          </w:p>
        </w:tc>
        <w:tc>
          <w:tcPr>
            <w:tcW w:w="22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Подъемный механизм ПСС – 131.22Э</w:t>
            </w:r>
          </w:p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заводской номер 016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регистрационный номер 578-Т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overflowPunct w:val="false"/>
              <w:bidi w:val="0"/>
              <w:spacing w:before="0" w:after="0"/>
              <w:ind w:left="0" w:right="0" w:hanging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</w:t>
            </w:r>
          </w:p>
        </w:tc>
        <w:tc>
          <w:tcPr>
            <w:tcW w:w="22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Подъемный механизм АПТ-18.02</w:t>
            </w:r>
          </w:p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заводской номер 353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регистрационный номер 579-Т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overflowPunct w:val="false"/>
              <w:bidi w:val="0"/>
              <w:spacing w:before="0" w:after="0"/>
              <w:ind w:left="0" w:right="0" w:hanging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5</w:t>
            </w:r>
          </w:p>
        </w:tc>
        <w:tc>
          <w:tcPr>
            <w:tcW w:w="22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Кран-манипулятор FASSI 80A22.П</w:t>
            </w:r>
          </w:p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заводской номер 071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регистрационный номер </w:t>
            </w:r>
            <w:r>
              <w:rPr>
                <w:bCs/>
                <w:color w:val="000000"/>
                <w:sz w:val="20"/>
                <w:szCs w:val="20"/>
              </w:rPr>
              <w:t>10346-Т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overflowPunct w:val="false"/>
              <w:bidi w:val="0"/>
              <w:spacing w:before="0" w:after="0"/>
              <w:ind w:left="0" w:right="0" w:hanging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6</w:t>
            </w:r>
          </w:p>
        </w:tc>
        <w:tc>
          <w:tcPr>
            <w:tcW w:w="22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Крановая установка КС-65717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заводской номер 014/014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регистрационный номер </w:t>
            </w:r>
            <w:r>
              <w:rPr>
                <w:bCs/>
                <w:color w:val="000000"/>
                <w:sz w:val="20"/>
                <w:szCs w:val="20"/>
              </w:rPr>
              <w:t>10567-Т</w:t>
            </w:r>
          </w:p>
        </w:tc>
      </w:tr>
    </w:tbl>
    <w:p>
      <w:pPr>
        <w:pStyle w:val="Normal"/>
        <w:ind w:left="360" w:right="0" w:hanging="0"/>
        <w:jc w:val="both"/>
        <w:rPr>
          <w:b/>
          <w:bCs/>
          <w:spacing w:val="-10"/>
          <w:sz w:val="24"/>
          <w:szCs w:val="24"/>
        </w:rPr>
      </w:pPr>
      <w:r>
        <w:rPr>
          <w:b/>
          <w:bCs/>
          <w:spacing w:val="-10"/>
          <w:sz w:val="24"/>
          <w:szCs w:val="24"/>
        </w:rPr>
      </w:r>
    </w:p>
    <w:p>
      <w:pPr>
        <w:pStyle w:val="NoSpacing"/>
        <w:tabs>
          <w:tab w:val="clear" w:pos="720"/>
          <w:tab w:val="left" w:pos="567" w:leader="none"/>
        </w:tabs>
        <w:spacing w:before="0" w:after="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false"/>
        <w:spacing w:before="0" w:after="0"/>
        <w:ind w:left="0" w:hanging="0"/>
        <w:contextualSpacing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br w:type="page"/>
      </w:r>
    </w:p>
    <w:p>
      <w:pPr>
        <w:pStyle w:val="Normal"/>
        <w:widowControl/>
        <w:numPr>
          <w:ilvl w:val="0"/>
          <w:numId w:val="1"/>
        </w:numPr>
        <w:suppressAutoHyphens w:val="true"/>
        <w:overflowPunct w:val="false"/>
        <w:bidi w:val="0"/>
        <w:spacing w:before="0" w:after="0"/>
        <w:ind w:left="737" w:right="0" w:hanging="737"/>
        <w:contextualSpacing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Требования к продукции.</w:t>
      </w:r>
    </w:p>
    <w:p>
      <w:pPr>
        <w:pStyle w:val="Normal"/>
        <w:spacing w:before="0" w:after="0"/>
        <w:ind w:left="360" w:right="0" w:hanging="360"/>
        <w:contextualSpacing/>
        <w:rPr/>
      </w:pPr>
      <w:r>
        <w:rPr>
          <w:bCs/>
          <w:sz w:val="24"/>
          <w:szCs w:val="24"/>
        </w:rPr>
        <w:t>2.1.</w:t>
        <w:tab/>
        <w:t xml:space="preserve"> </w:t>
      </w:r>
      <w:bookmarkStart w:id="4" w:name="_Toc54643703"/>
      <w:r>
        <w:rPr>
          <w:bCs/>
          <w:sz w:val="24"/>
          <w:szCs w:val="24"/>
        </w:rPr>
        <w:t>Требования к объемам и срокам оказания услуг</w:t>
      </w:r>
      <w:bookmarkEnd w:id="4"/>
    </w:p>
    <w:p>
      <w:pPr>
        <w:pStyle w:val="Normal"/>
        <w:spacing w:before="0" w:after="0"/>
        <w:ind w:left="360" w:right="0" w:hanging="360"/>
        <w:contextualSpacing/>
        <w:rPr/>
      </w:pPr>
      <w:bookmarkStart w:id="5" w:name="_Toc54643704"/>
      <w:r>
        <w:rPr>
          <w:bCs/>
          <w:sz w:val="24"/>
          <w:szCs w:val="24"/>
        </w:rPr>
        <w:t>2.1.1.</w:t>
        <w:tab/>
        <w:t xml:space="preserve"> Требования к перечню</w:t>
      </w:r>
      <w:r>
        <w:rPr>
          <w:rFonts w:eastAsia="Calibri"/>
          <w:sz w:val="24"/>
          <w:szCs w:val="24"/>
          <w:lang w:eastAsia="x-none"/>
        </w:rPr>
        <w:t xml:space="preserve"> и объему услуг</w:t>
      </w:r>
      <w:bookmarkEnd w:id="5"/>
    </w:p>
    <w:p>
      <w:pPr>
        <w:pStyle w:val="Normal"/>
        <w:spacing w:before="0" w:after="0"/>
        <w:ind w:left="360" w:right="0" w:hanging="360"/>
        <w:contextualSpacing/>
        <w:rPr>
          <w:rFonts w:eastAsia="Calibri"/>
          <w:b/>
          <w:sz w:val="24"/>
          <w:szCs w:val="24"/>
          <w:lang w:val="x-none" w:eastAsia="x-none"/>
        </w:rPr>
      </w:pPr>
      <w:r>
        <w:rPr>
          <w:rFonts w:eastAsia="Calibri"/>
          <w:b/>
          <w:sz w:val="24"/>
          <w:szCs w:val="24"/>
          <w:lang w:val="x-none" w:eastAsia="x-none"/>
        </w:rPr>
      </w:r>
    </w:p>
    <w:p>
      <w:pPr>
        <w:pStyle w:val="Normal"/>
        <w:spacing w:before="0" w:after="0"/>
        <w:ind w:left="360" w:right="0" w:hanging="360"/>
        <w:contextualSpacing/>
        <w:rPr/>
      </w:pPr>
      <w:bookmarkStart w:id="6" w:name="_Toc54643705"/>
      <w:bookmarkStart w:id="7" w:name="_Toc51339695"/>
      <w:r>
        <w:rPr>
          <w:rFonts w:eastAsia="Calibri"/>
          <w:b/>
          <w:sz w:val="24"/>
          <w:szCs w:val="24"/>
          <w:lang w:val="x-none" w:eastAsia="x-none"/>
        </w:rPr>
        <w:t xml:space="preserve">Таблица </w:t>
      </w:r>
      <w:r>
        <w:rPr>
          <w:rFonts w:eastAsia="Calibri"/>
          <w:b/>
          <w:sz w:val="24"/>
          <w:szCs w:val="24"/>
          <w:lang w:eastAsia="x-none"/>
        </w:rPr>
        <w:t>2.</w:t>
      </w:r>
      <w:r>
        <w:rPr>
          <w:rFonts w:eastAsia="Calibri"/>
          <w:b/>
          <w:sz w:val="24"/>
          <w:szCs w:val="24"/>
          <w:lang w:val="x-none" w:eastAsia="x-none"/>
        </w:rPr>
        <w:t xml:space="preserve"> </w:t>
      </w:r>
      <w:r>
        <w:rPr>
          <w:rFonts w:eastAsia="Calibri"/>
          <w:b/>
          <w:sz w:val="24"/>
          <w:szCs w:val="24"/>
          <w:lang w:eastAsia="x-none"/>
        </w:rPr>
        <w:t xml:space="preserve">Перечень </w:t>
      </w:r>
      <w:bookmarkEnd w:id="7"/>
      <w:r>
        <w:rPr>
          <w:rFonts w:eastAsia="Calibri"/>
          <w:b/>
          <w:sz w:val="24"/>
          <w:szCs w:val="24"/>
          <w:lang w:eastAsia="x-none"/>
        </w:rPr>
        <w:t>и объем оказываемых услуг</w:t>
      </w:r>
      <w:bookmarkEnd w:id="6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992" w:type="dxa"/>
        <w:jc w:val="left"/>
        <w:tblInd w:w="1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5620"/>
        <w:gridCol w:w="1525"/>
        <w:gridCol w:w="2247"/>
      </w:tblGrid>
      <w:tr>
        <w:trPr/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 w:val="false"/>
                <w:i w:val="false"/>
                <w:iCs w:val="false"/>
              </w:rPr>
            </w:pPr>
            <w:r>
              <w:rPr>
                <w:b/>
                <w:bCs/>
                <w:i w:val="false"/>
                <w:iCs w:val="false"/>
                <w:color w:val="000000"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bCs/>
                <w:i w:val="false"/>
                <w:iCs w:val="false"/>
                <w:color w:val="000000"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i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b/>
                <w:bCs/>
                <w:i w:val="false"/>
                <w:iCs w:val="false"/>
                <w:color w:val="000000"/>
                <w:kern w:val="0"/>
                <w:sz w:val="24"/>
                <w:szCs w:val="24"/>
                <w:lang w:val="ru-RU" w:bidi="ar-SA"/>
              </w:rPr>
              <w:t>Наименование  услуг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i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b/>
                <w:bCs/>
                <w:i w:val="false"/>
                <w:iCs w:val="false"/>
                <w:color w:val="000000"/>
                <w:kern w:val="0"/>
                <w:sz w:val="24"/>
                <w:szCs w:val="24"/>
                <w:lang w:val="ru-RU" w:bidi="ar-SA"/>
              </w:rPr>
              <w:t>Единица измерения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i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b/>
                <w:bCs/>
                <w:i w:val="false"/>
                <w:iCs w:val="false"/>
                <w:color w:val="000000"/>
                <w:kern w:val="0"/>
                <w:sz w:val="24"/>
                <w:szCs w:val="24"/>
                <w:lang w:val="ru-RU" w:bidi="ar-SA"/>
              </w:rPr>
              <w:t>Количество*</w:t>
            </w:r>
          </w:p>
        </w:tc>
      </w:tr>
      <w:tr>
        <w:trPr/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1</w:t>
            </w:r>
          </w:p>
        </w:tc>
        <w:tc>
          <w:tcPr>
            <w:tcW w:w="5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i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b/>
                <w:bCs/>
                <w:i w:val="false"/>
                <w:iCs w:val="false"/>
                <w:color w:val="000000"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i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b/>
                <w:bCs/>
                <w:i w:val="false"/>
                <w:iCs w:val="false"/>
                <w:color w:val="000000"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2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i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b/>
                <w:bCs/>
                <w:i w:val="false"/>
                <w:iCs w:val="false"/>
                <w:color w:val="000000"/>
                <w:kern w:val="0"/>
                <w:sz w:val="24"/>
                <w:szCs w:val="24"/>
                <w:lang w:val="ru-RU" w:bidi="ar-SA"/>
              </w:rPr>
              <w:t>4</w:t>
            </w:r>
          </w:p>
        </w:tc>
      </w:tr>
      <w:tr>
        <w:trPr>
          <w:trHeight w:val="70" w:hRule="atLeast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bCs/>
                <w:i w:val="false"/>
                <w:iCs w:val="false"/>
                <w:color w:val="000000"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bidi="ar-SA"/>
              </w:rPr>
            </w:pPr>
            <w:r>
              <w:rPr>
                <w:i w:val="false"/>
                <w:iCs w:val="false"/>
                <w:color w:val="000000"/>
                <w:kern w:val="0"/>
                <w:sz w:val="20"/>
                <w:szCs w:val="20"/>
                <w:lang w:val="ru-RU" w:bidi="ar-SA"/>
              </w:rPr>
              <w:t>Работы по ТР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bidi="ar-SA"/>
              </w:rPr>
            </w:pPr>
            <w:r>
              <w:rPr>
                <w:bCs/>
                <w:i w:val="false"/>
                <w:iCs w:val="false"/>
                <w:color w:val="000000"/>
                <w:kern w:val="0"/>
                <w:sz w:val="20"/>
                <w:szCs w:val="20"/>
                <w:lang w:val="ru-RU" w:bidi="ar-SA"/>
              </w:rPr>
              <w:t>н.ч.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0"/>
              <w:jc w:val="center"/>
              <w:rPr>
                <w:bCs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bidi="ar-SA"/>
              </w:rPr>
            </w:pPr>
            <w:r>
              <w:rPr>
                <w:bCs/>
                <w:i w:val="false"/>
                <w:iCs w:val="false"/>
                <w:color w:val="000000"/>
                <w:kern w:val="0"/>
                <w:sz w:val="20"/>
                <w:szCs w:val="20"/>
                <w:lang w:val="ru-RU" w:bidi="ar-SA"/>
              </w:rPr>
              <w:t>50</w:t>
            </w:r>
          </w:p>
        </w:tc>
      </w:tr>
      <w:tr>
        <w:trPr/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bCs/>
                <w:i w:val="false"/>
                <w:iCs w:val="false"/>
                <w:color w:val="000000"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bidi="ar-SA"/>
              </w:rPr>
            </w:pPr>
            <w:r>
              <w:rPr>
                <w:i w:val="false"/>
                <w:iCs w:val="false"/>
                <w:color w:val="000000"/>
                <w:kern w:val="0"/>
                <w:sz w:val="20"/>
                <w:szCs w:val="20"/>
                <w:lang w:val="ru-RU" w:bidi="ar-SA"/>
              </w:rPr>
              <w:t>Диагностические работы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bidi="ar-SA"/>
              </w:rPr>
            </w:pPr>
            <w:r>
              <w:rPr>
                <w:bCs/>
                <w:i w:val="false"/>
                <w:iCs w:val="false"/>
                <w:color w:val="000000"/>
                <w:kern w:val="0"/>
                <w:sz w:val="20"/>
                <w:szCs w:val="20"/>
                <w:lang w:val="ru-RU" w:bidi="ar-SA"/>
              </w:rPr>
              <w:t>н.ч.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0"/>
              <w:jc w:val="center"/>
              <w:rPr>
                <w:bCs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bidi="ar-SA"/>
              </w:rPr>
            </w:pPr>
            <w:r>
              <w:rPr>
                <w:bCs/>
                <w:i w:val="false"/>
                <w:iCs w:val="false"/>
                <w:color w:val="000000"/>
                <w:kern w:val="0"/>
                <w:sz w:val="20"/>
                <w:szCs w:val="20"/>
                <w:lang w:val="ru-RU" w:bidi="ar-SA"/>
              </w:rPr>
              <w:t>28</w:t>
            </w:r>
          </w:p>
        </w:tc>
      </w:tr>
      <w:tr>
        <w:trPr/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bCs/>
                <w:i w:val="false"/>
                <w:iCs w:val="false"/>
                <w:color w:val="000000"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bidi="ar-SA"/>
              </w:rPr>
            </w:pPr>
            <w:r>
              <w:rPr>
                <w:i w:val="false"/>
                <w:iCs w:val="false"/>
                <w:color w:val="000000"/>
                <w:kern w:val="0"/>
                <w:sz w:val="20"/>
                <w:szCs w:val="20"/>
                <w:lang w:val="ru-RU" w:bidi="ar-SA"/>
              </w:rPr>
              <w:t>Электромеханические работы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bidi="ar-SA"/>
              </w:rPr>
            </w:pPr>
            <w:r>
              <w:rPr>
                <w:bCs/>
                <w:i w:val="false"/>
                <w:iCs w:val="false"/>
                <w:color w:val="000000"/>
                <w:kern w:val="0"/>
                <w:sz w:val="20"/>
                <w:szCs w:val="20"/>
                <w:lang w:val="ru-RU" w:bidi="ar-SA"/>
              </w:rPr>
              <w:t>н.ч.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0"/>
              <w:jc w:val="center"/>
              <w:rPr>
                <w:bCs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bidi="ar-SA"/>
              </w:rPr>
            </w:pPr>
            <w:r>
              <w:rPr>
                <w:bCs/>
                <w:i w:val="false"/>
                <w:iCs w:val="false"/>
                <w:color w:val="000000"/>
                <w:kern w:val="0"/>
                <w:sz w:val="20"/>
                <w:szCs w:val="20"/>
                <w:lang w:val="ru-RU" w:bidi="ar-SA"/>
              </w:rPr>
              <w:t>40</w:t>
            </w:r>
          </w:p>
        </w:tc>
      </w:tr>
      <w:tr>
        <w:trPr/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bCs/>
                <w:i w:val="false"/>
                <w:iCs w:val="false"/>
                <w:color w:val="00000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bidi="ar-SA"/>
              </w:rPr>
            </w:pPr>
            <w:r>
              <w:rPr>
                <w:i w:val="false"/>
                <w:iCs w:val="false"/>
                <w:color w:val="000000"/>
                <w:kern w:val="0"/>
                <w:sz w:val="20"/>
                <w:szCs w:val="20"/>
                <w:lang w:val="ru-RU" w:bidi="ar-SA"/>
              </w:rPr>
              <w:t>Сварочные работы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bidi="ar-SA"/>
              </w:rPr>
            </w:pPr>
            <w:r>
              <w:rPr>
                <w:bCs/>
                <w:i w:val="false"/>
                <w:iCs w:val="false"/>
                <w:color w:val="000000"/>
                <w:kern w:val="0"/>
                <w:sz w:val="20"/>
                <w:szCs w:val="20"/>
                <w:lang w:val="ru-RU" w:bidi="ar-SA"/>
              </w:rPr>
              <w:t>н.ч.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0"/>
              <w:jc w:val="center"/>
              <w:rPr>
                <w:bCs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bidi="ar-SA"/>
              </w:rPr>
            </w:pPr>
            <w:r>
              <w:rPr>
                <w:bCs/>
                <w:i w:val="false"/>
                <w:iCs w:val="false"/>
                <w:color w:val="000000"/>
                <w:kern w:val="0"/>
                <w:sz w:val="20"/>
                <w:szCs w:val="20"/>
                <w:lang w:val="ru-RU" w:bidi="ar-SA"/>
              </w:rPr>
              <w:t>38</w:t>
            </w:r>
          </w:p>
        </w:tc>
      </w:tr>
    </w:tbl>
    <w:p>
      <w:pPr>
        <w:pStyle w:val="Normal"/>
        <w:rPr>
          <w:b/>
          <w:bCs/>
        </w:rPr>
      </w:pPr>
      <w:r>
        <w:rPr>
          <w:rFonts w:cs="Times New Roman"/>
          <w:b/>
          <w:bCs/>
        </w:rPr>
        <w:t>* - объем оказываемых</w:t>
      </w:r>
      <w:r>
        <w:rPr>
          <w:rFonts w:cs="Times New Roman"/>
          <w:b/>
          <w:bCs/>
          <w:color w:val="000000"/>
          <w:shd w:fill="auto" w:val="clear"/>
        </w:rPr>
        <w:t xml:space="preserve"> услуг является ориентировочным и Заказчик не несет ответственность за неполную выбо</w:t>
      </w:r>
      <w:r>
        <w:rPr>
          <w:rFonts w:cs="Times New Roman"/>
          <w:b/>
          <w:bCs/>
        </w:rPr>
        <w:t>рку услуг на общую сумму договора.</w:t>
      </w:r>
    </w:p>
    <w:p>
      <w:pPr>
        <w:pStyle w:val="Normal"/>
        <w:numPr>
          <w:ilvl w:val="0"/>
          <w:numId w:val="0"/>
        </w:numPr>
        <w:spacing w:before="120" w:after="60"/>
        <w:ind w:left="0" w:right="0" w:hanging="0"/>
        <w:outlineLvl w:val="2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outlineLvl w:val="2"/>
        <w:rPr/>
      </w:pPr>
      <w:bookmarkStart w:id="8" w:name="_Toc54643706"/>
      <w:bookmarkStart w:id="9" w:name="_Toc51339696"/>
      <w:r>
        <w:rPr>
          <w:rFonts w:eastAsia="Calibri"/>
          <w:b/>
          <w:sz w:val="24"/>
          <w:szCs w:val="24"/>
          <w:lang w:eastAsia="x-none"/>
        </w:rPr>
        <w:t>2.1.2.</w:t>
        <w:tab/>
        <w:t xml:space="preserve"> Требования </w:t>
      </w:r>
      <w:bookmarkEnd w:id="9"/>
      <w:r>
        <w:rPr>
          <w:rFonts w:eastAsia="Calibri"/>
          <w:b/>
          <w:sz w:val="24"/>
          <w:szCs w:val="24"/>
          <w:lang w:eastAsia="x-none"/>
        </w:rPr>
        <w:t>к срокам оказания услуг</w:t>
      </w:r>
      <w:bookmarkEnd w:id="8"/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left="0" w:right="0" w:hanging="0"/>
        <w:outlineLvl w:val="0"/>
        <w:rPr>
          <w:rFonts w:eastAsia="Calibri"/>
          <w:b/>
          <w:sz w:val="24"/>
          <w:szCs w:val="24"/>
          <w:lang w:val="x-none" w:eastAsia="x-none"/>
        </w:rPr>
      </w:pPr>
      <w:r>
        <w:rPr>
          <w:rFonts w:eastAsia="Calibri"/>
          <w:b/>
          <w:sz w:val="24"/>
          <w:szCs w:val="24"/>
          <w:lang w:val="x-none" w:eastAsia="x-none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outlineLvl w:val="0"/>
        <w:rPr/>
      </w:pPr>
      <w:bookmarkStart w:id="10" w:name="_Toc54643707"/>
      <w:bookmarkStart w:id="11" w:name="_Toc51339697"/>
      <w:bookmarkStart w:id="12" w:name="_Toc50125127"/>
      <w:r>
        <w:rPr>
          <w:rFonts w:eastAsia="Calibri"/>
          <w:b/>
          <w:sz w:val="24"/>
          <w:szCs w:val="24"/>
          <w:lang w:val="x-none" w:eastAsia="x-none"/>
        </w:rPr>
        <w:t xml:space="preserve">Таблица </w:t>
      </w:r>
      <w:r>
        <w:rPr>
          <w:rFonts w:eastAsia="Calibri"/>
          <w:b/>
          <w:sz w:val="24"/>
          <w:szCs w:val="24"/>
          <w:lang w:eastAsia="x-none"/>
        </w:rPr>
        <w:t>3</w:t>
      </w:r>
      <w:r>
        <w:rPr>
          <w:rFonts w:eastAsia="Calibri"/>
          <w:b/>
          <w:sz w:val="24"/>
          <w:szCs w:val="24"/>
          <w:lang w:val="x-none" w:eastAsia="x-none"/>
        </w:rPr>
        <w:t xml:space="preserve">. </w:t>
      </w:r>
      <w:bookmarkStart w:id="13" w:name="_Hlk50465284"/>
      <w:r>
        <w:rPr>
          <w:rFonts w:eastAsia="Calibri"/>
          <w:b/>
          <w:sz w:val="24"/>
          <w:szCs w:val="24"/>
          <w:lang w:val="x-none" w:eastAsia="x-none"/>
        </w:rPr>
        <w:t xml:space="preserve">Требования </w:t>
      </w:r>
      <w:r>
        <w:rPr>
          <w:rFonts w:eastAsia="Calibri"/>
          <w:b/>
          <w:sz w:val="24"/>
          <w:szCs w:val="24"/>
          <w:lang w:eastAsia="x-none"/>
        </w:rPr>
        <w:t>к</w:t>
      </w:r>
      <w:r>
        <w:rPr>
          <w:rFonts w:eastAsia="Calibri"/>
          <w:b/>
          <w:sz w:val="24"/>
          <w:szCs w:val="24"/>
          <w:lang w:val="x-none" w:eastAsia="x-none"/>
        </w:rPr>
        <w:t xml:space="preserve"> срокам </w:t>
      </w:r>
      <w:bookmarkEnd w:id="11"/>
      <w:bookmarkEnd w:id="12"/>
      <w:bookmarkEnd w:id="13"/>
      <w:r>
        <w:rPr>
          <w:rFonts w:eastAsia="Calibri"/>
          <w:b/>
          <w:sz w:val="24"/>
          <w:szCs w:val="24"/>
          <w:lang w:eastAsia="x-none"/>
        </w:rPr>
        <w:t>оказания услуг</w:t>
      </w:r>
      <w:bookmarkEnd w:id="10"/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outlineLvl w:val="0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</w:r>
    </w:p>
    <w:tbl>
      <w:tblPr>
        <w:tblW w:w="1003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3574"/>
        <w:gridCol w:w="2533"/>
        <w:gridCol w:w="3376"/>
      </w:tblGrid>
      <w:tr>
        <w:trPr/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113" w:right="0" w:hanging="0"/>
              <w:jc w:val="center"/>
              <w:rPr>
                <w:sz w:val="20"/>
                <w:szCs w:val="20"/>
              </w:rPr>
            </w:pPr>
            <w:r>
              <w:rPr>
                <w:bCs/>
                <w:iCs/>
                <w:spacing w:val="-2"/>
                <w:sz w:val="20"/>
                <w:szCs w:val="20"/>
              </w:rPr>
              <w:t>Текущий ремонт подъемных механизмов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 xml:space="preserve">С даты заключения договора, но не ранее </w:t>
            </w:r>
            <w:r>
              <w:rPr>
                <w:rFonts w:cs="Times New Roman"/>
                <w:sz w:val="20"/>
                <w:szCs w:val="20"/>
              </w:rPr>
              <w:t>01.04.2027 г.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57" w:right="0" w:hanging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31.03.2028 г.</w:t>
            </w:r>
          </w:p>
        </w:tc>
      </w:tr>
    </w:tbl>
    <w:p>
      <w:pPr>
        <w:sectPr>
          <w:type w:val="nextPage"/>
          <w:pgSz w:w="11906" w:h="16838"/>
          <w:pgMar w:left="1134" w:right="709" w:gutter="0" w:header="0" w:top="720" w:footer="0" w:bottom="72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2.2. </w:t>
        <w:tab/>
        <w:t>Требования к качеству продукции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4"/>
        <w:spacing w:before="0" w:after="0"/>
        <w:jc w:val="both"/>
        <w:rPr>
          <w:sz w:val="24"/>
          <w:szCs w:val="24"/>
        </w:rPr>
      </w:pPr>
      <w:r>
        <w:rPr>
          <w:b/>
          <w:bCs/>
          <w:vanish w:val="false"/>
          <w:color w:val="000000"/>
          <w:sz w:val="24"/>
          <w:szCs w:val="24"/>
        </w:rPr>
        <w:t xml:space="preserve"> </w:t>
      </w:r>
      <w:r>
        <w:rPr>
          <w:bCs/>
          <w:sz w:val="24"/>
          <w:szCs w:val="24"/>
        </w:rPr>
        <w:t>Таблица </w:t>
      </w:r>
      <w:r>
        <w:rPr>
          <w:bCs/>
          <w:sz w:val="24"/>
          <w:szCs w:val="24"/>
          <w:lang w:val="ru-RU"/>
        </w:rPr>
        <w:t>4</w:t>
      </w:r>
      <w:r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  <w:lang w:val="ru-RU"/>
        </w:rPr>
        <w:t>Требования к качеству продукции</w:t>
      </w:r>
    </w:p>
    <w:p>
      <w:pPr>
        <w:pStyle w:val="Style14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false"/>
        <w:bidi w:val="0"/>
        <w:spacing w:before="0" w:after="0"/>
        <w:ind w:left="57" w:right="0" w:hanging="0"/>
        <w:jc w:val="both"/>
        <w:rPr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  <w:shd w:fill="auto" w:val="clear"/>
          <w:lang w:val="ru-RU" w:eastAsia="ru-RU"/>
        </w:rPr>
        <w:t>Наименование услуг/этапа услуг (позиция № 1-4 Таблицы 2):</w:t>
      </w:r>
      <w:r>
        <w:rPr>
          <w:rFonts w:cs="Times New Roman"/>
          <w:b w:val="false"/>
          <w:bCs w:val="false"/>
          <w:sz w:val="24"/>
          <w:szCs w:val="24"/>
          <w:shd w:fill="auto" w:val="clear"/>
          <w:lang w:eastAsia="ru-RU"/>
        </w:rPr>
        <w:t xml:space="preserve"> </w:t>
      </w:r>
      <w:r>
        <w:rPr>
          <w:rFonts w:eastAsia="Calibri" w:cs="Times New Roman"/>
          <w:b w:val="false"/>
          <w:bCs/>
          <w:iCs/>
          <w:spacing w:val="-2"/>
          <w:sz w:val="24"/>
          <w:szCs w:val="24"/>
          <w:shd w:fill="auto" w:val="clear"/>
          <w:lang w:eastAsia="x-none"/>
        </w:rPr>
        <w:t>ОКПД2: 45.20.21.519 Услуги по текущему ремонту подъемных механизмов Жигулевского транспортного участка Приволжского филиала АО «ТК РусГидро»</w:t>
      </w:r>
    </w:p>
    <w:p>
      <w:pPr>
        <w:pStyle w:val="Normal"/>
        <w:numPr>
          <w:ilvl w:val="0"/>
          <w:numId w:val="0"/>
        </w:numPr>
        <w:ind w:left="360" w:right="0" w:hanging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W w:w="14565" w:type="dxa"/>
        <w:jc w:val="left"/>
        <w:tblInd w:w="10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3723"/>
        <w:gridCol w:w="4920"/>
        <w:gridCol w:w="2628"/>
        <w:gridCol w:w="2160"/>
      </w:tblGrid>
      <w:tr>
        <w:trPr/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параметра</w:t>
            </w:r>
          </w:p>
        </w:tc>
        <w:tc>
          <w:tcPr>
            <w:tcW w:w="4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Требование заказчика</w:t>
            </w:r>
          </w:p>
        </w:tc>
        <w:tc>
          <w:tcPr>
            <w:tcW w:w="4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2022" w:hRule="atLeast"/>
        </w:trPr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7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49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Согласие с требованием/ указание характеристик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оказанию услуг</w:t>
            </w:r>
          </w:p>
        </w:tc>
        <w:tc>
          <w:tcPr>
            <w:tcW w:w="2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pacing w:before="0" w:after="0"/>
              <w:ind w:left="0" w:right="0" w:hanging="0"/>
              <w:jc w:val="center"/>
              <w:rPr>
                <w:rFonts w:cs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4"/>
                <w:szCs w:val="24"/>
              </w:rPr>
              <w:t>Участник должен предоставить в заявке согласие оказать услуги,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napToGrid w:val="false"/>
              <w:spacing w:before="60" w:after="60"/>
              <w:ind w:left="-117" w:right="0" w:firstLine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8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оказанию услуг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1.1.1.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для оказания услуг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Исполнитель обязуется оказывать Заказчику услуг</w:t>
            </w:r>
            <w:r>
              <w:rPr>
                <w:sz w:val="24"/>
                <w:szCs w:val="24"/>
                <w:shd w:fill="auto" w:val="clear"/>
              </w:rPr>
              <w:t xml:space="preserve">и по </w:t>
            </w:r>
            <w:r>
              <w:rPr>
                <w:b w:val="false"/>
                <w:bCs w:val="false"/>
                <w:sz w:val="24"/>
                <w:szCs w:val="24"/>
                <w:shd w:fill="auto" w:val="clear"/>
                <w:lang w:val="ru-RU"/>
              </w:rPr>
              <w:t xml:space="preserve">ТР </w:t>
            </w:r>
            <w:r>
              <w:rPr>
                <w:b w:val="false"/>
                <w:bCs w:val="false"/>
                <w:sz w:val="24"/>
                <w:szCs w:val="24"/>
                <w:lang w:val="ru-RU"/>
              </w:rPr>
              <w:t>подъемных механизмов</w:t>
            </w:r>
            <w:r>
              <w:rPr>
                <w:sz w:val="24"/>
                <w:szCs w:val="24"/>
              </w:rPr>
              <w:t xml:space="preserve"> Заказчика на основании заявок Заказчика. После рассмотрения предварительной суммы ремонта представитель Заказчика принимает решение на проведение или не проведение технических воздействий.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spacing w:before="0" w:after="0"/>
              <w:ind w:left="0" w:right="0" w:hanging="0"/>
              <w:jc w:val="center"/>
              <w:rPr>
                <w:rFonts w:cs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1"/>
              <w:keepNext w:val="false"/>
              <w:widowControl w:val="false"/>
              <w:numPr>
                <w:ilvl w:val="0"/>
                <w:numId w:val="0"/>
              </w:numPr>
              <w:snapToGrid w:val="false"/>
              <w:spacing w:before="0" w:after="60"/>
              <w:ind w:left="0" w:right="0" w:hanging="0"/>
              <w:jc w:val="center"/>
              <w:outlineLvl w:val="2"/>
              <w:rPr>
                <w:rFonts w:cs="Times New Roman"/>
                <w:b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/>
                <w:bCs w:val="false"/>
                <w:i/>
                <w:iCs/>
                <w:sz w:val="24"/>
                <w:szCs w:val="24"/>
              </w:rPr>
            </w:r>
          </w:p>
        </w:tc>
      </w:tr>
      <w:tr>
        <w:trPr>
          <w:trHeight w:val="757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1.1.2.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контроля.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обязан по требованию Заказчика допускать его представителей для контроля процесса выполнения технологических и ремонтных операций, качества и полноты оказания услуг и в целом выполнения договорных обязательств непосредственно к местам производства работ.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57" w:hRule="atLeast"/>
        </w:trPr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1.1.3.</w:t>
            </w:r>
          </w:p>
        </w:tc>
        <w:tc>
          <w:tcPr>
            <w:tcW w:w="3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оказания услуг</w:t>
            </w:r>
          </w:p>
        </w:tc>
        <w:tc>
          <w:tcPr>
            <w:tcW w:w="4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20"/>
                <w:tab w:val="left" w:pos="851" w:leader="none"/>
              </w:tabs>
              <w:ind w:left="0" w:right="0" w:hanging="0"/>
              <w:jc w:val="both"/>
              <w:rPr/>
            </w:pPr>
            <w:r>
              <w:rPr>
                <w:rFonts w:cs="Times New Roman"/>
                <w:sz w:val="24"/>
                <w:szCs w:val="24"/>
              </w:rPr>
              <w:t xml:space="preserve">Исполнитель должен предоставлять услуги по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shd w:fill="auto" w:val="clear"/>
                <w:em w:val="none"/>
              </w:rPr>
              <w:t>ТР подъемных механизмов</w:t>
            </w: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  <w:lang w:eastAsia="ru-RU"/>
              </w:rPr>
              <w:t xml:space="preserve"> Жигулевского транспортного участка Приволжского филиала АО "ТК РусГидро"</w:t>
            </w:r>
            <w:r>
              <w:rPr>
                <w:rFonts w:cs="Times New Roman"/>
                <w:sz w:val="24"/>
                <w:szCs w:val="24"/>
              </w:rPr>
              <w:t xml:space="preserve"> в г. Тольятти Самарской области</w:t>
            </w:r>
            <w:r>
              <w:rPr>
                <w:rFonts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1.2.</w:t>
            </w:r>
          </w:p>
        </w:tc>
        <w:tc>
          <w:tcPr>
            <w:tcW w:w="8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1.2.1.</w:t>
            </w:r>
          </w:p>
        </w:tc>
        <w:tc>
          <w:tcPr>
            <w:tcW w:w="8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jc w:val="both"/>
              <w:rPr/>
            </w:pPr>
            <w:r>
              <w:rPr>
                <w:sz w:val="24"/>
                <w:szCs w:val="24"/>
              </w:rPr>
              <w:t xml:space="preserve">ТР ТС должен проводиться с соблюдением Постановления Правительства РФ № 780 </w:t>
            </w:r>
            <w:r>
              <w:rPr>
                <w:vanish w:val="false"/>
                <w:sz w:val="24"/>
                <w:szCs w:val="24"/>
              </w:rPr>
              <w:t>(в действующей редакции)</w:t>
            </w:r>
            <w:r>
              <w:rPr>
                <w:sz w:val="24"/>
                <w:szCs w:val="24"/>
              </w:rPr>
              <w:t>, инструкций по эксплуатации ТС, с целью поддержания надлежащего технического состояния ТС.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spacing w:before="0" w:after="0"/>
              <w:ind w:left="0" w:right="0" w:hanging="0"/>
              <w:jc w:val="center"/>
              <w:rPr>
                <w:rFonts w:cs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rFonts w:cs="Times New Roman"/>
                <w:b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/>
                <w:bCs w:val="false"/>
                <w:i/>
                <w:iCs/>
                <w:sz w:val="24"/>
                <w:szCs w:val="24"/>
              </w:rPr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1.3.</w:t>
            </w:r>
          </w:p>
        </w:tc>
        <w:tc>
          <w:tcPr>
            <w:tcW w:w="8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1.3.1.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используемым материалам и приспособлениям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Устанавливаемые и используемые детали, узлы, механизмы, материалы, приборы, масла и специальные жидкости должны быть новыми, не бывшими в употреблении, не восстановленными, не содержать восстановленных элементов, не должны иметь дефектов, связанных с конструкцией, материалами или работой по их изготовлению. Должны соответствовать рекомендациям, изложенным в руководстве по эксплуатации, выданным заводом-изготовителем, для данной марки подъемного механизма.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spacing w:before="0" w:after="0"/>
              <w:ind w:left="0" w:right="0" w:hanging="0"/>
              <w:jc w:val="center"/>
              <w:rPr>
                <w:rFonts w:cs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napToGrid w:val="false"/>
              <w:spacing w:before="60" w:after="60"/>
              <w:jc w:val="center"/>
              <w:rPr>
                <w:rFonts w:cs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4"/>
                <w:szCs w:val="24"/>
              </w:rPr>
            </w:r>
          </w:p>
        </w:tc>
      </w:tr>
      <w:tr>
        <w:trPr>
          <w:trHeight w:val="249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napToGrid w:val="false"/>
              <w:spacing w:before="60" w:after="60"/>
              <w:ind w:left="3900" w:right="0" w:hanging="360"/>
              <w:jc w:val="center"/>
              <w:rPr>
                <w:rFonts w:cs="Times New Roman"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r>
          </w:p>
        </w:tc>
        <w:tc>
          <w:tcPr>
            <w:tcW w:w="8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результатам услуг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2.1.</w:t>
            </w:r>
          </w:p>
        </w:tc>
        <w:tc>
          <w:tcPr>
            <w:tcW w:w="8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</w:t>
            </w:r>
          </w:p>
        </w:tc>
        <w:tc>
          <w:tcPr>
            <w:tcW w:w="8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выполнения работ подъемный механизм должен отвечать требованиям, регламентирующим федеральные нормы и правила в области промышленной безопасности, а также Приказа Ростехнадзора от 26.11.2020 N 461 "Об утверждении 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сооружения" (Зарегистрировано в Минюсте России 30.12.2020 N 61983) (далее - Приказ № 461) (в действующей редакции).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spacing w:before="0" w:after="0"/>
              <w:ind w:left="0" w:right="0" w:hanging="0"/>
              <w:jc w:val="center"/>
              <w:rPr>
                <w:rFonts w:cs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rFonts w:cs="Times New Roman"/>
                <w:b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/>
                <w:bCs w:val="false"/>
                <w:i/>
                <w:iCs/>
                <w:sz w:val="24"/>
                <w:szCs w:val="24"/>
              </w:rPr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2.2.</w:t>
            </w:r>
          </w:p>
        </w:tc>
        <w:tc>
          <w:tcPr>
            <w:tcW w:w="8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1224" w:right="0" w:hanging="11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</w:t>
            </w:r>
          </w:p>
        </w:tc>
        <w:tc>
          <w:tcPr>
            <w:tcW w:w="8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Подъемные механизмы, прошедшие</w:t>
            </w:r>
            <w:r>
              <w:rPr>
                <w:sz w:val="24"/>
                <w:szCs w:val="24"/>
                <w:shd w:fill="auto" w:val="clear"/>
              </w:rPr>
              <w:t xml:space="preserve"> ТР, </w:t>
            </w:r>
            <w:r>
              <w:rPr>
                <w:sz w:val="24"/>
                <w:szCs w:val="24"/>
              </w:rPr>
              <w:t xml:space="preserve">должны отвечать требованиям </w:t>
            </w:r>
            <w:r>
              <w:rPr>
                <w:strike w:val="false"/>
                <w:dstrike w:val="false"/>
                <w:sz w:val="24"/>
                <w:szCs w:val="24"/>
                <w:u w:val="none"/>
                <w:shd w:fill="auto" w:val="clear"/>
              </w:rPr>
              <w:t>Приказа № 461  (в действующей редакции).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spacing w:before="0" w:after="0"/>
              <w:ind w:left="0" w:right="0" w:hanging="0"/>
              <w:jc w:val="center"/>
              <w:rPr>
                <w:rFonts w:cs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rFonts w:cs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4"/>
                <w:szCs w:val="24"/>
              </w:rPr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2.3.</w:t>
            </w:r>
          </w:p>
        </w:tc>
        <w:tc>
          <w:tcPr>
            <w:tcW w:w="8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 w:val="false"/>
                <w:i w:val="false"/>
                <w:i w:val="false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приемке результата оказания услуг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2.3.1.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ТС после оказании услуги.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оказания услуги Заказчик проводит визуальный осмотр подъемного механизма на предмет соответствия заменённых деталей, узлов, агрегатов, механизмов в процессе ремонта.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spacing w:before="0" w:after="0"/>
              <w:ind w:left="0" w:right="0" w:hanging="0"/>
              <w:jc w:val="center"/>
              <w:rPr>
                <w:rFonts w:cs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rFonts w:cs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4"/>
                <w:szCs w:val="24"/>
              </w:rPr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2.4.</w:t>
            </w:r>
          </w:p>
        </w:tc>
        <w:tc>
          <w:tcPr>
            <w:tcW w:w="8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2.4.1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сдачи-приемки оказанных услуг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передает Заказчику акт сдачи-приемки оказанных услуг в двух экземплярах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spacing w:before="0" w:after="0"/>
              <w:ind w:left="0" w:right="0" w:hanging="0"/>
              <w:jc w:val="center"/>
              <w:rPr>
                <w:rFonts w:cs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rFonts w:cs="Times New Roman"/>
                <w:b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/>
                <w:bCs w:val="false"/>
                <w:i/>
                <w:iCs/>
                <w:sz w:val="24"/>
                <w:szCs w:val="24"/>
              </w:rPr>
            </w:r>
          </w:p>
        </w:tc>
      </w:tr>
      <w:tr>
        <w:trPr>
          <w:trHeight w:val="630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2.4.2.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Счет на оплату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передает счет на оплату после оказания услуги.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404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2.4.3.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Счет-фактура (если контрагент является плательщиком НДС)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передает счет фактуру или универсальный передаточный документ (если Исполнитель является плательщиком НДС)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252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1224" w:right="0" w:hanging="119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3.1.</w:t>
            </w:r>
          </w:p>
        </w:tc>
        <w:tc>
          <w:tcPr>
            <w:tcW w:w="8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Исполнитель обязан предоставить гарантию на проведенные работы не менее 3 месяцев или 100 моточасов, что наступит ранее при условии эксплуатации согласно руководству по эксплуатации.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spacing w:before="0" w:after="0"/>
              <w:ind w:left="0" w:right="0" w:hanging="0"/>
              <w:jc w:val="center"/>
              <w:rPr>
                <w:rFonts w:cs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rFonts w:cs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4"/>
                <w:szCs w:val="24"/>
              </w:rPr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Style18"/>
        <w:spacing w:before="0" w:after="0"/>
        <w:contextualSpacing/>
        <w:jc w:val="both"/>
        <w:rPr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0"/>
          <w:sz w:val="24"/>
          <w:szCs w:val="24"/>
          <w:lang w:val="x-none" w:eastAsia="x-none"/>
        </w:rPr>
        <w:t>3</w:t>
      </w:r>
      <w:r>
        <w:rPr>
          <w:rFonts w:cs="Times New Roman" w:ascii="Times New Roman" w:hAnsi="Times New Roman"/>
          <w:b/>
          <w:sz w:val="24"/>
          <w:szCs w:val="24"/>
        </w:rPr>
        <w:t xml:space="preserve">.       </w:t>
        <w:tab/>
        <w:t>Требования к документации по ценообразованию на этапе закупки</w:t>
      </w:r>
    </w:p>
    <w:p>
      <w:pPr>
        <w:pStyle w:val="Style18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8"/>
        <w:widowControl/>
        <w:numPr>
          <w:ilvl w:val="0"/>
          <w:numId w:val="0"/>
        </w:numPr>
        <w:tabs>
          <w:tab w:val="clear" w:pos="720"/>
          <w:tab w:val="left" w:pos="426" w:leader="none"/>
        </w:tabs>
        <w:suppressAutoHyphens w:val="true"/>
        <w:bidi w:val="0"/>
        <w:spacing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lang w:val="ru-RU"/>
        </w:rPr>
        <w:t xml:space="preserve">3.1.   </w:t>
        <w:tab/>
        <w:t>Стоимость за единицу услуги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услуг.</w:t>
      </w:r>
    </w:p>
    <w:p>
      <w:pPr>
        <w:pStyle w:val="Normal"/>
        <w:numPr>
          <w:ilvl w:val="0"/>
          <w:numId w:val="0"/>
        </w:numPr>
        <w:spacing w:before="0" w:after="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  <w:tab/>
        <w:t>В обоснование стоимости своей заявки Участник предоставляет Коммерческое предложение.</w:t>
      </w:r>
    </w:p>
    <w:p>
      <w:pPr>
        <w:pStyle w:val="Normal"/>
        <w:numPr>
          <w:ilvl w:val="0"/>
          <w:numId w:val="0"/>
        </w:numPr>
        <w:spacing w:before="0" w:after="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  <w:tab/>
        <w:t>Дополнительные документы по ценообразованию в состав заявки Участника не включаются.</w:t>
      </w:r>
    </w:p>
    <w:p>
      <w:pPr>
        <w:pStyle w:val="Style18"/>
        <w:tabs>
          <w:tab w:val="clear" w:pos="720"/>
          <w:tab w:val="left" w:pos="567" w:leader="none"/>
        </w:tabs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8"/>
        <w:widowControl/>
        <w:tabs>
          <w:tab w:val="clear" w:pos="720"/>
          <w:tab w:val="left" w:pos="426" w:leader="none"/>
        </w:tabs>
        <w:suppressAutoHyphens w:val="true"/>
        <w:bidi w:val="0"/>
        <w:spacing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  <w:lang w:val="ru-RU"/>
        </w:rPr>
        <w:t xml:space="preserve">4.      </w:t>
        <w:tab/>
        <w:t>Требования к документации по ценообразованию на этапе заключения (исполнения) договора</w:t>
      </w:r>
    </w:p>
    <w:p>
      <w:pPr>
        <w:pStyle w:val="Style18"/>
        <w:widowControl/>
        <w:tabs>
          <w:tab w:val="clear" w:pos="720"/>
          <w:tab w:val="left" w:pos="426" w:leader="none"/>
        </w:tabs>
        <w:suppressAutoHyphens w:val="true"/>
        <w:bidi w:val="0"/>
        <w:spacing w:before="0" w:after="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8"/>
        <w:widowControl/>
        <w:tabs>
          <w:tab w:val="clear" w:pos="720"/>
          <w:tab w:val="left" w:pos="426" w:leader="none"/>
        </w:tabs>
        <w:suppressAutoHyphens w:val="true"/>
        <w:bidi w:val="0"/>
        <w:spacing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4.1. </w:t>
        <w:tab/>
        <w:t xml:space="preserve">   </w:t>
        <w:tab/>
      </w:r>
      <w:r>
        <w:rPr>
          <w:rFonts w:cs="Times New Roman" w:ascii="Times New Roman" w:hAnsi="Times New Roman"/>
          <w:sz w:val="24"/>
        </w:rPr>
        <w:t xml:space="preserve">В итоговый расчет стоимости оказания услуг должны быть включены все налоги, сборы, пошлины и прочие обязательные платежи, возникающие в ходе исполнения обязательств по договору, а также стоимость расходных материалов, используемых в ходе оказания услуг. </w:t>
      </w:r>
    </w:p>
    <w:p>
      <w:pPr>
        <w:pStyle w:val="Style18"/>
        <w:tabs>
          <w:tab w:val="clear" w:pos="720"/>
          <w:tab w:val="left" w:pos="426" w:leader="none"/>
        </w:tabs>
        <w:spacing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4.2. </w:t>
        <w:tab/>
        <w:t xml:space="preserve">   </w:t>
        <w:tab/>
        <w:t xml:space="preserve">Стоимость 1 (одной) единицы услуг остается неизменной в течение всего срока действия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договора.</w:t>
      </w:r>
    </w:p>
    <w:p>
      <w:pPr>
        <w:pStyle w:val="Style18"/>
        <w:tabs>
          <w:tab w:val="clear" w:pos="720"/>
          <w:tab w:val="left" w:pos="426" w:leader="none"/>
        </w:tabs>
        <w:spacing w:before="0" w:after="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8"/>
        <w:tabs>
          <w:tab w:val="clear" w:pos="720"/>
          <w:tab w:val="left" w:pos="567" w:leader="none"/>
        </w:tabs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</w:p>
    <w:p>
      <w:pPr>
        <w:pStyle w:val="Normal"/>
        <w:jc w:val="both"/>
        <w:rPr>
          <w:sz w:val="24"/>
          <w:szCs w:val="24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822" w:gutter="0" w:header="720" w:top="851" w:footer="983" w:bottom="125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90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6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90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94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598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02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606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182" w:hanging="144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0"/>
      </w:numPr>
      <w:tabs>
        <w:tab w:val="clear" w:pos="720"/>
        <w:tab w:val="left" w:pos="6521" w:leader="none"/>
        <w:tab w:val="left" w:pos="6946" w:leader="none"/>
      </w:tabs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0"/>
      </w:numPr>
      <w:tabs>
        <w:tab w:val="clear" w:pos="720"/>
        <w:tab w:val="left" w:pos="6521" w:leader="none"/>
        <w:tab w:val="left" w:pos="6946" w:leader="none"/>
      </w:tabs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link w:val="3"/>
    <w:qFormat/>
    <w:pPr>
      <w:keepNext w:val="true"/>
      <w:numPr>
        <w:ilvl w:val="0"/>
        <w:numId w:val="0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qFormat/>
    <w:pPr>
      <w:keepNext w:val="true"/>
      <w:numPr>
        <w:ilvl w:val="0"/>
        <w:numId w:val="0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styleId="DefaultParagraphFont">
    <w:name w:val="Default Paragraph Font"/>
    <w:qFormat/>
    <w:rPr/>
  </w:style>
  <w:style w:type="character" w:styleId="Normal1">
    <w:name w:val="Normal1 Знак"/>
    <w:link w:val="Normal11"/>
    <w:qFormat/>
    <w:rPr>
      <w:rFonts w:eastAsia="Calibri"/>
      <w:lang w:val="ru-RU" w:eastAsia="ru-RU" w:bidi="ar-SA"/>
    </w:rPr>
  </w:style>
  <w:style w:type="character" w:styleId="Style5">
    <w:name w:val="Текст сноски Знак"/>
    <w:basedOn w:val="DefaultParagraphFont"/>
    <w:qFormat/>
    <w:rPr/>
  </w:style>
  <w:style w:type="character" w:styleId="Style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styleId="4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Style7">
    <w:name w:val="Абзац списка Знак"/>
    <w:link w:val="ListParagraph"/>
    <w:qFormat/>
    <w:rPr/>
  </w:style>
  <w:style w:type="character" w:styleId="Style8">
    <w:name w:val="комментарий"/>
    <w:qFormat/>
    <w:rPr>
      <w:b/>
      <w:i/>
      <w:shd w:fill="FFFF99" w:val="clear"/>
    </w:rPr>
  </w:style>
  <w:style w:type="character" w:styleId="Style9">
    <w:name w:val="Верхний колонтитул Знак"/>
    <w:basedOn w:val="DefaultParagraphFont"/>
    <w:qFormat/>
    <w:rPr/>
  </w:style>
  <w:style w:type="character" w:styleId="Style10">
    <w:name w:val="Нижний колонтитул Знак"/>
    <w:basedOn w:val="DefaultParagraphFont"/>
    <w:qFormat/>
    <w:rPr/>
  </w:style>
  <w:style w:type="character" w:styleId="3">
    <w:name w:val="Заголовок 3 Знак"/>
    <w:qFormat/>
    <w:rPr>
      <w:rFonts w:ascii="Calibri Light" w:hAnsi="Calibri Light" w:eastAsia="Times New Roman" w:cs="Times New Roman"/>
      <w:b/>
      <w:bCs/>
      <w:sz w:val="26"/>
      <w:szCs w:val="26"/>
    </w:rPr>
  </w:style>
  <w:style w:type="character" w:styleId="WW8Num10z0">
    <w:name w:val="WW8Num10z0"/>
    <w:qFormat/>
    <w:rPr>
      <w:sz w:val="20"/>
      <w:szCs w:val="20"/>
    </w:rPr>
  </w:style>
  <w:style w:type="character" w:styleId="WW8Num7z0">
    <w:name w:val="WW8Num7z0"/>
    <w:qFormat/>
    <w:rPr>
      <w:b/>
      <w:bCs w:val="false"/>
      <w:sz w:val="24"/>
      <w:szCs w:val="24"/>
    </w:rPr>
  </w:style>
  <w:style w:type="character" w:styleId="WW8Num7z1">
    <w:name w:val="WW8Num7z1"/>
    <w:qFormat/>
    <w:rPr>
      <w:b w:val="false"/>
      <w:bCs/>
      <w:sz w:val="24"/>
      <w:szCs w:val="24"/>
    </w:rPr>
  </w:style>
  <w:style w:type="character" w:styleId="WW8Num7z2">
    <w:name w:val="WW8Num7z2"/>
    <w:qFormat/>
    <w:rPr>
      <w:sz w:val="24"/>
      <w:szCs w:val="24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tabs>
        <w:tab w:val="clear" w:pos="720"/>
        <w:tab w:val="left" w:pos="6521" w:leader="none"/>
        <w:tab w:val="left" w:pos="6946" w:leader="none"/>
      </w:tabs>
      <w:jc w:val="center"/>
    </w:pPr>
    <w:rPr>
      <w:sz w:val="24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BodyTextIndent3">
    <w:name w:val="Body Text Indent 3"/>
    <w:basedOn w:val="Normal"/>
    <w:qFormat/>
    <w:pPr>
      <w:spacing w:before="0" w:after="120"/>
      <w:ind w:left="283" w:right="0" w:hanging="0"/>
    </w:pPr>
    <w:rPr>
      <w:sz w:val="16"/>
    </w:rPr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1">
    <w:name w:val="Обычный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Normal11">
    <w:name w:val="Normal1"/>
    <w:link w:val="Normal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link w:val="Style7"/>
    <w:qFormat/>
    <w:pPr>
      <w:ind w:left="708" w:right="0" w:hanging="0"/>
    </w:pPr>
    <w:rPr/>
  </w:style>
  <w:style w:type="paragraph" w:styleId="FootnoteText">
    <w:name w:val="Footnote Text"/>
    <w:basedOn w:val="Normal"/>
    <w:link w:val="Style5"/>
    <w:pPr/>
    <w:rPr/>
  </w:style>
  <w:style w:type="paragraph" w:styleId="TOC1">
    <w:name w:val="TOC 1"/>
    <w:basedOn w:val="Normal"/>
    <w:next w:val="Normal"/>
    <w:autoRedefine/>
    <w:pPr>
      <w:tabs>
        <w:tab w:val="clear" w:pos="720"/>
        <w:tab w:val="left" w:pos="560" w:leader="none"/>
        <w:tab w:val="right" w:pos="9496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pPr>
      <w:ind w:left="280" w:right="0" w:hanging="0"/>
    </w:pPr>
    <w:rPr>
      <w:rFonts w:cs="Calibri"/>
    </w:rPr>
  </w:style>
  <w:style w:type="paragraph" w:styleId="TOC4">
    <w:name w:val="TOC 4"/>
    <w:basedOn w:val="Normal"/>
    <w:next w:val="Normal"/>
    <w:autoRedefine/>
    <w:pPr>
      <w:tabs>
        <w:tab w:val="clear" w:pos="720"/>
        <w:tab w:val="left" w:pos="1120" w:leader="none"/>
        <w:tab w:val="right" w:pos="9911" w:leader="none"/>
      </w:tabs>
      <w:ind w:left="560" w:right="0" w:hanging="0"/>
    </w:pPr>
    <w:rPr>
      <w:rFonts w:cs="Calibri"/>
    </w:rPr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Style13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/>
      <w:sz w:val="22"/>
      <w:lang w:val="en-US" w:eastAsia="en-US"/>
    </w:rPr>
  </w:style>
  <w:style w:type="paragraph" w:styleId="Style14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15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0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Style18">
    <w:name w:val="Без интервала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ru-RU" w:bidi="ar-SA"/>
    </w:rPr>
  </w:style>
  <w:style w:type="paragraph" w:styleId="11">
    <w:name w:val="Таблица1"/>
    <w:basedOn w:val="Normal"/>
    <w:qFormat/>
    <w:pPr>
      <w:keepNext w:val="true"/>
      <w:spacing w:before="60" w:after="60"/>
      <w:jc w:val="center"/>
    </w:pPr>
    <w:rPr>
      <w:b/>
      <w:sz w:val="24"/>
    </w:rPr>
  </w:style>
  <w:style w:type="numbering" w:styleId="WW8Num10">
    <w:name w:val="WW8Num10"/>
    <w:qFormat/>
  </w:style>
  <w:style w:type="numbering" w:styleId="WW8Num7">
    <w:name w:val="WW8Num7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1D1B1337</Template>
  <TotalTime>515</TotalTime>
  <Application>AlterOffice/2025.3.1.0$Linux_X86_64 LibreOffice_project/6648c49ab2ca125dff246c75ec00a85a64baa8dd</Application>
  <AppVersion>15.0000</AppVersion>
  <Pages>8</Pages>
  <Words>1114</Words>
  <Characters>7996</Characters>
  <CharactersWithSpaces>9106</CharactersWithSpaces>
  <Paragraphs>193</Paragraphs>
  <Company>ОАО Саяно-Шушенская ГЭС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2023-01-25T04:49:00Z</dcterms:created>
  <dc:creator>Архив</dc:creator>
  <dc:description/>
  <dc:language>ru-RU</dc:language>
  <cp:lastModifiedBy>shcherbakovav@corp.gidroogk.com</cp:lastModifiedBy>
  <cp:lastPrinted>2026-08-17T13:01:10Z</cp:lastPrinted>
  <dcterms:modified xsi:type="dcterms:W3CDTF">2026-08-31T16:15:06Z</dcterms:modified>
  <cp:revision>63</cp:revision>
  <dc:subject/>
  <dc:title>Приложение № 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