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5"/>
        <w:spacing w:lineRule="auto" w:line="240" w:before="0" w:afterAutospacing="0" w:after="0"/>
        <w:ind w:firstLine="567"/>
        <w:jc w:val="center"/>
        <w:rPr>
          <w:rFonts w:ascii="PT Astra Serif" w:hAnsi="PT Astra Serif" w:cs="PT Astra Serif"/>
          <w:b/>
          <w:bCs/>
          <w:sz w:val="28"/>
          <w:szCs w:val="28"/>
          <w:highlight w:val="none"/>
        </w:rPr>
      </w:pPr>
      <w:r>
        <w:rPr>
          <w:rFonts w:eastAsia="PT Astra Serif" w:cs="PT Astra Serif" w:ascii="PT Astra Serif" w:hAnsi="PT Astra Serif"/>
          <w:b/>
          <w:sz w:val="28"/>
          <w:szCs w:val="28"/>
        </w:rPr>
        <w:t>Техническое задание</w:t>
      </w:r>
    </w:p>
    <w:p>
      <w:pPr>
        <w:pStyle w:val="Style25"/>
        <w:spacing w:lineRule="auto" w:line="240" w:before="0" w:afterAutospacing="0" w:after="0"/>
        <w:ind w:firstLine="567"/>
        <w:jc w:val="center"/>
        <w:rPr>
          <w:rFonts w:ascii="PT Astra Serif" w:hAnsi="PT Astra Serif" w:cs="PT Astra Serif"/>
          <w:b/>
          <w:sz w:val="28"/>
          <w:szCs w:val="28"/>
        </w:rPr>
      </w:pPr>
      <w:r>
        <w:rPr>
          <w:rFonts w:eastAsia="PT Astra Serif" w:cs="PT Astra Serif" w:ascii="PT Astra Serif" w:hAnsi="PT Astra Serif"/>
          <w:b/>
          <w:sz w:val="28"/>
          <w:szCs w:val="28"/>
        </w:rPr>
        <w:t>на оказание услуги по технической поддержке работоспособности комплексной системы экстренного оповещения населения Ямало-Ненецкого автономного округа об угрозе возникновения либо о возникновении чрезвычайной ситуации.</w:t>
      </w:r>
    </w:p>
    <w:p>
      <w:pPr>
        <w:pStyle w:val="Style25"/>
        <w:spacing w:lineRule="auto" w:line="240" w:before="0" w:afterAutospacing="0" w:after="0"/>
        <w:ind w:firstLine="567"/>
        <w:jc w:val="both"/>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jc w:val="both"/>
        <w:rPr>
          <w:rFonts w:ascii="PT Astra Serif" w:hAnsi="PT Astra Serif" w:cs="PT Astra Serif"/>
          <w:b/>
          <w:bCs/>
          <w:sz w:val="28"/>
          <w:szCs w:val="28"/>
          <w:highlight w:val="none"/>
        </w:rPr>
      </w:pPr>
      <w:r>
        <w:rPr>
          <w:rFonts w:eastAsia="PT Astra Serif" w:cs="PT Astra Serif" w:ascii="PT Astra Serif" w:hAnsi="PT Astra Serif"/>
          <w:b/>
          <w:sz w:val="28"/>
          <w:szCs w:val="28"/>
        </w:rPr>
        <w:t>1.1 Наименование оказываемых услуг.</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Оказание услуг по технической поддержке оборудования и программного обеспечения комплексной системы экстренного оповещения населения Ямало-Ненецкого автономного округа.</w:t>
      </w:r>
    </w:p>
    <w:p>
      <w:pPr>
        <w:pStyle w:val="Style25"/>
        <w:spacing w:lineRule="auto" w:line="240" w:before="0" w:afterAutospacing="0" w:after="0"/>
        <w:ind w:firstLine="567"/>
        <w:jc w:val="both"/>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jc w:val="both"/>
        <w:rPr>
          <w:rFonts w:ascii="PT Astra Serif" w:hAnsi="PT Astra Serif" w:cs="PT Astra Serif"/>
          <w:b/>
          <w:bCs/>
          <w:sz w:val="28"/>
          <w:szCs w:val="28"/>
          <w:highlight w:val="none"/>
        </w:rPr>
      </w:pPr>
      <w:r>
        <w:rPr>
          <w:rFonts w:eastAsia="PT Astra Serif" w:cs="PT Astra Serif" w:ascii="PT Astra Serif" w:hAnsi="PT Astra Serif"/>
          <w:b/>
          <w:sz w:val="28"/>
          <w:szCs w:val="28"/>
        </w:rPr>
        <w:t>1.2. Цель оказания услуги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Обеспечение бесперебойного функционирования оборудования и программного обеспечения комплексной системы экстренного оповещения населения Ямало-Ненецкого автономного округа об угрозе возникновения либо о возникновении чрезвычайной ситуации (далее - Система) с целью обеспечения возможности своевременной организации оповещения населения ЯНАО об опасных природных явлениях и техногенных процессах, а также для доведения сигналов и экстренной информации до территориальных органов управления и сил РСЧС ЯНАО в автономном или автоматизированном режиме с регионального пункта управления.</w:t>
      </w:r>
    </w:p>
    <w:p>
      <w:pPr>
        <w:pStyle w:val="Style25"/>
        <w:spacing w:lineRule="auto" w:line="240" w:before="0" w:afterAutospacing="0" w:after="0"/>
        <w:ind w:firstLine="567"/>
        <w:jc w:val="both"/>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jc w:val="both"/>
        <w:rPr>
          <w:rFonts w:ascii="PT Astra Serif" w:hAnsi="PT Astra Serif" w:cs="PT Astra Serif"/>
          <w:b/>
          <w:bCs/>
          <w:sz w:val="28"/>
          <w:szCs w:val="28"/>
          <w:highlight w:val="none"/>
        </w:rPr>
      </w:pPr>
      <w:r>
        <w:rPr>
          <w:rFonts w:eastAsia="PT Astra Serif" w:cs="PT Astra Serif" w:ascii="PT Astra Serif" w:hAnsi="PT Astra Serif"/>
          <w:b/>
          <w:sz w:val="28"/>
          <w:szCs w:val="28"/>
        </w:rPr>
        <w:t xml:space="preserve">1.3 Основные понятия технической поддержки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Техническая поддержка Системы организуется для обеспечения возможности бесперебойного выполнения Системой в целом (и всеми ее компонентами в частности) выполнения основных функциональных возможностей и поддержания технических характеристик функционирования в установленных пределах.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Основные функциональные возможности и технические характеристики функционирования Системы и ее компонентов приведены в разделе 1.5.</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Техническая поддержка Системы организуется на основе инцидентной модели. Каждое событие, связанное с обращением за технической поддержкой (далее - Заявкой), считается инцидентом, а все действия, связанные с ним - обработкой инцидента.</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Для классификации инцидентов при регистрации Заявки применяется классификационный параметр - «Критичность инцидента».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Критичность инцидента может принимать значения: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Экстренная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Средняя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Низкая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Уровень критичности первоначально присваиваются инциденту при регистрации Заявки, но в дальнейшем, при обработке инцидента, может быть изменен.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Критерии присвоения инциденту уровня критичности приведены в пункте 1.7 настоящего технического задания.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Информация о выявленных ошибках регистрируется в Журнале учёта инцидентов с соответствующей пометкой в графе «Вид обращения». Форма Журнала учета инцидентов приведена в Приложении 1. </w:t>
      </w:r>
    </w:p>
    <w:p>
      <w:pPr>
        <w:pStyle w:val="Style25"/>
        <w:spacing w:lineRule="auto" w:line="240" w:before="0" w:afterAutospacing="0" w:after="0"/>
        <w:ind w:firstLine="567"/>
        <w:jc w:val="both"/>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jc w:val="both"/>
        <w:rPr>
          <w:rFonts w:ascii="PT Astra Serif" w:hAnsi="PT Astra Serif" w:cs="PT Astra Serif"/>
          <w:b/>
          <w:bCs/>
          <w:sz w:val="28"/>
          <w:szCs w:val="28"/>
          <w:highlight w:val="none"/>
        </w:rPr>
      </w:pPr>
      <w:r>
        <w:rPr>
          <w:rFonts w:eastAsia="PT Astra Serif" w:cs="PT Astra Serif" w:ascii="PT Astra Serif" w:hAnsi="PT Astra Serif"/>
          <w:b/>
          <w:sz w:val="28"/>
          <w:szCs w:val="28"/>
        </w:rPr>
        <w:t xml:space="preserve">1.4 </w:t>
        <w:tab/>
        <w:t xml:space="preserve">Объект и потребители технической поддержки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Объектом технической поддержки является оборудование и программное обеспечение Системы.</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Потребителями технической поддержки являются: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Администраторы Системы - в части круга вопросов, касающихся настройки и технического обслуживания Системы;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Пользователи Системы - в части вопросов, касающихся функционирования Системы. </w:t>
      </w:r>
    </w:p>
    <w:p>
      <w:pPr>
        <w:pStyle w:val="Style25"/>
        <w:spacing w:lineRule="auto" w:line="240" w:before="0" w:afterAutospacing="0" w:after="0"/>
        <w:ind w:firstLine="567"/>
        <w:jc w:val="both"/>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jc w:val="both"/>
        <w:rPr>
          <w:rFonts w:ascii="PT Astra Serif" w:hAnsi="PT Astra Serif" w:cs="PT Astra Serif"/>
          <w:b/>
          <w:bCs/>
          <w:sz w:val="28"/>
          <w:szCs w:val="28"/>
          <w:highlight w:val="none"/>
        </w:rPr>
      </w:pPr>
      <w:r>
        <w:rPr>
          <w:rFonts w:eastAsia="PT Astra Serif" w:cs="PT Astra Serif" w:ascii="PT Astra Serif" w:hAnsi="PT Astra Serif"/>
          <w:b/>
          <w:sz w:val="28"/>
          <w:szCs w:val="28"/>
        </w:rPr>
        <w:t>1.5. Основные функциональные возможности и технические характеристики функционирования поддерживаемого оборудования и программного обеспечения.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1.5.1. Основные функциональные возможности и технические характеристики функционирования оборудования и программного обеспечения Основного пункта управления оповещением КСЭОН (далее – ПУ).</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ПУ состоит из программно-аппаратного комплекса ПАК «МУССОН» КТСО МУССОН, осуществляющего управление всеми элементами системы оповещения, прием и передачу команд, сигналов и информации оповещения, квитирование (прием и передача сигналов подтверждения) выполнения команд на оповещение, прием информации от систем мониторинга опасных природных и техногенных ЧС и потенциально опасных объектов. ПАК состоит из специального программного обеспечения (СПО) и аппаратных средств.</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СПО ПАК «МУССОН» обеспечивает хранение базы данных информации о доступных средствах (сетях средств) оповещения, их географическом расположении, объединении их в группы (зоны) оповещения, а также созданных сценариев оповещения. СПО осуществляет мониторинг функционирования всех элементов системы и предоставлять интерфейс и средства для проведения администрирования, диагностики и технического обслуживания ее компонентов. В СПО хранится база данных о всех пользователях, имеющих право доступа к системе, предоставленных им полномочиях и ролях на задействование тех или иных функций или компонентов системы оповещения, содержатся параметры учетных записей (имя пользователя и пароль) и производится авторизация пользователей.</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Аппаратное обеспечение ПАК состоит из медиашлюза и инфраструктурных компонентов (шкафа телекоммуникационного, модуля питания с аккумуляторными батареями, кабеля потокового).</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Медиашлюз является комбинированным устройством, обеспечивающим на основе единой аппаратно-программной платформы следующие функциональные возможности: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функционирование в режиме программного коммутатора класса 5;</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возможность регистрации SIP терминалов;</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возможность создания нескольких независимых конфигураций виртуальных шлюзов;</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преобразование адресной информации (ПО с поддержкой сигнализаций SIP и H.323);</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возможность автоматического перехода на резервное направление связи (SIP-транк) в случае потери соединения на основном маршруте;</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обработка DTMF-сигналов;</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маршрутизация вызовов (ПО с поддержкой сигнализаций SIP и H.323);</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работа без привратника (ПО с поддержкой сигнализации H.323);</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генерирование акустических сигналов;</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поддержка факсимильных сессий;</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перемаршрутизация, поддержка резервных маршрутов (ПО с поддержкой сигнализаций SIP и H.323);</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поддержка нескольких пунктов сигнализации ОКС №7;</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совмещенный сигнальный и медиашлюз (ПО с поддержкой сигнализаций H.248+SIGTRAN);</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ведение CDR-записей и статистики об использовании системы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взаимодействие с несколькими устройствами по SIP и H.323 (поддержка нескольких направлений SIP или H.323);</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обеспечение подключения данного муниципального сегмента к ССОП через интерфейс PRI по протоколам сигнализации: DSS1, SS7, R1,5;</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возможность аппаратного резервирования каналов подключения данного районного сегмента Системы к ТфОП путем дублирования;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 xml:space="preserve">возможность программного резервирования каналов подключения данного районного сегмента Системы к ТфОП, позволяющее району функционировать автономно, при отсутствии связи с ЦОВ.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возможность установки и исполнения прикладного программного обеспечения АИС Системы управления КСЭОН;</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хранение голосовых сообщений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хранение баз данных ПО Системы управления КСЭОН;</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емкость стыка с ТфОП: 2 потока Е1;</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интерфейс подключения: 100BaseT, 100BaseFX;</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размер кассеты: 19", не более 1U</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количество поддерживаемых точек оповещения: не менее 2000.</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Инфраструктурные компоненты представляют собой комплект из шкафа телекоммуникационного и модуля питания с аккумуляторными батареями, предназначенных для размещения медиашлюза и программно-аппаратного комплекса оповещения населения по сети мобильной связи CellBroadcast, а также кабеля потокового.</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Телекоммуникационный шкаф имеет следующие характеристики: конструктив 19”, настенный монтаж, количество RU –  не менее 6.</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Модуль питания представляет собой преобразователь напряжения (AC 220В -&gt;DC 48В) для питания медиашлюза и аккумуляторные батареи, обеспечивающие не менее чем 4 часа работы медиашлюза с номинальной нагрузкой с СПО КСЭОН.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Кабель потоковый обеспечивает подключение не менее двух потоков E1 с интерфейсом G.703 к медиашлюзу.</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СПО представляет собой управляющую систему, используемую на региональных, муниципальных и локальных (объектовых) уровнях управления в рамках централизованного управления создаваемой КСЭОН и имеющую следующие оперативно-технические характеристики: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круглосуточное функционирование и постоянную готовность к применению по предназначения во всех режимах функционирования РСЧС;</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обеспечение своевременного, гарантированного и достоверного доведения информации, сигналов оповещения и экстренной аудио – видео информации оповещения до населения;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осуществление управления на региональном уровне не менее, чем с трех центров оповещения одного уровня, на муниципальном и объектовом уровнях - с пунктов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возможность обеспечения 100% охвата населения, находящегося на территории, на которой существует угроза возникновения ЧС, либо в зоне ЧС;</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возможность обеспечения оповещения инвалидов и других лиц с ограниченными возможностями здоровья с учетом дифференциации по видам ограничения их жизнедеятельности.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Общее время доведения сигналов и экстренной информации оповещения до населения с момента получения достоверных данных об угрозе возникновения или возникновения ЧС природного или техногенного характера или команды на оповещение с системы оповещения верхнего уровня в Системе не превышает:</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на региональном и муниципальном уровнях - не более 5 минут;</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на объектовом уровне - не более 1 минуты.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СПО обеспечивает следующие режимы передачи информации и сигналов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циркулярный;</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циркулярный по заранее установленным программам;</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избирательный в пределах одного уровня системы КСЭОН;</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избирательный (через один или два уровня) по заранее установленным программам.</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СПО предусматривает:</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интеграцию технических и программных средств на всех уровнях управления;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централизованное и децентрализованное управление на всю глубину системы;</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обмен информацией между уровнями в автоматическом, автоматизированном, ручном и в диалоговом режимах;</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передачу и прием подтверждения о переданных сигналах и информации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сопряжение с системами мониторинга и прогнозирования чрезвычайных ситуаций функциональных подсистем РСЧС, обработку в автоматическом и автоматизированном режиме поступающих от них формализованных данных и выдачу команд на задействование автоматизированной системы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автоматическое отображение и документирование предаваемых сигналов и информации оповещения, данных и подтверждений об их приеме;</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документирование действий оперативного дежурного по управлению системой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возможность установки приоритетов центров (пунктов) оповещения одного уровня;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возможность передачи информации и сигналов оповещения на все доступные уровни системы;</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дистанционное управление средствами оповещения населения;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ввод экстренной информации оповещения в систему с автоматизированных рабочих мест (АРМ) комплексов технических средств оповещения (КТСО) центров (пунктов)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передачу заранее записанных аудио-сообщений или сообщений с микрофона;</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передачу условных сигналов и буквенно-цифровых сообщений;</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ввод экстренной аудио–видео информации оповещения в систему из теле-радиовещательных студийных комплексов различных уровней;</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возможность программно-технического сопряжения с СОУЭ на объектовом уровне с возможностью передачи сигналов и информации оповещения (в том числе сигнала «Внимание всем!») на оконечные средства СОУЭ;</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В рамках сопряжения с программно-техническими комплексами систем мониторинга, прогнозирования, наблюдения и лабораторного контроля Система предусматривает:</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обеспечение приема и обработки информации о ЧС, поступающей от терминальных комплексов систем мониторинга, прогнозирования, наблюдения и лабораторного контроля;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программно-техническое сопряжение с соответствующими автоматизированными комплексами сбора, обработки и представления информации систем мониторинга на всех уровнях.</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обеспечение ввода данных от систем мониторинга в виде стандартных протоколов обмена для обработки в модулях сопряжения и выдачи команд на ее задействование;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обеспечение автоматического (без участия операторов) и автоматизированный режим сопряжения системы оповещения с системами контроля.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СПО поддерживает как традиционные (применяемые в существующих системах оповещения), так и перспективные (не используемые в существующих системах оповещения) средства оповещения населения.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СПО поддерживает следующие традиционные средства оповещения населения: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сети электросиренного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радиотрансляционные сети населенных пунктов (сети проводного радиовещания);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сети радиовещания;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сети телевещания и кабельного телевидения (видеоизображение и звуковое сопровождение);</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сети уличной звукофикации;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объектовые системы оповещения и управления эвакуацией при пожаре (СОУЭ).</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СПО поддерживает следующие перспективные средства оповещения населения: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сети телевещания и кабельного телевидения (наложение информации);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сети спутникового телевещания (видеоизображение, звуковое сопровождение, наложение информации);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сети мобильной связи, в том числе с использованием SMS-рассылки и технологий CellBroadcast;</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сети телефонной связи населенных пунктов;</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оповещение в малонаселенных, удаленных, труднодоступных населенных пунктах с применением каналов связи таксофонов «Универсальной услуги связи»;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терминальные элементы сетей ОКСИОН и СЗИОНТ;</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сеть Интернет;</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рекламные экраны, табло и другие средства электронной рекламы;</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оповещение в автоматическом режиме при помощи транспортных средств оперативных служб, оборудованных громкоговорящими устройствами.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Для обеспечения взаимодействия со средствами оповещения СПО использует возможность передачи информации управления: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по коммутируемому речевому каналу связи через встроенный пул внутриполосных модем с поддержкой кодирования информации по спецификации «3GPPTS26.267 v.12.0.0»;</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по сети передачи данных с коммутацией пакетов на основе стека протоколов TCP/IP - поддержку языка «W3CExtensibleMarkupLanguage (XML) 1.1» и передачи речевой (звуковой) информации с использованием кодеков сжатия аудиоданных G.711, G.729.</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Для целей защиты от несанкционированного доступа и запуска системы оповещения сообщения, передаваемые СПО КСЭОН, должны иметь поддержку проверки подписей и сертификатов в соответствии с ГОСТ Р 34.10.2012.</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1.5.2. Основные функциональные возможности и технические характеристики функционирования оборудования и программного обеспечения программно-аппаратного комплекса оповещения населения по сети мобильной связи </w:t>
      </w:r>
      <w:r>
        <w:rPr>
          <w:rFonts w:eastAsia="PT Astra Serif" w:cs="PT Astra Serif" w:ascii="PT Astra Serif" w:hAnsi="PT Astra Serif"/>
          <w:sz w:val="28"/>
          <w:szCs w:val="28"/>
          <w:lang w:val="en-US"/>
        </w:rPr>
        <w:t>CellBroadcast</w:t>
      </w:r>
      <w:r>
        <w:rPr>
          <w:rFonts w:eastAsia="PT Astra Serif" w:cs="PT Astra Serif" w:ascii="PT Astra Serif" w:hAnsi="PT Astra Serif"/>
          <w:sz w:val="28"/>
          <w:szCs w:val="28"/>
        </w:rPr>
        <w:t>.</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Программно-аппаратный комплекс оповещения населения по сети мобильной связи CellBroadcast (далее – ПАК CBC) функционирует под управлением ПАК «МУССОН» и предназначен для создания и запуска рассылок вещательных сообщений по технологии CellBroadcast абонентам сети подвижной связи стандарта GSM, находящимся (зарегистрованным) в зоне действия определенных базовых станций сети подвижной связи оператора связи.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ПАК состоит из компьютера стоечного, операционной системы и прикладного программного обеспечения.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Компьютер стоечный обладает следующей функциональностью:</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 корпус для установки в стойку 19'' 1 RU</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- 1 процессор</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- 6 ядер</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 частота 2,5 ГГц</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 кеш-память 15 Мб</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 оперативная память 16 Гб</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 xml:space="preserve">- жесткий диск: 2 диска, 300Гб, RPM 15к, интерфейс -SAS, возможность HotPlug. наличие HW RAID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 блок питания: 2 шт, 460 W, 4 порта eth, наличие отдельного порта управления и мониторинга сервера.</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Операционная система: дистрибутивы ОС Linux 64-bit Enterprise типа SLES (SUSE), RHEL (RedHat).</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Программное обеспечение ПАК CBC обладает следующей функциональностью:</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1. Запуск Cellbroadcast-оповещения. Запуск должен осуществляться путём передачи команды (последовательности команд) из Системы управления КСЭОН через ПАК CBC в комплекс вещания CellBroadCast (CBC-центр) оператора подвижной связи, содержащих:</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Идентификатор команды;</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Уникальный идентификатор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Географическую координату территории в виде пары координат (радиус и центр окружности), или чётного количества координат (пары координат широты и долготы вершин многоугольника, внутри которого предполагается запустить рассылку)</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 xml:space="preserve">При невозможности обработки географической координаты, вместо неё могут передаваться LAC и Сell ID. В этом случае Оператор должен предоставить информацию о расположении базовых станций (nаблица, содержащая адрес, широту, долготу, азимут антенны, LAC, Сell ID), а также периодически её актуализировать.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Идентификатор сообщения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w:t>
      </w:r>
      <w:r>
        <w:rPr>
          <w:rFonts w:eastAsia="PT Astra Serif" w:cs="PT Astra Serif" w:ascii="PT Astra Serif" w:hAnsi="PT Astra Serif"/>
          <w:sz w:val="28"/>
          <w:szCs w:val="28"/>
        </w:rPr>
        <w:tab/>
        <w:t>Идентификатор канала, по которому необходимо запустить оповещение. Требуется производить оповещение по каналам №50 и №998. В случае наличия технической возможности вещания ETWS в соответствии с 3GPP TS 23.041 требуется передавать через интерфейс параметры WarningPeriod и WarningType.</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2. Длительность запуска CBС-оповещения не должна превышать 5 минут. Оповещение осуществляется до тех пор, пока не будет получена команда от Системы управления КСЭОН на его остановку.</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3. Погрешность между заданной в интерфейсе координатой и реальной территорией оповещения не превышает 1км.</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4. Остановка CBС-оповещения. Остановка должна осуществляться путём передачи команды (последовательности команд) из Системы управления КСЭОН через ПАК CBC в комплекс вещания CellBroadCast (CBC-центр) оператора подвижной связи, содержащих:</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w:t>
      </w:r>
      <w:r>
        <w:rPr>
          <w:rFonts w:eastAsia="PT Astra Serif" w:cs="PT Astra Serif" w:ascii="PT Astra Serif" w:hAnsi="PT Astra Serif"/>
          <w:sz w:val="28"/>
          <w:szCs w:val="28"/>
        </w:rPr>
        <w:t>Идентификатор команды;</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w:t>
      </w:r>
      <w:r>
        <w:rPr>
          <w:rFonts w:eastAsia="PT Astra Serif" w:cs="PT Astra Serif" w:ascii="PT Astra Serif" w:hAnsi="PT Astra Serif"/>
          <w:sz w:val="28"/>
          <w:szCs w:val="28"/>
        </w:rPr>
        <w:t>Уникальный идентификатор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1.5.3. Основные функциональные возможности и технические характеристики функционирования оборудования и программного обеспечения АРМ управления оповещением.</w:t>
      </w:r>
    </w:p>
    <w:p>
      <w:pPr>
        <w:pStyle w:val="Normal"/>
        <w:spacing w:lineRule="auto" w:line="240" w:before="0" w:afterAutospacing="0" w:after="0"/>
        <w:ind w:firstLine="708"/>
        <w:jc w:val="both"/>
        <w:rPr>
          <w:rFonts w:ascii="PT Astra Serif" w:hAnsi="PT Astra Serif" w:cs="PT Astra Serif"/>
          <w:sz w:val="28"/>
          <w:szCs w:val="28"/>
        </w:rPr>
      </w:pPr>
      <w:r>
        <w:rPr>
          <w:rFonts w:eastAsia="PT Astra Serif" w:cs="PT Astra Serif" w:ascii="PT Astra Serif" w:hAnsi="PT Astra Serif"/>
          <w:sz w:val="28"/>
          <w:szCs w:val="28"/>
        </w:rPr>
        <w:t>АРМ управления оповещением (далее – АРМ) представляет собой специализированное программное обеспечение, устанавливаемое на типовой персональный компьютер, и предназначенное для осуществления взаимодействия диспетчера с системой оповещения КСЭОН. С помощью АРМ должностное лицо, имеющее полномочия на управление системой оповещения КСЭОН (далее – диспетчер), должно иметь возможность производить все мероприятия по запуску, контролю, мониторингу и тестированию элементов системы оповещения.</w:t>
      </w:r>
    </w:p>
    <w:p>
      <w:pPr>
        <w:pStyle w:val="19"/>
        <w:spacing w:lineRule="auto" w:line="240" w:before="0" w:afterAutospacing="0" w:after="0"/>
        <w:ind w:firstLine="708" w:left="0"/>
        <w:contextualSpacing/>
        <w:jc w:val="both"/>
        <w:rPr>
          <w:rFonts w:ascii="PT Astra Serif" w:hAnsi="PT Astra Serif" w:cs="PT Astra Serif"/>
          <w:sz w:val="28"/>
          <w:szCs w:val="28"/>
        </w:rPr>
      </w:pPr>
      <w:r>
        <w:rPr>
          <w:rFonts w:eastAsia="PT Astra Serif" w:cs="PT Astra Serif" w:ascii="PT Astra Serif" w:hAnsi="PT Astra Serif"/>
          <w:sz w:val="28"/>
          <w:szCs w:val="28"/>
        </w:rPr>
        <w:t xml:space="preserve">АРМ состоит из системного блока компьютера персонального, монитора, источника бесперебойного питания, микрофона, IP-телефона и прикладного программного обеспечения. </w:t>
      </w:r>
    </w:p>
    <w:p>
      <w:pPr>
        <w:pStyle w:val="Normal"/>
        <w:spacing w:lineRule="auto" w:line="240" w:before="0" w:afterAutospacing="0" w:after="0"/>
        <w:ind w:firstLine="709"/>
        <w:jc w:val="both"/>
        <w:rPr>
          <w:rFonts w:ascii="PT Astra Serif" w:hAnsi="PT Astra Serif" w:cs="PT Astra Serif"/>
          <w:sz w:val="28"/>
          <w:szCs w:val="28"/>
        </w:rPr>
      </w:pPr>
      <w:r>
        <w:rPr>
          <w:rFonts w:eastAsia="PT Astra Serif" w:cs="PT Astra Serif" w:ascii="PT Astra Serif" w:hAnsi="PT Astra Serif"/>
          <w:sz w:val="28"/>
          <w:szCs w:val="28"/>
        </w:rPr>
        <w:t>Прикладное программное обеспечение позволяет диспетчеру выполнять следующие действия с КСЭОН:</w:t>
      </w:r>
    </w:p>
    <w:p>
      <w:pPr>
        <w:pStyle w:val="Normal"/>
        <w:spacing w:lineRule="auto" w:line="240" w:before="0" w:afterAutospacing="0" w:after="0"/>
        <w:ind w:firstLine="709"/>
        <w:jc w:val="both"/>
        <w:rPr>
          <w:rFonts w:ascii="PT Astra Serif" w:hAnsi="PT Astra Serif" w:cs="PT Astra Serif"/>
          <w:sz w:val="28"/>
          <w:szCs w:val="28"/>
        </w:rPr>
      </w:pPr>
      <w:r>
        <w:rPr>
          <w:rFonts w:eastAsia="PT Astra Serif" w:cs="PT Astra Serif" w:ascii="PT Astra Serif" w:hAnsi="PT Astra Serif"/>
          <w:sz w:val="28"/>
          <w:szCs w:val="28"/>
        </w:rPr>
        <w:t>- задействовать определенные элементы системы КСЭОН с целью проведения оповещения (включая возможность передачи своего голосового оповещения через микрофон АРМ);</w:t>
      </w:r>
    </w:p>
    <w:p>
      <w:pPr>
        <w:pStyle w:val="Normal"/>
        <w:spacing w:lineRule="auto" w:line="240" w:before="0" w:afterAutospacing="0" w:after="0"/>
        <w:ind w:firstLine="709"/>
        <w:jc w:val="both"/>
        <w:rPr>
          <w:rFonts w:ascii="PT Astra Serif" w:hAnsi="PT Astra Serif" w:cs="PT Astra Serif"/>
          <w:sz w:val="28"/>
          <w:szCs w:val="28"/>
        </w:rPr>
      </w:pPr>
      <w:r>
        <w:rPr>
          <w:rFonts w:eastAsia="PT Astra Serif" w:cs="PT Astra Serif" w:ascii="PT Astra Serif" w:hAnsi="PT Astra Serif"/>
          <w:sz w:val="28"/>
          <w:szCs w:val="28"/>
        </w:rPr>
        <w:t>- произвести контроль выполнения оповещения, индикацию получаемых входящих сигналов оповещения и квитирования от подключенных систем других уровней;</w:t>
      </w:r>
    </w:p>
    <w:p>
      <w:pPr>
        <w:pStyle w:val="Normal"/>
        <w:spacing w:lineRule="auto" w:line="240" w:before="0" w:afterAutospacing="0" w:after="0"/>
        <w:ind w:firstLine="709"/>
        <w:jc w:val="both"/>
        <w:rPr>
          <w:rFonts w:ascii="PT Astra Serif" w:hAnsi="PT Astra Serif" w:cs="PT Astra Serif"/>
          <w:sz w:val="28"/>
          <w:szCs w:val="28"/>
        </w:rPr>
      </w:pPr>
      <w:r>
        <w:rPr>
          <w:rFonts w:eastAsia="PT Astra Serif" w:cs="PT Astra Serif" w:ascii="PT Astra Serif" w:hAnsi="PT Astra Serif"/>
          <w:sz w:val="28"/>
          <w:szCs w:val="28"/>
        </w:rPr>
        <w:t>- инициировать процедуру индивидуального оповещения должностных лиц;</w:t>
      </w:r>
    </w:p>
    <w:p>
      <w:pPr>
        <w:pStyle w:val="Normal"/>
        <w:spacing w:lineRule="auto" w:line="240" w:before="0" w:afterAutospacing="0" w:after="0"/>
        <w:ind w:firstLine="709"/>
        <w:jc w:val="both"/>
        <w:rPr>
          <w:rFonts w:ascii="PT Astra Serif" w:hAnsi="PT Astra Serif" w:cs="PT Astra Serif"/>
          <w:sz w:val="28"/>
          <w:szCs w:val="28"/>
        </w:rPr>
      </w:pPr>
      <w:r>
        <w:rPr>
          <w:rFonts w:eastAsia="PT Astra Serif" w:cs="PT Astra Serif" w:ascii="PT Astra Serif" w:hAnsi="PT Astra Serif"/>
          <w:sz w:val="28"/>
          <w:szCs w:val="28"/>
        </w:rPr>
        <w:t>- проводить мероприятия по техническому обслуживанию, тестированию работоспособности и контролю функционирования элементов системы оповещения;</w:t>
      </w:r>
    </w:p>
    <w:p>
      <w:pPr>
        <w:pStyle w:val="Normal"/>
        <w:spacing w:lineRule="auto" w:line="240" w:before="0" w:afterAutospacing="0" w:after="0"/>
        <w:ind w:firstLine="709"/>
        <w:jc w:val="both"/>
        <w:rPr>
          <w:rFonts w:ascii="PT Astra Serif" w:hAnsi="PT Astra Serif" w:cs="PT Astra Serif"/>
          <w:sz w:val="28"/>
          <w:szCs w:val="28"/>
        </w:rPr>
      </w:pPr>
      <w:r>
        <w:rPr>
          <w:rFonts w:eastAsia="PT Astra Serif" w:cs="PT Astra Serif" w:ascii="PT Astra Serif" w:hAnsi="PT Astra Serif"/>
          <w:sz w:val="28"/>
          <w:szCs w:val="28"/>
        </w:rPr>
        <w:t xml:space="preserve">- выполнять администрирование баз данных элементов системы оповещения, средств (сетей) оповещения, их географическом расположении, объединении их в группы (зоны) оповещения, подготовке сценариев оповещения. </w:t>
      </w:r>
    </w:p>
    <w:p>
      <w:pPr>
        <w:pStyle w:val="Normal"/>
        <w:spacing w:lineRule="auto" w:line="240" w:before="0" w:afterAutospacing="0" w:after="0"/>
        <w:ind w:firstLine="708"/>
        <w:jc w:val="both"/>
        <w:rPr>
          <w:rFonts w:ascii="PT Astra Serif" w:hAnsi="PT Astra Serif" w:cs="PT Astra Serif"/>
          <w:sz w:val="28"/>
          <w:szCs w:val="28"/>
        </w:rPr>
      </w:pPr>
      <w:r>
        <w:rPr>
          <w:rFonts w:eastAsia="PT Astra Serif" w:cs="PT Astra Serif" w:ascii="PT Astra Serif" w:hAnsi="PT Astra Serif"/>
          <w:sz w:val="28"/>
          <w:szCs w:val="28"/>
        </w:rPr>
        <w:t>Прикладное программное обеспечение должно поддерживать совместную работу с СПО ПАК «МУССОН».</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1.5.4. Основные функциональные возможности и технические характеристики функционирования оборудования и программного обеспечения модульного комплекта громкоговорящего оповещения МУССОН.</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Модульный комплект громкоговорящего оповещения МУССОН (далее – комплект) предназначен для оповещения населения путем передачи речевых сигналов или звука имитации электрической сирены. Комплект поддерживает управление от СПО ПАК «МУССОН» основного пункта управления.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Комплект осуществляет прием сигналов управления и информации оповещения от ПАК «МУССОН» и производит выдачу акустической информации и речевых сигналов оповещения, а также имитированного звука электрической сирены, через подключенные к нему рупорные громкоговорители.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Комплект состоит из блока оповещения с усилителем звуковой частоты и всепогодных рупорных громкоговорителей.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Блок оповещения предназначен для эксплуатации в закрытых помещениях в круглосуточном режиме при следующих климатических условиях:</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температура окружающей среды от 0 до плюс 30°C;</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относительная влажность воздуха до 95% при температуре +25°C;</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атмосферное давление от 84 до 107 кПа.</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Рупорные громкоговорители должны быть предназначены для эксплуатации на улице в круглосуточном режиме при следующих климатических условиях:</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температура окружающей среды от минус 40 до плюс 50°C;</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относительная влажность воздуха до 95% при температуре +25°C;</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атмосферное давление от 84 до 107 кПа.</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Блок оповещения населения предназначен для совместного использования канала связи и инфраструктуры связи таксофона «Универсальной услуги связи» с подключением по следующим каналам связи: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аналоговая двухпроводная абонентская линия;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радиоканал связи по технологии сети подвижной связи стандарта GSM;</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спутниковый канал связи (подключение по порту Ethernet 10/100Base-T к оборудованию таксофонного комплекта спутниковой связи).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Блок оповещения имеет следующие интерфейсы подключения: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Для основных каналов связи: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не менее 1 (одного) порта Ethernet 10/100Base-T;</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не менее 1 (одного) стандартного двухпроводного аналогового интерфейса абонентской телефонной линии. Интерфейс должен быть рассчитан на подключение окончаний с сопротивлением 600 Ом, с возможностью транзитного управляемого подключения оконечного оборудования телефонного аппарата (таксофонного аппарата) и приоритетностью подключения (использования) абонентской линии для целей оповещения населения.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Для резервных (или основных, в случае отсутствия проводных каналов) каналов связи: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не менее 1 (одного) модуля приемопередатчика GSM 850/900/1800/1900 (с поддержкой технологий передачи данных GPRS/EDGE/);</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Для хранения заранее подготовленных фонограмм с речевой информацией оповещения и сигналов, имитирующих звучание электрической сирены, в блоке оповещения предусмотрена энергонезависимая память для хранения не менее 10 фонограмм суммарной длительностью не менее 30 минут, с возможностью выбора воспроизводимой фонограммы, длительности ее воспроизведения и периодичности повторения при запуске системы оповещения, а также непосредственный прием и воспроизведение речевого сигнала оповещения с АРМ управления оповещением Основного центра управления.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Электропитание блока оповещения осуществляется от однофазной сети переменного тока 220В 50Гц. Для обеспечения бесперебойного функционирования в блоке оповещения установлена необслуживаемая аккумуляторная батарея с емкостью, достаточной для осуществления воспроизведения сообщений оповещения на полной громкости не менее 30 минут. Для целей мониторинга работоспособности блока оповещения должны быть предусмотрены: встроенный датчик температуры, схемы контроля напряжения питания и уровня заряда аккумуляторной батареи, а также вход «тампер-контакта», сигнализирующий о вскрытии корпуса блока оповещения, с передачей данной информации в подсистему мониторинга ПАК «МУССОН».</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Для обеспечения взаимодействия с ПАК «МУССОН» блок оповещения поддерживает возможность приема информации управления: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по речевому каналу связи (аналоговая абонентская линия или канал связи GSM) через встроенный внутриполосный модем с поддержкой кодирования информации по спецификации «3GPPTS26.267 v.12.0.0»;</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по сети передачи данных с коммутацией пакетов на основе стека протоколов TCP/IP - поддержку языка «W3CExtensibleMarkupLanguage (XML) 1.1» и передачи речевой (звуковой) информации с использованием кодеков сжатия аудиоданных G.711, G.729.</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Для целей защиты от несанкционированного доступа и запуска системы оповещения блок оповещения имеет возможность проверки подписей и сертификатов сообщений, получаемых от СПО ПАК «МУССОН», в соответствии с ГОСТ Р 34.10.2012.</w:t>
      </w:r>
    </w:p>
    <w:p>
      <w:pPr>
        <w:pStyle w:val="Style25"/>
        <w:spacing w:lineRule="auto" w:line="240" w:before="0" w:afterAutospacing="0" w:after="0"/>
        <w:ind w:firstLine="567"/>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rPr>
          <w:rFonts w:ascii="PT Astra Serif" w:hAnsi="PT Astra Serif" w:cs="PT Astra Serif"/>
          <w:b/>
          <w:bCs/>
          <w:sz w:val="28"/>
          <w:szCs w:val="28"/>
          <w:highlight w:val="none"/>
        </w:rPr>
      </w:pPr>
      <w:r>
        <w:rPr>
          <w:rFonts w:eastAsia="PT Astra Serif" w:cs="PT Astra Serif" w:ascii="PT Astra Serif" w:hAnsi="PT Astra Serif"/>
          <w:b/>
          <w:sz w:val="28"/>
          <w:szCs w:val="28"/>
        </w:rPr>
        <w:t>1.6. Границы оказания услуги</w:t>
      </w:r>
    </w:p>
    <w:p>
      <w:pPr>
        <w:pStyle w:val="Style25"/>
        <w:spacing w:lineRule="auto" w:line="240" w:before="0" w:afterAutospacing="0" w:after="0"/>
        <w:ind w:firstLine="567"/>
        <w:rPr>
          <w:rFonts w:ascii="PT Astra Serif" w:hAnsi="PT Astra Serif" w:cs="PT Astra Serif"/>
          <w:sz w:val="28"/>
          <w:szCs w:val="28"/>
        </w:rPr>
      </w:pPr>
      <w:r>
        <w:rPr>
          <w:rFonts w:eastAsia="PT Astra Serif" w:cs="PT Astra Serif" w:ascii="PT Astra Serif" w:hAnsi="PT Astra Serif"/>
          <w:sz w:val="28"/>
          <w:szCs w:val="28"/>
        </w:rPr>
        <w:t>Границами оказания услуги являются места размещения оборудования и программного обеспечения Системы.</w:t>
      </w:r>
    </w:p>
    <w:tbl>
      <w:tblPr>
        <w:tblW w:w="1017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75"/>
        <w:gridCol w:w="3543"/>
        <w:gridCol w:w="2408"/>
        <w:gridCol w:w="3547"/>
      </w:tblGrid>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sz w:val="28"/>
                <w:szCs w:val="28"/>
              </w:rPr>
              <w:t xml:space="preserve">№ </w:t>
            </w:r>
            <w:r>
              <w:rPr>
                <w:rFonts w:eastAsia="PT Astra Serif" w:cs="PT Astra Serif" w:ascii="PT Astra Serif" w:hAnsi="PT Astra Serif"/>
                <w:sz w:val="28"/>
                <w:szCs w:val="28"/>
              </w:rPr>
              <w:t>п/п</w:t>
            </w:r>
          </w:p>
        </w:tc>
        <w:tc>
          <w:tcPr>
            <w:tcW w:w="35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sz w:val="28"/>
                <w:szCs w:val="28"/>
              </w:rPr>
              <w:t>Территориальная принадлежность</w:t>
            </w:r>
          </w:p>
        </w:tc>
        <w:tc>
          <w:tcPr>
            <w:tcW w:w="24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sz w:val="28"/>
                <w:szCs w:val="28"/>
              </w:rPr>
              <w:t>Наименование населённого пункта</w:t>
            </w:r>
          </w:p>
        </w:tc>
        <w:tc>
          <w:tcPr>
            <w:tcW w:w="3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Тип оборудования</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iCs/>
                <w:sz w:val="28"/>
                <w:szCs w:val="28"/>
              </w:rPr>
              <w:t>1.</w:t>
            </w:r>
          </w:p>
        </w:tc>
        <w:tc>
          <w:tcPr>
            <w:tcW w:w="354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г. Салехард</w:t>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highlight w:val="none"/>
              </w:rPr>
            </w:pPr>
            <w:r>
              <w:rPr>
                <w:rFonts w:eastAsia="PT Astra Serif" w:cs="PT Astra Serif" w:ascii="PT Astra Serif" w:hAnsi="PT Astra Serif"/>
                <w:sz w:val="28"/>
                <w:szCs w:val="28"/>
              </w:rPr>
              <w:t>г. Салехард</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ул. Броднева 46а</w:t>
            </w:r>
          </w:p>
        </w:tc>
        <w:tc>
          <w:tcPr>
            <w:tcW w:w="3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Пункт управления оповещением регионального уровня (АРМ «Управление оповещением» и ПАК «МУССОН» КТСО МУССОН)</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iCs/>
                <w:sz w:val="28"/>
                <w:szCs w:val="28"/>
              </w:rPr>
              <w:t>2.</w:t>
            </w:r>
          </w:p>
        </w:tc>
        <w:tc>
          <w:tcPr>
            <w:tcW w:w="354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rPr>
                <w:sz w:val="20"/>
                <w:szCs w:val="20"/>
              </w:rPr>
            </w:pPr>
            <w:r>
              <w:rPr>
                <w:sz w:val="20"/>
                <w:szCs w:val="20"/>
              </w:rPr>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highlight w:val="none"/>
              </w:rPr>
            </w:pPr>
            <w:r>
              <w:rPr>
                <w:rFonts w:eastAsia="PT Astra Serif" w:cs="PT Astra Serif" w:ascii="PT Astra Serif" w:hAnsi="PT Astra Serif"/>
                <w:sz w:val="28"/>
                <w:szCs w:val="28"/>
              </w:rPr>
              <w:t>г. Салехард</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ул. Игарская, 2</w:t>
            </w:r>
          </w:p>
        </w:tc>
        <w:tc>
          <w:tcPr>
            <w:tcW w:w="3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Пункт управления оповещением муниципального уровня (АРМ «Управление оповещением» и ПАК «МУССОН» КТСО МУССОН)</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iCs/>
                <w:sz w:val="28"/>
                <w:szCs w:val="28"/>
              </w:rPr>
              <w:t>3.</w:t>
            </w:r>
          </w:p>
        </w:tc>
        <w:tc>
          <w:tcPr>
            <w:tcW w:w="35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Приуральский район</w:t>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highlight w:val="none"/>
              </w:rPr>
            </w:pPr>
            <w:r>
              <w:rPr>
                <w:rFonts w:eastAsia="PT Astra Serif" w:cs="PT Astra Serif" w:ascii="PT Astra Serif" w:hAnsi="PT Astra Serif"/>
                <w:sz w:val="28"/>
                <w:szCs w:val="28"/>
              </w:rPr>
              <w:t>г. Лабытнанги</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ул. Первомайская, д. 27</w:t>
            </w:r>
          </w:p>
        </w:tc>
        <w:tc>
          <w:tcPr>
            <w:tcW w:w="3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Пункт управления оповещением муниципального уровня (АРМ «Управление оповещением» и ПАК «МУССОН» КТСО МУССОН)</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iCs/>
                <w:sz w:val="28"/>
                <w:szCs w:val="28"/>
              </w:rPr>
              <w:t>4.</w:t>
            </w:r>
          </w:p>
        </w:tc>
        <w:tc>
          <w:tcPr>
            <w:tcW w:w="35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iCs/>
                <w:sz w:val="28"/>
                <w:szCs w:val="28"/>
              </w:rPr>
            </w:pPr>
            <w:r>
              <w:rPr>
                <w:rFonts w:eastAsia="PT Astra Serif" w:cs="PT Astra Serif" w:ascii="PT Astra Serif" w:hAnsi="PT Astra Serif"/>
                <w:sz w:val="28"/>
                <w:szCs w:val="28"/>
              </w:rPr>
              <w:t>Красноселькупский район</w:t>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iCs/>
                <w:sz w:val="28"/>
                <w:szCs w:val="28"/>
                <w:highlight w:val="none"/>
              </w:rPr>
            </w:pPr>
            <w:r>
              <w:rPr>
                <w:rFonts w:eastAsia="PT Astra Serif" w:cs="PT Astra Serif" w:ascii="PT Astra Serif" w:hAnsi="PT Astra Serif"/>
                <w:iCs/>
                <w:sz w:val="28"/>
                <w:szCs w:val="28"/>
              </w:rPr>
              <w:t>с. Красноселькуп</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iCs/>
                <w:sz w:val="28"/>
                <w:szCs w:val="28"/>
              </w:rPr>
              <w:t>ул. Полярная, 28</w:t>
            </w:r>
          </w:p>
        </w:tc>
        <w:tc>
          <w:tcPr>
            <w:tcW w:w="3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Пункт управления оповещением муниципального уровня (АРМ «Управление оповещением» и ПАК «МУССОН» КТСО МУССОН)</w:t>
            </w:r>
          </w:p>
        </w:tc>
      </w:tr>
      <w:tr>
        <w:trPr>
          <w:trHeight w:val="245"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iCs/>
                <w:sz w:val="28"/>
                <w:szCs w:val="28"/>
              </w:rPr>
              <w:t>5.</w:t>
            </w:r>
          </w:p>
        </w:tc>
        <w:tc>
          <w:tcPr>
            <w:tcW w:w="35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iCs/>
                <w:sz w:val="28"/>
                <w:szCs w:val="28"/>
              </w:rPr>
            </w:pPr>
            <w:r>
              <w:rPr>
                <w:rFonts w:eastAsia="PT Astra Serif" w:cs="PT Astra Serif" w:ascii="PT Astra Serif" w:hAnsi="PT Astra Serif"/>
                <w:sz w:val="28"/>
                <w:szCs w:val="28"/>
              </w:rPr>
              <w:t>Шурышкарский район</w:t>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iCs/>
                <w:sz w:val="28"/>
                <w:szCs w:val="28"/>
                <w:highlight w:val="none"/>
              </w:rPr>
            </w:pPr>
            <w:r>
              <w:rPr>
                <w:rFonts w:eastAsia="PT Astra Serif" w:cs="PT Astra Serif" w:ascii="PT Astra Serif" w:hAnsi="PT Astra Serif"/>
                <w:iCs/>
                <w:sz w:val="28"/>
                <w:szCs w:val="28"/>
              </w:rPr>
              <w:t>с. Мужи</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iCs/>
                <w:sz w:val="28"/>
                <w:szCs w:val="28"/>
              </w:rPr>
              <w:t>ул. Ленина, 7</w:t>
            </w:r>
          </w:p>
        </w:tc>
        <w:tc>
          <w:tcPr>
            <w:tcW w:w="3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Пункт управления оповещением муниципального уровня (АРМ «Управление оповещением» и ПАК «МУССОН» КТСО МУССОН)</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iCs/>
                <w:sz w:val="28"/>
                <w:szCs w:val="28"/>
              </w:rPr>
              <w:t>6.</w:t>
            </w:r>
          </w:p>
        </w:tc>
        <w:tc>
          <w:tcPr>
            <w:tcW w:w="35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Пуровский район</w:t>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iCs/>
                <w:sz w:val="28"/>
                <w:szCs w:val="28"/>
                <w:highlight w:val="none"/>
              </w:rPr>
            </w:pPr>
            <w:r>
              <w:rPr>
                <w:rFonts w:eastAsia="PT Astra Serif" w:cs="PT Astra Serif" w:ascii="PT Astra Serif" w:hAnsi="PT Astra Serif"/>
                <w:iCs/>
                <w:sz w:val="28"/>
                <w:szCs w:val="28"/>
              </w:rPr>
              <w:t>г. Тарко-Сале</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iCs/>
                <w:sz w:val="28"/>
                <w:szCs w:val="28"/>
              </w:rPr>
              <w:t>ул. Анны Пантелеевой, 1</w:t>
            </w:r>
          </w:p>
        </w:tc>
        <w:tc>
          <w:tcPr>
            <w:tcW w:w="3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Пункт управления оповещением муниципального уровня (АРМ «Управление оповещением» и ПАК «МУССОН» КТСО МУССОН)</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iCs/>
                <w:sz w:val="28"/>
                <w:szCs w:val="28"/>
              </w:rPr>
              <w:t>7.</w:t>
            </w:r>
          </w:p>
        </w:tc>
        <w:tc>
          <w:tcPr>
            <w:tcW w:w="35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г. Губкинский</w:t>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г. Губкинский</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iCs/>
                <w:sz w:val="28"/>
                <w:szCs w:val="28"/>
              </w:rPr>
            </w:pPr>
            <w:r>
              <w:rPr>
                <w:rFonts w:eastAsia="PT Astra Serif" w:cs="PT Astra Serif" w:ascii="PT Astra Serif" w:hAnsi="PT Astra Serif"/>
                <w:iCs/>
                <w:sz w:val="28"/>
                <w:szCs w:val="28"/>
              </w:rPr>
              <w:t>микрорайон 11, д. 43</w:t>
            </w:r>
          </w:p>
        </w:tc>
        <w:tc>
          <w:tcPr>
            <w:tcW w:w="3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Пункт управления оповещением муниципального уровня (АРМ «Управление оповещением» и ПАК «МУССОН» КТСО МУССОН)</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iCs/>
                <w:sz w:val="28"/>
                <w:szCs w:val="28"/>
              </w:rPr>
              <w:t>8.</w:t>
            </w:r>
          </w:p>
        </w:tc>
        <w:tc>
          <w:tcPr>
            <w:tcW w:w="35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Надымский район</w:t>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iCs/>
                <w:sz w:val="28"/>
                <w:szCs w:val="28"/>
                <w:highlight w:val="none"/>
              </w:rPr>
            </w:pPr>
            <w:r>
              <w:rPr>
                <w:rFonts w:eastAsia="PT Astra Serif" w:cs="PT Astra Serif" w:ascii="PT Astra Serif" w:hAnsi="PT Astra Serif"/>
                <w:iCs/>
                <w:sz w:val="28"/>
                <w:szCs w:val="28"/>
              </w:rPr>
              <w:t>г. Надым</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iCs/>
                <w:sz w:val="28"/>
                <w:szCs w:val="28"/>
              </w:rPr>
              <w:t>ул. Топчева д. 6</w:t>
            </w:r>
          </w:p>
        </w:tc>
        <w:tc>
          <w:tcPr>
            <w:tcW w:w="3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Пункт управления оповещением муниципального уровня (АРМ «Управление оповещением» и ПАК «МУССОН» КТСО МУССОН)</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iCs/>
                <w:sz w:val="28"/>
                <w:szCs w:val="28"/>
              </w:rPr>
              <w:t>9.</w:t>
            </w:r>
          </w:p>
        </w:tc>
        <w:tc>
          <w:tcPr>
            <w:tcW w:w="35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г. Новый Уренгой</w:t>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highlight w:val="none"/>
              </w:rPr>
            </w:pPr>
            <w:r>
              <w:rPr>
                <w:rFonts w:eastAsia="PT Astra Serif" w:cs="PT Astra Serif" w:ascii="PT Astra Serif" w:hAnsi="PT Astra Serif"/>
                <w:sz w:val="28"/>
                <w:szCs w:val="28"/>
              </w:rPr>
              <w:t>г. Новый Уренгой</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ул. Юбилейная, д. 1</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iCs/>
                <w:sz w:val="28"/>
                <w:szCs w:val="28"/>
              </w:rPr>
            </w:pPr>
            <w:r>
              <w:rPr>
                <w:rFonts w:cs="PT Astra Serif" w:ascii="PT Astra Serif" w:hAnsi="PT Astra Serif"/>
                <w:iCs/>
                <w:sz w:val="28"/>
                <w:szCs w:val="28"/>
              </w:rPr>
            </w:r>
          </w:p>
        </w:tc>
        <w:tc>
          <w:tcPr>
            <w:tcW w:w="3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Пункт управления оповещением муниципального уровня (АРМ «Управление оповещением» и ПАК «МУССОН» КТСО МУССОН)</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jc w:val="center"/>
              <w:rPr>
                <w:rFonts w:ascii="PT Astra Serif" w:hAnsi="PT Astra Serif" w:cs="PT Astra Serif"/>
                <w:iCs/>
                <w:sz w:val="28"/>
                <w:szCs w:val="28"/>
              </w:rPr>
            </w:pPr>
            <w:r>
              <w:rPr>
                <w:rFonts w:eastAsia="PT Astra Serif" w:cs="PT Astra Serif" w:ascii="PT Astra Serif" w:hAnsi="PT Astra Serif"/>
                <w:iCs/>
                <w:sz w:val="28"/>
                <w:szCs w:val="28"/>
              </w:rPr>
              <w:t>10.</w:t>
            </w:r>
          </w:p>
        </w:tc>
        <w:tc>
          <w:tcPr>
            <w:tcW w:w="35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г. Ноябрьск</w:t>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highlight w:val="none"/>
              </w:rPr>
            </w:pPr>
            <w:r>
              <w:rPr>
                <w:rFonts w:eastAsia="PT Astra Serif" w:cs="PT Astra Serif" w:ascii="PT Astra Serif" w:hAnsi="PT Astra Serif"/>
                <w:sz w:val="28"/>
                <w:szCs w:val="28"/>
              </w:rPr>
              <w:t>г. Ноябрьск</w:t>
            </w:r>
          </w:p>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ул. 60 лет СССР, 25</w:t>
            </w:r>
          </w:p>
        </w:tc>
        <w:tc>
          <w:tcPr>
            <w:tcW w:w="3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340" w:leader="none"/>
                <w:tab w:val="left" w:pos="2880" w:leader="none"/>
                <w:tab w:val="left" w:pos="4680" w:leader="none"/>
              </w:tabs>
              <w:spacing w:lineRule="auto" w:line="240" w:before="0" w:afterAutospacing="0" w:after="0"/>
              <w:rPr>
                <w:rFonts w:ascii="PT Astra Serif" w:hAnsi="PT Astra Serif" w:cs="PT Astra Serif"/>
                <w:sz w:val="28"/>
                <w:szCs w:val="28"/>
              </w:rPr>
            </w:pPr>
            <w:r>
              <w:rPr>
                <w:rFonts w:eastAsia="PT Astra Serif" w:cs="PT Astra Serif" w:ascii="PT Astra Serif" w:hAnsi="PT Astra Serif"/>
                <w:sz w:val="28"/>
                <w:szCs w:val="28"/>
              </w:rPr>
              <w:t>Пункт управления оповещением муниципального уровня (АРМ «Управление оповещением» и ПАК «МУССОН» КТСО МУССОН)</w:t>
            </w:r>
          </w:p>
        </w:tc>
      </w:tr>
    </w:tbl>
    <w:p>
      <w:pPr>
        <w:pStyle w:val="Style25"/>
        <w:spacing w:lineRule="auto" w:line="240" w:before="0" w:afterAutospacing="0" w:after="0"/>
        <w:ind w:firstLine="567"/>
        <w:jc w:val="both"/>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jc w:val="both"/>
        <w:rPr>
          <w:rFonts w:ascii="PT Astra Serif" w:hAnsi="PT Astra Serif" w:cs="PT Astra Serif"/>
          <w:b/>
          <w:bCs/>
          <w:sz w:val="28"/>
          <w:szCs w:val="28"/>
          <w:highlight w:val="none"/>
        </w:rPr>
      </w:pPr>
      <w:r>
        <w:rPr>
          <w:rFonts w:eastAsia="PT Astra Serif" w:cs="PT Astra Serif" w:ascii="PT Astra Serif" w:hAnsi="PT Astra Serif"/>
          <w:b/>
          <w:sz w:val="28"/>
          <w:szCs w:val="28"/>
        </w:rPr>
        <w:t xml:space="preserve">1.7. Взаимодействие сторон в рамках технической поддержки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Исполнитель при заключении договора предоставляет следующие каналы обращения за технической поддержкой: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Телефон службы технической поддержки: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Адрес электронной почты службы технической поддержки: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Заказчик при заключении договора предоставляет следующие сведения: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ФИО, должность, e-mail и телефоны уполномоченных специалистов Заказчика, отвечающих за взаимодействие с Исполнителем по вопросам технической поддержки.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Сведения и контактные данные провайдеров, предоставляющих услуги связи для функционирования Системы.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Уполномоченный специалист со стороны Заказчика, осуществляет: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Сбор обращений по проблемам работы Системы от инициаторов обращений - сотрудников Заказчика, работающих с Системой;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Формулирование Заявки на техническую поддержку в соответствии с требованиями к Заявке (Приложение 2);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Направление Заявки на техническую поддержку Исполнителю;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Предоставление дополнительной информации по Запросу от Исполнителя;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Контроль исполнения Заявки со стороны Заказчика, направление претензий по качеству выполнения Заявок;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Отслеживание хода исполнения Заявки и/или устранения недостатков в ее исполнении;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Получение от Исполнителя и фиксация отчета об исполнении Заявки.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Исполнитель, получив Заявку по одному из указанных каналов, регистрирует Заявку в Системе учета заявок и сообщает ответственному специалисту номер, дату и время регистрации заявки. Эти данные по заявке дублируются на указанный адрес электронной почты ответственного специалиста со стороны Заказчика.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Исполнитель, в процессе исполнения Заявки обращается за дополнительной информацией к ответственному специалисту со стороны Заказчика и сотруднику Заказчика - инициатору обращения. </w:t>
      </w:r>
    </w:p>
    <w:p>
      <w:pPr>
        <w:pStyle w:val="Style25"/>
        <w:spacing w:lineRule="auto" w:line="240" w:before="0" w:afterAutospacing="0" w:after="0"/>
        <w:ind w:firstLine="567"/>
        <w:jc w:val="both"/>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jc w:val="both"/>
        <w:rPr>
          <w:rFonts w:ascii="PT Astra Serif" w:hAnsi="PT Astra Serif" w:cs="PT Astra Serif"/>
          <w:b/>
          <w:bCs/>
          <w:sz w:val="28"/>
          <w:szCs w:val="28"/>
          <w:highlight w:val="none"/>
        </w:rPr>
      </w:pPr>
      <w:r>
        <w:rPr>
          <w:rFonts w:eastAsia="PT Astra Serif" w:cs="PT Astra Serif" w:ascii="PT Astra Serif" w:hAnsi="PT Astra Serif"/>
          <w:b/>
          <w:bCs/>
          <w:sz w:val="28"/>
          <w:szCs w:val="28"/>
        </w:rPr>
        <w:t xml:space="preserve">1.8. Обстоятельства при которых возникает потребность в технической поддержке.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Техническая поддержка </w:t>
      </w:r>
      <w:r>
        <w:rPr>
          <w:rFonts w:eastAsia="PT Astra Serif" w:cs="PT Astra Serif" w:ascii="PT Astra Serif" w:hAnsi="PT Astra Serif"/>
          <w:bCs/>
          <w:sz w:val="28"/>
          <w:szCs w:val="28"/>
        </w:rPr>
        <w:t xml:space="preserve">оказывается </w:t>
      </w:r>
      <w:r>
        <w:rPr>
          <w:rFonts w:eastAsia="PT Astra Serif" w:cs="PT Astra Serif" w:ascii="PT Astra Serif" w:hAnsi="PT Astra Serif"/>
          <w:sz w:val="28"/>
          <w:szCs w:val="28"/>
        </w:rPr>
        <w:t xml:space="preserve">в следующих случаях: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а) требуется консультация: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пользователю Системы - по вопросам, связанным с использованием Системы;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администратору Системы - по особенностям настройки и технического обслуживания Системы;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б) возникла нештатная ситуация в работе Системы, требующая привлечения квалифицированной службы технической поддержки: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Система не выполняет должным образом своих функций по выполнению оповещения (частично или в полном объеме);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при включении или в процессе работы Системы возникают ошибки, сопровождаемые сообщениями об ошибке;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в работе клиентской части приложения (АРМ управления оповещением), происходят сбои, выражающиеся в зависании или самопроизвольном выключении клиентского приложения;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серверная часть Системы не запускается при включении или перезагрузке сервера;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при включении, перезагрузке или в процессе работы серверной части Системы возникают ошибки, сопровождаемые сообщениями об ошибке;</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в работе серверной части систематически возникают сбои;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в работе оконечного оборудования оповещения происходят сбои;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оконечное оборудование оповещения не выполняет свои функции в полном объеме или частично;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в других случаях, когда серверная или клиентская часть системы или оконечное оборудование не устанавливается, не настраивается или не функционирует должным образом.</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в) требуется настройка пульта управления, оконечных точек:</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по вопросам сетевого и иного взаимодействия между частями системы.</w:t>
      </w:r>
    </w:p>
    <w:p>
      <w:pPr>
        <w:pStyle w:val="Style25"/>
        <w:spacing w:lineRule="auto" w:line="240" w:before="0" w:afterAutospacing="0" w:after="0"/>
        <w:ind w:firstLine="567"/>
        <w:jc w:val="both"/>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jc w:val="both"/>
        <w:rPr>
          <w:rFonts w:ascii="PT Astra Serif" w:hAnsi="PT Astra Serif" w:cs="PT Astra Serif"/>
          <w:b/>
          <w:bCs/>
          <w:sz w:val="28"/>
          <w:szCs w:val="28"/>
          <w:highlight w:val="none"/>
        </w:rPr>
      </w:pPr>
      <w:r>
        <w:rPr>
          <w:rFonts w:eastAsia="PT Astra Serif" w:cs="PT Astra Serif" w:ascii="PT Astra Serif" w:hAnsi="PT Astra Serif"/>
          <w:b/>
          <w:bCs/>
          <w:sz w:val="28"/>
          <w:szCs w:val="28"/>
        </w:rPr>
        <w:t xml:space="preserve">1.9. Способы осуществления технической поддержки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Диагностирование проблемы по заявке пользователя осуществляется: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на основании предоставленных пользователем описания проблемы и снимков экрана, демонстрирующих проявление проблемы;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по результатам ознакомления с проявлением проблемы и действиями пользователя, приведшими к проблеме, с применением средств удаленного доступа к рабочему месту пользователя, серверу или оконечному оборудованию.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Консультирование по разрешению проблемы осуществляется: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путём предоставления устных рекомендаций (по телефону);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путём предоставления письменных рекомендаций (по электронной почте);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путем демонстрации необходимого порядка действий по устранению или предотвращению проблемы с применением средств удаленного доступа. </w:t>
      </w:r>
    </w:p>
    <w:p>
      <w:pPr>
        <w:pStyle w:val="Style25"/>
        <w:spacing w:lineRule="auto" w:line="240" w:before="0" w:afterAutospacing="0" w:after="0"/>
        <w:ind w:firstLine="567"/>
        <w:jc w:val="both"/>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jc w:val="both"/>
        <w:rPr>
          <w:rFonts w:ascii="PT Astra Serif" w:hAnsi="PT Astra Serif" w:cs="PT Astra Serif"/>
          <w:b/>
          <w:bCs/>
          <w:sz w:val="28"/>
          <w:szCs w:val="28"/>
          <w:highlight w:val="none"/>
        </w:rPr>
      </w:pPr>
      <w:r>
        <w:rPr>
          <w:rFonts w:eastAsia="PT Astra Serif" w:cs="PT Astra Serif" w:ascii="PT Astra Serif" w:hAnsi="PT Astra Serif"/>
          <w:b/>
          <w:bCs/>
          <w:sz w:val="28"/>
          <w:szCs w:val="28"/>
        </w:rPr>
        <w:t xml:space="preserve">1.10. Порядок осуществления технической поддержки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Техническая поддержка оказывается в соответствии со следующим порядком: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В случае возникновения потребности в технической поддержке, сотрудник Заказчика формирует Заявку по технической поддержке, если проблема относится к вопросам технической поддержки и направляет Заявку по одному из указанных в п. 1.3 каналов обращения.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Исполнитель:</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получает и регистрирует Заявку в системе учета Заявок, сообщает на адрес электронной почты ответственного сотрудника Заказчика идентификатор Заявки;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диагностирует проблему, при необходимости привлекая технических специалистов </w:t>
        <w:tab/>
        <w:t xml:space="preserve">Заказчика, </w:t>
        <w:tab/>
        <w:t xml:space="preserve">запрашивая дополнительную информацию у Заказчика, используя средства удаленного доступа;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присваивает Заявке уровень критичности и приоритет; определяет плановый срок исполнения Заявки;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сообщает ответственному сотруднику Заказчика плановый срок исполнения Заявки;</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Для оказания технической поддержки Исполнитель обязан обеспечить прием и регистрацию Заявок Заказчика на техническую поддержку по указанным в п. 1.3 каналам обращений.</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В процессе оказания технической поддержки Исполнитель должен осуществлять:</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оперативное восстановление работоспособности Системы в случае сбоев;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консультирование по вопросам администрирования Системы;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анализ и исправление ошибок пользователей и администраторов Системы, возникающих при работе с Системой;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поддержку пользователей и консультации по использованию Системы; проведение анализа нетиповых ситуаций, выработку решений по устранению возникших проблем;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настройку конфигураций, не затрагивающих основные алгоритмы Системы; восстановление баз, данных в случае их повреждения;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передача обновлений Системы, обновление инструкций.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При предоставлении Акта сдачи-приемки услуг Исполнитель должен представить Заказчику заполненный Журнал учёта инцидентов за отчетный период.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Ответственный сотрудник Заказчика принимает результаты исполнения Заявки или сообщает замечания Исполнителю.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Исполнитель при необходимости устраняет замечания и повторно сдает результаты ответственному сотруднику Заказчика.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Если результаты исполнения приняты (отсутствуют замечания в течение 3-х дней с момента сдачи результатов исполнения Заявки), Заявка считается исполненной и закрывается.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Все этапы работы с Заявкой фиксируются в журнале учета Заявок.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Ответственный сотрудник Заказчика может в любой момент отозвать незакрытую Заявку, если проблема решена без участия специалистов техподдержки, либо потеряла свою актуальность через систему учета заявок или обратившись по электронной почте, указав идентификатор Заявки и основание для ее отзыва. </w:t>
      </w:r>
    </w:p>
    <w:p>
      <w:pPr>
        <w:pStyle w:val="Style25"/>
        <w:spacing w:lineRule="auto" w:line="240" w:before="0" w:afterAutospacing="0" w:after="0"/>
        <w:ind w:firstLine="567"/>
        <w:jc w:val="both"/>
        <w:rPr>
          <w:rFonts w:ascii="PT Astra Serif" w:hAnsi="PT Astra Serif" w:cs="PT Astra Serif"/>
          <w:b/>
          <w:bCs/>
          <w:sz w:val="28"/>
          <w:szCs w:val="28"/>
        </w:rPr>
      </w:pPr>
      <w:r>
        <w:rPr>
          <w:rFonts w:cs="PT Astra Serif" w:ascii="PT Astra Serif" w:hAnsi="PT Astra Serif"/>
          <w:b/>
          <w:bCs/>
          <w:sz w:val="28"/>
          <w:szCs w:val="28"/>
        </w:rPr>
      </w:r>
    </w:p>
    <w:p>
      <w:pPr>
        <w:pStyle w:val="Style25"/>
        <w:spacing w:lineRule="auto" w:line="240" w:before="0" w:afterAutospacing="0" w:after="0"/>
        <w:ind w:firstLine="567"/>
        <w:jc w:val="both"/>
        <w:rPr>
          <w:rFonts w:ascii="PT Astra Serif" w:hAnsi="PT Astra Serif" w:cs="PT Astra Serif"/>
          <w:b/>
          <w:bCs/>
          <w:sz w:val="28"/>
          <w:szCs w:val="28"/>
          <w:highlight w:val="none"/>
        </w:rPr>
      </w:pPr>
      <w:r>
        <w:rPr>
          <w:rFonts w:eastAsia="PT Astra Serif" w:cs="PT Astra Serif" w:ascii="PT Astra Serif" w:hAnsi="PT Astra Serif"/>
          <w:b/>
          <w:bCs/>
          <w:sz w:val="28"/>
          <w:szCs w:val="28"/>
        </w:rPr>
        <w:t>1.11. Критерии оценки уровня критичности обращений</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Выделяются три уровня критичности: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Экстренный- проблема связана с невозможностью выполнения функциональных возможностей Системы в полном объеме или отсутствием возможности выполнения функций экстренного оповещения населения более чем по 50% из установленных оконечных блоков оповещения;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Средний - проблема связана с затруднениями выполнения операций в Системе или отсутствием возможности выполнения функций экстренного оповещения населения менее чем по 50% из установленных оконечных блоков оповещения);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Низкий - проблема не связана с сокращением доступной функциональности Системы или отсутствием возможности выполнения функций экстренного оповещения населения.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Экстренный уровень критичности присваивается: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при сбоях Системы, требующих выполнения мероприятий по её восстановлению;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при нетиповых ситуациях, в которых невозможно функционирование серверной части Системы на объекте эксплуатации;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при невозможности передачи сигналов оповещения, предусмотренных функционалом Системы более чем по 50% из установленных оконечных блоков оповещения;.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Средний уровень критичности присваивается: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при заметном снижении производительности в процессе эксплуатации Системы (большое время реакции Системы на событие, инициированное пользователем в интерфейсе рабочего места);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при нетиповых ситуациях, в которых возможно функционирование серверной части Системы на объекте эксплуатации, но возникают затруднения с нормальным использованием Системы;</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при невозможности передачи сигналов оповещения, предусмотренных функционалом Системы менее чем по 50% из установленных оконечных блоков оповещения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Низкий уровень критичности присваивается: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при всех проблемах, не связанных с работоспособностью Системы и корректностью её работы и не приводящих к отсутствию возможности выполнения функций экстренного оповещения населения.</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В случае невозможности однозначно установить уровень критичности для поступившей заявки на поддержку, по умолчанию присваивается средний уровень критичности.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Для сообщений об ошибках Системы устанавливается высокий уровень критичности. </w:t>
      </w:r>
    </w:p>
    <w:p>
      <w:pPr>
        <w:pStyle w:val="Style25"/>
        <w:spacing w:lineRule="auto" w:line="240" w:before="0" w:afterAutospacing="0" w:after="0"/>
        <w:ind w:firstLine="567"/>
        <w:jc w:val="both"/>
        <w:rPr>
          <w:rFonts w:ascii="PT Astra Serif" w:hAnsi="PT Astra Serif" w:cs="PT Astra Serif"/>
          <w:sz w:val="28"/>
          <w:szCs w:val="28"/>
          <w:highlight w:val="none"/>
        </w:rPr>
      </w:pPr>
      <w:r>
        <w:rPr>
          <w:rFonts w:eastAsia="PT Astra Serif" w:cs="PT Astra Serif" w:ascii="PT Astra Serif" w:hAnsi="PT Astra Serif"/>
          <w:sz w:val="28"/>
          <w:szCs w:val="28"/>
        </w:rPr>
        <w:t>В случае невозможности дистанционного устранения сбоев в работе основного пункта управления Системой или серверного оборудования Исполнитель направляет своего представителя для работы непосредственно по месту размещения данного оборудования.</w:t>
      </w:r>
    </w:p>
    <w:p>
      <w:pPr>
        <w:pStyle w:val="Style25"/>
        <w:spacing w:lineRule="auto" w:line="240" w:before="0" w:afterAutospacing="0" w:after="0"/>
        <w:ind w:firstLine="567"/>
        <w:jc w:val="both"/>
        <w:rPr>
          <w:rFonts w:ascii="PT Astra Serif" w:hAnsi="PT Astra Serif" w:cs="PT Astra Serif"/>
          <w:sz w:val="28"/>
          <w:szCs w:val="28"/>
        </w:rPr>
      </w:pPr>
      <w:r>
        <w:rPr>
          <w:rFonts w:cs="PT Astra Serif" w:ascii="PT Astra Serif" w:hAnsi="PT Astra Serif"/>
          <w:sz w:val="28"/>
          <w:szCs w:val="28"/>
        </w:rPr>
      </w:r>
    </w:p>
    <w:p>
      <w:pPr>
        <w:pStyle w:val="Style25"/>
        <w:spacing w:lineRule="auto" w:line="240" w:before="0" w:afterAutospacing="0" w:after="0"/>
        <w:ind w:firstLine="567"/>
        <w:jc w:val="center"/>
        <w:rPr>
          <w:rFonts w:ascii="PT Astra Serif" w:hAnsi="PT Astra Serif" w:cs="PT Astra Serif"/>
          <w:sz w:val="28"/>
          <w:szCs w:val="28"/>
        </w:rPr>
      </w:pPr>
      <w:r>
        <w:rPr>
          <w:rFonts w:eastAsia="PT Astra Serif" w:cs="PT Astra Serif" w:ascii="PT Astra Serif" w:hAnsi="PT Astra Serif"/>
          <w:sz w:val="28"/>
          <w:szCs w:val="28"/>
        </w:rPr>
        <w:t>Соответствие уровня критичности приоритету заявки</w:t>
      </w:r>
    </w:p>
    <w:tbl>
      <w:tblPr>
        <w:tblW w:w="1029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45"/>
        <w:gridCol w:w="5145"/>
      </w:tblGrid>
      <w:tr>
        <w:trPr/>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Уровень критичности</w:t>
            </w:r>
          </w:p>
        </w:tc>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Приоритет заявки</w:t>
            </w:r>
          </w:p>
        </w:tc>
      </w:tr>
      <w:tr>
        <w:trPr/>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экстренный</w:t>
            </w:r>
          </w:p>
        </w:tc>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1</w:t>
            </w:r>
          </w:p>
        </w:tc>
      </w:tr>
      <w:tr>
        <w:trPr/>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средний</w:t>
            </w:r>
          </w:p>
        </w:tc>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2</w:t>
            </w:r>
          </w:p>
        </w:tc>
      </w:tr>
      <w:tr>
        <w:trPr/>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низкий</w:t>
            </w:r>
          </w:p>
        </w:tc>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3</w:t>
            </w:r>
          </w:p>
        </w:tc>
      </w:tr>
    </w:tbl>
    <w:p>
      <w:pPr>
        <w:pStyle w:val="Style25"/>
        <w:spacing w:lineRule="auto" w:line="240" w:before="0" w:afterAutospacing="0" w:after="0"/>
        <w:ind w:firstLine="567"/>
        <w:jc w:val="center"/>
        <w:rPr>
          <w:rFonts w:ascii="PT Astra Serif" w:hAnsi="PT Astra Serif" w:cs="PT Astra Serif"/>
          <w:sz w:val="28"/>
          <w:szCs w:val="28"/>
        </w:rPr>
      </w:pPr>
      <w:r>
        <w:rPr>
          <w:rFonts w:cs="PT Astra Serif" w:ascii="PT Astra Serif" w:hAnsi="PT Astra Serif"/>
          <w:sz w:val="28"/>
          <w:szCs w:val="28"/>
        </w:rPr>
      </w:r>
    </w:p>
    <w:p>
      <w:pPr>
        <w:pStyle w:val="Style25"/>
        <w:spacing w:lineRule="auto" w:line="240" w:before="0" w:afterAutospacing="0" w:after="0"/>
        <w:ind w:firstLine="567"/>
        <w:jc w:val="center"/>
        <w:rPr>
          <w:rFonts w:ascii="PT Astra Serif" w:hAnsi="PT Astra Serif" w:cs="PT Astra Serif"/>
          <w:sz w:val="28"/>
          <w:szCs w:val="28"/>
          <w:highlight w:val="none"/>
        </w:rPr>
      </w:pPr>
      <w:r>
        <w:rPr>
          <w:rFonts w:eastAsia="PT Astra Serif" w:cs="PT Astra Serif" w:ascii="PT Astra Serif" w:hAnsi="PT Astra Serif"/>
          <w:sz w:val="28"/>
          <w:szCs w:val="28"/>
        </w:rPr>
        <w:t>Плановый срок выполнения заявки в зависимости от приоритета</w:t>
      </w:r>
    </w:p>
    <w:p>
      <w:pPr>
        <w:pStyle w:val="Style25"/>
        <w:spacing w:lineRule="auto" w:line="240" w:before="0" w:afterAutospacing="0" w:after="0"/>
        <w:ind w:firstLine="567"/>
        <w:jc w:val="center"/>
        <w:rPr>
          <w:rFonts w:ascii="PT Astra Serif" w:hAnsi="PT Astra Serif" w:cs="PT Astra Serif"/>
          <w:sz w:val="28"/>
          <w:szCs w:val="28"/>
        </w:rPr>
      </w:pPr>
      <w:r>
        <w:rPr>
          <w:rFonts w:cs="PT Astra Serif" w:ascii="PT Astra Serif" w:hAnsi="PT Astra Serif"/>
          <w:sz w:val="28"/>
          <w:szCs w:val="28"/>
        </w:rPr>
      </w:r>
    </w:p>
    <w:tbl>
      <w:tblPr>
        <w:tblW w:w="1029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45"/>
        <w:gridCol w:w="5145"/>
      </w:tblGrid>
      <w:tr>
        <w:trPr/>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Приоритет</w:t>
            </w:r>
          </w:p>
        </w:tc>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Срок выполнения заявки</w:t>
            </w:r>
          </w:p>
        </w:tc>
      </w:tr>
      <w:tr>
        <w:trPr/>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1</w:t>
            </w:r>
          </w:p>
        </w:tc>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до 6 часов с момента получения заявки</w:t>
            </w:r>
          </w:p>
        </w:tc>
      </w:tr>
      <w:tr>
        <w:trPr/>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2</w:t>
            </w:r>
          </w:p>
        </w:tc>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не более 2 рабочих дней с момента получения заявки</w:t>
            </w:r>
          </w:p>
        </w:tc>
      </w:tr>
      <w:tr>
        <w:trPr/>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3</w:t>
            </w:r>
          </w:p>
        </w:tc>
        <w:tc>
          <w:tcPr>
            <w:tcW w:w="5145"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не более 3 рабочих дней с момента получения заявки</w:t>
            </w:r>
          </w:p>
        </w:tc>
      </w:tr>
    </w:tbl>
    <w:p>
      <w:pPr>
        <w:pStyle w:val="Normal"/>
        <w:spacing w:lineRule="auto" w:line="240" w:before="0" w:afterAutospacing="0" w:after="0"/>
        <w:rPr>
          <w:rFonts w:ascii="PT Astra Serif" w:hAnsi="PT Astra Serif" w:cs="PT Astra Serif"/>
          <w:sz w:val="28"/>
          <w:szCs w:val="28"/>
        </w:rPr>
      </w:pPr>
      <w:r>
        <w:rPr>
          <w:rFonts w:cs="PT Astra Serif" w:ascii="PT Astra Serif" w:hAnsi="PT Astra Serif"/>
          <w:sz w:val="28"/>
          <w:szCs w:val="28"/>
        </w:rPr>
      </w:r>
      <w:r>
        <w:br w:type="page"/>
      </w:r>
    </w:p>
    <w:p>
      <w:pPr>
        <w:pStyle w:val="Normal"/>
        <w:spacing w:lineRule="auto" w:line="240" w:before="0" w:afterAutospacing="0" w:after="0"/>
        <w:jc w:val="right"/>
        <w:rPr>
          <w:rFonts w:ascii="PT Astra Serif" w:hAnsi="PT Astra Serif" w:cs="PT Astra Serif"/>
          <w:sz w:val="28"/>
          <w:szCs w:val="28"/>
        </w:rPr>
      </w:pPr>
      <w:r>
        <w:rPr>
          <w:rFonts w:eastAsia="PT Astra Serif" w:cs="PT Astra Serif" w:ascii="PT Astra Serif" w:hAnsi="PT Astra Serif"/>
          <w:sz w:val="28"/>
          <w:szCs w:val="28"/>
        </w:rPr>
        <w:t>Приложение 1</w:t>
      </w:r>
    </w:p>
    <w:p>
      <w:pPr>
        <w:pStyle w:val="Style25"/>
        <w:spacing w:lineRule="auto" w:line="240" w:before="0" w:afterAutospacing="0" w:after="0"/>
        <w:ind w:firstLine="567"/>
        <w:jc w:val="both"/>
        <w:rPr>
          <w:rFonts w:ascii="PT Astra Serif" w:hAnsi="PT Astra Serif" w:cs="PT Astra Serif"/>
          <w:sz w:val="28"/>
          <w:szCs w:val="28"/>
        </w:rPr>
      </w:pPr>
      <w:r>
        <w:rPr>
          <w:rFonts w:cs="PT Astra Serif" w:ascii="PT Astra Serif" w:hAnsi="PT Astra Serif"/>
          <w:sz w:val="28"/>
          <w:szCs w:val="28"/>
        </w:rPr>
      </w:r>
    </w:p>
    <w:p>
      <w:pPr>
        <w:pStyle w:val="Style25"/>
        <w:spacing w:lineRule="auto" w:line="240" w:before="0" w:afterAutospacing="0" w:after="0"/>
        <w:ind w:firstLine="567"/>
        <w:jc w:val="center"/>
        <w:rPr>
          <w:rFonts w:ascii="PT Astra Serif" w:hAnsi="PT Astra Serif" w:cs="PT Astra Serif"/>
          <w:sz w:val="28"/>
          <w:szCs w:val="28"/>
        </w:rPr>
      </w:pPr>
      <w:r>
        <w:rPr>
          <w:rFonts w:eastAsia="PT Astra Serif" w:cs="PT Astra Serif" w:ascii="PT Astra Serif" w:hAnsi="PT Astra Serif"/>
          <w:sz w:val="28"/>
          <w:szCs w:val="28"/>
        </w:rPr>
        <w:t>Состав Заявки на техническую поддержку</w:t>
      </w:r>
    </w:p>
    <w:p>
      <w:pPr>
        <w:pStyle w:val="Style25"/>
        <w:spacing w:lineRule="auto" w:line="240" w:before="0" w:afterAutospacing="0" w:after="0"/>
        <w:ind w:firstLine="567"/>
        <w:jc w:val="center"/>
        <w:rPr>
          <w:rFonts w:ascii="PT Astra Serif" w:hAnsi="PT Astra Serif" w:cs="PT Astra Serif"/>
          <w:sz w:val="28"/>
          <w:szCs w:val="28"/>
        </w:rPr>
      </w:pPr>
      <w:r>
        <w:rPr>
          <w:rFonts w:cs="PT Astra Serif" w:ascii="PT Astra Serif" w:hAnsi="PT Astra Serif"/>
          <w:sz w:val="28"/>
          <w:szCs w:val="28"/>
        </w:rPr>
      </w:r>
    </w:p>
    <w:p>
      <w:pPr>
        <w:pStyle w:val="Style25"/>
        <w:spacing w:lineRule="auto" w:line="240" w:before="0" w:afterAutospacing="0" w:after="0"/>
        <w:ind w:firstLine="567"/>
        <w:jc w:val="center"/>
        <w:rPr>
          <w:rFonts w:ascii="PT Astra Serif" w:hAnsi="PT Astra Serif" w:cs="PT Astra Serif"/>
          <w:sz w:val="28"/>
          <w:szCs w:val="28"/>
        </w:rPr>
      </w:pPr>
      <w:r>
        <w:rPr>
          <w:rFonts w:cs="PT Astra Serif" w:ascii="PT Astra Serif" w:hAnsi="PT Astra Serif"/>
          <w:sz w:val="28"/>
          <w:szCs w:val="28"/>
        </w:rPr>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Вид обращения («Вопрос» или «Ошибка»)</w:t>
      </w:r>
    </w:p>
    <w:p>
      <w:pPr>
        <w:pStyle w:val="Style25"/>
        <w:spacing w:lineRule="auto" w:line="240" w:before="0" w:afterAutospacing="0" w:after="0"/>
        <w:ind w:firstLine="567"/>
        <w:jc w:val="both"/>
        <w:rPr>
          <w:rFonts w:ascii="PT Astra Serif" w:hAnsi="PT Astra Serif" w:cs="PT Astra Serif"/>
          <w:sz w:val="28"/>
          <w:szCs w:val="28"/>
        </w:rPr>
      </w:pPr>
      <w:r>
        <w:rPr>
          <w:rFonts w:cs="PT Astra Serif" w:ascii="PT Astra Serif" w:hAnsi="PT Astra Serif"/>
          <w:sz w:val="28"/>
          <w:szCs w:val="28"/>
        </w:rPr>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ФИО обратившегося сотрудника (по умолчанию - ответственный сотрудник Заказчика)</w:t>
      </w:r>
    </w:p>
    <w:p>
      <w:pPr>
        <w:pStyle w:val="Style25"/>
        <w:spacing w:lineRule="auto" w:line="240" w:before="0" w:afterAutospacing="0" w:after="0"/>
        <w:ind w:firstLine="567"/>
        <w:jc w:val="both"/>
        <w:rPr>
          <w:rFonts w:ascii="PT Astra Serif" w:hAnsi="PT Astra Serif" w:cs="PT Astra Serif"/>
          <w:sz w:val="28"/>
          <w:szCs w:val="28"/>
        </w:rPr>
      </w:pPr>
      <w:r>
        <w:rPr>
          <w:rFonts w:cs="PT Astra Serif" w:ascii="PT Astra Serif" w:hAnsi="PT Astra Serif"/>
          <w:sz w:val="28"/>
          <w:szCs w:val="28"/>
        </w:rPr>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Контактные данные (по умолчанию - контактные данные ответственного сотрудника Заказчика (телефон, </w:t>
      </w:r>
      <w:r>
        <w:rPr>
          <w:rFonts w:eastAsia="PT Astra Serif" w:cs="PT Astra Serif" w:ascii="PT Astra Serif" w:hAnsi="PT Astra Serif"/>
          <w:sz w:val="28"/>
          <w:szCs w:val="28"/>
          <w:lang w:val="en-US"/>
        </w:rPr>
        <w:t>e</w:t>
      </w:r>
      <w:r>
        <w:rPr>
          <w:rFonts w:eastAsia="PT Astra Serif" w:cs="PT Astra Serif" w:ascii="PT Astra Serif" w:hAnsi="PT Astra Serif"/>
          <w:sz w:val="28"/>
          <w:szCs w:val="28"/>
        </w:rPr>
        <w:t>-</w:t>
      </w:r>
      <w:r>
        <w:rPr>
          <w:rFonts w:eastAsia="PT Astra Serif" w:cs="PT Astra Serif" w:ascii="PT Astra Serif" w:hAnsi="PT Astra Serif"/>
          <w:sz w:val="28"/>
          <w:szCs w:val="28"/>
          <w:lang w:val="en-US"/>
        </w:rPr>
        <w:t>mail</w:t>
      </w:r>
      <w:r>
        <w:rPr>
          <w:rFonts w:eastAsia="PT Astra Serif" w:cs="PT Astra Serif" w:ascii="PT Astra Serif" w:hAnsi="PT Astra Serif"/>
          <w:sz w:val="28"/>
          <w:szCs w:val="28"/>
        </w:rPr>
        <w:t>, и др.)</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 </w:t>
      </w:r>
    </w:p>
    <w:p>
      <w:pPr>
        <w:pStyle w:val="Style25"/>
        <w:spacing w:lineRule="auto" w:line="240" w:before="0" w:afterAutospacing="0" w:after="0"/>
        <w:ind w:firstLine="567"/>
        <w:jc w:val="both"/>
        <w:rPr>
          <w:rFonts w:ascii="PT Astra Serif" w:hAnsi="PT Astra Serif" w:cs="PT Astra Serif"/>
          <w:sz w:val="28"/>
          <w:szCs w:val="28"/>
        </w:rPr>
      </w:pPr>
      <w:r>
        <w:rPr>
          <w:rFonts w:eastAsia="PT Astra Serif" w:cs="PT Astra Serif" w:ascii="PT Astra Serif" w:hAnsi="PT Astra Serif"/>
          <w:sz w:val="28"/>
          <w:szCs w:val="28"/>
        </w:rPr>
        <w:t xml:space="preserve">Описание инцидента </w:t>
      </w:r>
    </w:p>
    <w:p>
      <w:pPr>
        <w:pStyle w:val="Style25"/>
        <w:spacing w:lineRule="auto" w:line="240" w:before="0" w:afterAutospacing="0" w:after="0"/>
        <w:ind w:firstLine="567"/>
        <w:jc w:val="right"/>
        <w:rPr>
          <w:rFonts w:ascii="PT Astra Serif" w:hAnsi="PT Astra Serif" w:cs="PT Astra Serif"/>
          <w:sz w:val="28"/>
          <w:szCs w:val="28"/>
        </w:rPr>
      </w:pPr>
      <w:r>
        <w:rPr>
          <w:rFonts w:cs="PT Astra Serif" w:ascii="PT Astra Serif" w:hAnsi="PT Astra Serif"/>
          <w:sz w:val="28"/>
          <w:szCs w:val="28"/>
        </w:rPr>
      </w:r>
    </w:p>
    <w:p>
      <w:pPr>
        <w:pStyle w:val="Style25"/>
        <w:spacing w:lineRule="auto" w:line="240" w:before="0" w:afterAutospacing="0" w:after="0"/>
        <w:ind w:firstLine="567"/>
        <w:jc w:val="right"/>
        <w:rPr>
          <w:rFonts w:ascii="PT Astra Serif" w:hAnsi="PT Astra Serif" w:cs="PT Astra Serif"/>
          <w:sz w:val="28"/>
          <w:szCs w:val="28"/>
          <w:highlight w:val="none"/>
        </w:rPr>
      </w:pPr>
      <w:r>
        <w:rPr>
          <w:rFonts w:cs="PT Astra Serif" w:ascii="PT Astra Serif" w:hAnsi="PT Astra Serif"/>
          <w:sz w:val="28"/>
          <w:szCs w:val="28"/>
        </w:rPr>
      </w:r>
    </w:p>
    <w:p>
      <w:pPr>
        <w:pStyle w:val="Style25"/>
        <w:spacing w:lineRule="auto" w:line="240" w:before="0" w:afterAutospacing="0" w:after="0"/>
        <w:ind w:firstLine="567"/>
        <w:jc w:val="right"/>
        <w:rPr>
          <w:rFonts w:ascii="PT Astra Serif" w:hAnsi="PT Astra Serif" w:cs="PT Astra Serif"/>
          <w:sz w:val="28"/>
          <w:szCs w:val="28"/>
          <w:highlight w:val="none"/>
        </w:rPr>
      </w:pPr>
      <w:r>
        <w:rPr>
          <w:rFonts w:cs="PT Astra Serif" w:ascii="PT Astra Serif" w:hAnsi="PT Astra Serif"/>
          <w:sz w:val="28"/>
          <w:szCs w:val="28"/>
        </w:rPr>
      </w:r>
    </w:p>
    <w:p>
      <w:pPr>
        <w:pStyle w:val="Style25"/>
        <w:spacing w:lineRule="auto" w:line="240" w:before="0" w:afterAutospacing="0" w:after="0"/>
        <w:ind w:firstLine="567"/>
        <w:jc w:val="right"/>
        <w:rPr>
          <w:rFonts w:ascii="PT Astra Serif" w:hAnsi="PT Astra Serif" w:cs="PT Astra Serif"/>
          <w:sz w:val="28"/>
          <w:szCs w:val="28"/>
          <w:highlight w:val="none"/>
        </w:rPr>
      </w:pPr>
      <w:r>
        <w:rPr>
          <w:rFonts w:cs="PT Astra Serif" w:ascii="PT Astra Serif" w:hAnsi="PT Astra Serif"/>
          <w:sz w:val="28"/>
          <w:szCs w:val="28"/>
        </w:rPr>
      </w:r>
    </w:p>
    <w:p>
      <w:pPr>
        <w:pStyle w:val="Style25"/>
        <w:spacing w:lineRule="auto" w:line="240" w:before="0" w:afterAutospacing="0" w:after="0"/>
        <w:ind w:firstLine="567"/>
        <w:jc w:val="right"/>
        <w:rPr>
          <w:rFonts w:ascii="PT Astra Serif" w:hAnsi="PT Astra Serif" w:cs="PT Astra Serif"/>
          <w:sz w:val="28"/>
          <w:szCs w:val="28"/>
          <w:highlight w:val="none"/>
        </w:rPr>
      </w:pPr>
      <w:r>
        <w:rPr>
          <w:rFonts w:eastAsia="PT Astra Serif" w:cs="PT Astra Serif" w:ascii="PT Astra Serif" w:hAnsi="PT Astra Serif"/>
          <w:sz w:val="28"/>
          <w:szCs w:val="28"/>
        </w:rPr>
        <w:t>Приложение 2</w:t>
      </w:r>
    </w:p>
    <w:p>
      <w:pPr>
        <w:pStyle w:val="Style25"/>
        <w:spacing w:lineRule="auto" w:line="240" w:before="0" w:afterAutospacing="0" w:after="0"/>
        <w:ind w:firstLine="567"/>
        <w:jc w:val="right"/>
        <w:rPr>
          <w:rFonts w:ascii="PT Astra Serif" w:hAnsi="PT Astra Serif" w:cs="PT Astra Serif"/>
          <w:sz w:val="28"/>
          <w:szCs w:val="28"/>
        </w:rPr>
      </w:pPr>
      <w:r>
        <w:rPr>
          <w:rFonts w:cs="PT Astra Serif" w:ascii="PT Astra Serif" w:hAnsi="PT Astra Serif"/>
          <w:sz w:val="28"/>
          <w:szCs w:val="28"/>
        </w:rPr>
      </w:r>
    </w:p>
    <w:p>
      <w:pPr>
        <w:pStyle w:val="Style25"/>
        <w:spacing w:lineRule="auto" w:line="240" w:before="0" w:afterAutospacing="0" w:after="0"/>
        <w:ind w:firstLine="567"/>
        <w:jc w:val="right"/>
        <w:rPr>
          <w:rFonts w:ascii="PT Astra Serif" w:hAnsi="PT Astra Serif" w:cs="PT Astra Serif"/>
          <w:sz w:val="28"/>
          <w:szCs w:val="28"/>
        </w:rPr>
      </w:pPr>
      <w:r>
        <w:rPr>
          <w:rFonts w:cs="PT Astra Serif" w:ascii="PT Astra Serif" w:hAnsi="PT Astra Serif"/>
          <w:sz w:val="28"/>
          <w:szCs w:val="28"/>
        </w:rPr>
      </w:r>
    </w:p>
    <w:p>
      <w:pPr>
        <w:pStyle w:val="Style25"/>
        <w:spacing w:lineRule="auto" w:line="240" w:before="0" w:afterAutospacing="0" w:after="0"/>
        <w:ind w:firstLine="567"/>
        <w:jc w:val="center"/>
        <w:rPr>
          <w:rFonts w:ascii="PT Astra Serif" w:hAnsi="PT Astra Serif" w:cs="PT Astra Serif"/>
          <w:sz w:val="28"/>
          <w:szCs w:val="28"/>
        </w:rPr>
      </w:pPr>
      <w:r>
        <w:rPr>
          <w:rFonts w:eastAsia="PT Astra Serif" w:cs="PT Astra Serif" w:ascii="PT Astra Serif" w:hAnsi="PT Astra Serif"/>
          <w:sz w:val="28"/>
          <w:szCs w:val="28"/>
        </w:rPr>
        <w:t>Журнал учета инцидентов</w:t>
      </w:r>
    </w:p>
    <w:p>
      <w:pPr>
        <w:pStyle w:val="Style25"/>
        <w:spacing w:lineRule="auto" w:line="240" w:before="0" w:afterAutospacing="0" w:after="0"/>
        <w:ind w:firstLine="567"/>
        <w:jc w:val="center"/>
        <w:rPr>
          <w:rFonts w:ascii="PT Astra Serif" w:hAnsi="PT Astra Serif" w:cs="PT Astra Serif"/>
          <w:sz w:val="28"/>
          <w:szCs w:val="28"/>
        </w:rPr>
      </w:pPr>
      <w:r>
        <w:rPr>
          <w:rFonts w:cs="PT Astra Serif" w:ascii="PT Astra Serif" w:hAnsi="PT Astra Serif"/>
          <w:sz w:val="28"/>
          <w:szCs w:val="28"/>
        </w:rPr>
      </w:r>
    </w:p>
    <w:tbl>
      <w:tblPr>
        <w:tblW w:w="1029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9"/>
        <w:gridCol w:w="1250"/>
        <w:gridCol w:w="1251"/>
        <w:gridCol w:w="1720"/>
        <w:gridCol w:w="1582"/>
        <w:gridCol w:w="1436"/>
        <w:gridCol w:w="1322"/>
        <w:gridCol w:w="1210"/>
      </w:tblGrid>
      <w:tr>
        <w:trPr/>
        <w:tc>
          <w:tcPr>
            <w:tcW w:w="519"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 xml:space="preserve">№ </w:t>
            </w:r>
            <w:r>
              <w:rPr>
                <w:rFonts w:eastAsia="PT Astra Serif" w:cs="PT Astra Serif" w:ascii="PT Astra Serif" w:hAnsi="PT Astra Serif"/>
                <w:sz w:val="28"/>
                <w:szCs w:val="28"/>
              </w:rPr>
              <w:t>п/п</w:t>
            </w:r>
          </w:p>
        </w:tc>
        <w:tc>
          <w:tcPr>
            <w:tcW w:w="1250"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Дата, время обращения</w:t>
            </w:r>
          </w:p>
        </w:tc>
        <w:tc>
          <w:tcPr>
            <w:tcW w:w="1251"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Вид обращения</w:t>
            </w:r>
          </w:p>
        </w:tc>
        <w:tc>
          <w:tcPr>
            <w:tcW w:w="1720"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Ф.И.О. обратившегося</w:t>
            </w:r>
          </w:p>
        </w:tc>
        <w:tc>
          <w:tcPr>
            <w:tcW w:w="1582"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Контрактные данные</w:t>
            </w:r>
          </w:p>
        </w:tc>
        <w:tc>
          <w:tcPr>
            <w:tcW w:w="1436"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Критичность инцидента</w:t>
            </w:r>
          </w:p>
        </w:tc>
        <w:tc>
          <w:tcPr>
            <w:tcW w:w="1322"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Плановый срок разрешения инцидента</w:t>
            </w:r>
          </w:p>
        </w:tc>
        <w:tc>
          <w:tcPr>
            <w:tcW w:w="1210" w:type="dxa"/>
            <w:tcBorders>
              <w:top w:val="single" w:sz="4" w:space="0" w:color="000000"/>
              <w:left w:val="single" w:sz="4" w:space="0" w:color="000000"/>
              <w:bottom w:val="single" w:sz="4" w:space="0" w:color="000000"/>
              <w:right w:val="single" w:sz="4" w:space="0" w:color="000000"/>
            </w:tcBorders>
          </w:tcPr>
          <w:p>
            <w:pPr>
              <w:pStyle w:val="Style25"/>
              <w:spacing w:lineRule="auto" w:line="240" w:before="0" w:afterAutospacing="0" w:after="0"/>
              <w:jc w:val="center"/>
              <w:rPr>
                <w:rFonts w:ascii="PT Astra Serif" w:hAnsi="PT Astra Serif" w:cs="PT Astra Serif"/>
                <w:sz w:val="28"/>
                <w:szCs w:val="28"/>
              </w:rPr>
            </w:pPr>
            <w:r>
              <w:rPr>
                <w:rFonts w:eastAsia="PT Astra Serif" w:cs="PT Astra Serif" w:ascii="PT Astra Serif" w:hAnsi="PT Astra Serif"/>
                <w:sz w:val="28"/>
                <w:szCs w:val="28"/>
              </w:rPr>
              <w:t>Дата закрытия инцидента</w:t>
            </w:r>
          </w:p>
        </w:tc>
      </w:tr>
    </w:tbl>
    <w:p>
      <w:pPr>
        <w:pStyle w:val="Normal"/>
        <w:spacing w:lineRule="auto" w:line="240" w:before="0" w:afterAutospacing="0" w:after="0"/>
        <w:jc w:val="right"/>
        <w:rPr>
          <w:rFonts w:ascii="PT Astra Serif" w:hAnsi="PT Astra Serif" w:cs="PT Astra Serif"/>
          <w:sz w:val="28"/>
          <w:szCs w:val="28"/>
        </w:rPr>
      </w:pPr>
      <w:r>
        <w:rPr>
          <w:rFonts w:cs="PT Astra Serif" w:ascii="PT Astra Serif" w:hAnsi="PT Astra Serif"/>
          <w:sz w:val="28"/>
          <w:szCs w:val="28"/>
        </w:rPr>
      </w:r>
    </w:p>
    <w:sectPr>
      <w:type w:val="nextPage"/>
      <w:pgSz w:w="11906" w:h="16838"/>
      <w:pgMar w:left="1417" w:right="567" w:gutter="0" w:header="0" w:top="850" w:footer="0"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Arial Unicode MS">
    <w:charset w:val="01"/>
    <w:family w:val="roman"/>
    <w:pitch w:val="variable"/>
  </w:font>
  <w:font w:name="Liberation Sans">
    <w:altName w:val="Arial"/>
    <w:charset w:val="01"/>
    <w:family w:val="swiss"/>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PT Astra Serif">
    <w:charset w:val="01"/>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ahoma" w:cs="Noto Sans"/>
      <w:color w:val="auto"/>
      <w:kern w:val="0"/>
      <w:sz w:val="24"/>
      <w:szCs w:val="24"/>
      <w:lang w:val="ru-RU" w:eastAsia="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7">
    <w:name w:val="Основной шрифт абзаца, Знак Знак Знак Знак Знак Знак Знак Знак Знак Знак Знак Знак Знак Знак Знак Знак Знак Знак Знак Знак Знак Знак Знак Знак Знак Знак Знак Знак Знак Знак"/>
    <w:semiHidden/>
    <w:qFormat/>
    <w:rPr/>
  </w:style>
  <w:style w:type="character" w:styleId="1">
    <w:name w:val="Заголовок 1 Знак"/>
    <w:uiPriority w:val="67"/>
    <w:qFormat/>
    <w:rPr>
      <w:rFonts w:ascii="Arial" w:hAnsi="Arial"/>
      <w:b/>
      <w:bCs/>
      <w:color w:val="000080"/>
      <w:lang w:val="ru-RU" w:eastAsia="ru-RU" w:bidi="ar-SA"/>
    </w:rPr>
  </w:style>
  <w:style w:type="character" w:styleId="Style8">
    <w:name w:val="Гипертекстовая ссылка"/>
    <w:uiPriority w:val="67"/>
    <w:qFormat/>
    <w:rPr>
      <w:b/>
      <w:bCs/>
      <w:color w:val="008000"/>
      <w:sz w:val="20"/>
      <w:szCs w:val="20"/>
      <w:u w:val="single"/>
    </w:rPr>
  </w:style>
  <w:style w:type="character" w:styleId="Style9">
    <w:name w:val="Гиперссылка"/>
    <w:uiPriority w:val="68"/>
    <w:qFormat/>
    <w:rPr>
      <w:color w:val="0000FF"/>
      <w:u w:val="single"/>
    </w:rPr>
  </w:style>
  <w:style w:type="character" w:styleId="FontStyle18">
    <w:name w:val="Font Style18"/>
    <w:uiPriority w:val="6"/>
    <w:qFormat/>
    <w:rPr>
      <w:rFonts w:ascii="Cambria" w:hAnsi="Cambria" w:cs="Cambria"/>
      <w:sz w:val="24"/>
      <w:szCs w:val="24"/>
    </w:rPr>
  </w:style>
  <w:style w:type="character" w:styleId="highlighthighlightactive">
    <w:name w:val="highlight highlight_active"/>
    <w:basedOn w:val="Style7"/>
    <w:uiPriority w:val="6"/>
    <w:qFormat/>
    <w:rPr/>
  </w:style>
  <w:style w:type="character" w:styleId="2">
    <w:name w:val="Основной текст 2 Знак"/>
    <w:uiPriority w:val="67"/>
    <w:qFormat/>
    <w:rPr>
      <w:sz w:val="24"/>
      <w:szCs w:val="24"/>
    </w:rPr>
  </w:style>
  <w:style w:type="character" w:styleId="Style10">
    <w:name w:val="Нижний колонтитул Знак"/>
    <w:uiPriority w:val="99"/>
    <w:qFormat/>
    <w:rPr>
      <w:sz w:val="24"/>
      <w:szCs w:val="24"/>
    </w:rPr>
  </w:style>
  <w:style w:type="character" w:styleId="WW8Num5z0">
    <w:name w:val="WW8Num5z0"/>
    <w:uiPriority w:val="3"/>
    <w:qFormat/>
    <w:rPr/>
  </w:style>
  <w:style w:type="character" w:styleId="WW8Num2z8">
    <w:name w:val="WW8Num2z8"/>
    <w:uiPriority w:val="3"/>
    <w:qFormat/>
    <w:rPr/>
  </w:style>
  <w:style w:type="character" w:styleId="WW8Num6z0">
    <w:name w:val="WW8Num6z0"/>
    <w:uiPriority w:val="3"/>
    <w:qFormat/>
    <w:rPr/>
  </w:style>
  <w:style w:type="character" w:styleId="11">
    <w:name w:val="Основной шрифт абзаца1"/>
    <w:uiPriority w:val="67"/>
    <w:qFormat/>
    <w:rPr/>
  </w:style>
  <w:style w:type="character" w:styleId="WW8Num2z7">
    <w:name w:val="WW8Num2z7"/>
    <w:uiPriority w:val="3"/>
    <w:qFormat/>
    <w:rPr/>
  </w:style>
  <w:style w:type="character" w:styleId="WW8Num6z1">
    <w:name w:val="WW8Num6z1"/>
    <w:uiPriority w:val="3"/>
    <w:qFormat/>
    <w:rPr/>
  </w:style>
  <w:style w:type="character" w:styleId="WW8Num2z6">
    <w:name w:val="WW8Num2z6"/>
    <w:uiPriority w:val="3"/>
    <w:qFormat/>
    <w:rPr/>
  </w:style>
  <w:style w:type="character" w:styleId="Style11">
    <w:name w:val="Просмотренная гиперссылка"/>
    <w:qFormat/>
    <w:rPr>
      <w:color w:val="800000"/>
      <w:u w:val="single"/>
    </w:rPr>
  </w:style>
  <w:style w:type="character" w:styleId="WW8Num3z3">
    <w:name w:val="WW8Num3z3"/>
    <w:uiPriority w:val="3"/>
    <w:qFormat/>
    <w:rPr/>
  </w:style>
  <w:style w:type="character" w:styleId="user">
    <w:name w:val="Символ нумерации (user)"/>
    <w:uiPriority w:val="67"/>
    <w:qFormat/>
    <w:rPr/>
  </w:style>
  <w:style w:type="character" w:styleId="WW8Num8z0">
    <w:name w:val="WW8Num8z0"/>
    <w:uiPriority w:val="3"/>
    <w:qFormat/>
    <w:rPr>
      <w:sz w:val="28"/>
      <w:szCs w:val="28"/>
    </w:rPr>
  </w:style>
  <w:style w:type="character" w:styleId="font11">
    <w:name w:val="font11"/>
    <w:uiPriority w:val="6"/>
    <w:qFormat/>
    <w:rPr>
      <w:i w:val="false"/>
      <w:color w:val="000000"/>
      <w:szCs w:val="28"/>
      <w:u w:val="none"/>
    </w:rPr>
  </w:style>
  <w:style w:type="character" w:styleId="WW8Num7z0">
    <w:name w:val="WW8Num7z0"/>
    <w:uiPriority w:val="3"/>
    <w:qFormat/>
    <w:rPr>
      <w:rFonts w:ascii="Times New Roman" w:hAnsi="Times New Roman" w:eastAsia="Times New Roman" w:cs="Times New Roman"/>
      <w:b w:val="false"/>
      <w:i w:val="false"/>
      <w:caps w:val="false"/>
      <w:smallCaps w:val="false"/>
      <w:strike w:val="false"/>
      <w:dstrike w:val="false"/>
      <w:spacing w:val="0"/>
      <w:sz w:val="28"/>
      <w:szCs w:val="28"/>
      <w:lang w:val="ru-RU" w:eastAsia="zh-CN" w:bidi="ar-SA"/>
    </w:rPr>
  </w:style>
  <w:style w:type="character" w:styleId="WW8Num4z0">
    <w:name w:val="WW8Num4z0"/>
    <w:uiPriority w:val="3"/>
    <w:qFormat/>
    <w:rPr/>
  </w:style>
  <w:style w:type="character" w:styleId="WW8Num3z0">
    <w:name w:val="WW8Num3z0"/>
    <w:uiPriority w:val="3"/>
    <w:qFormat/>
    <w:rPr>
      <w:sz w:val="28"/>
    </w:rPr>
  </w:style>
  <w:style w:type="character" w:styleId="Style12">
    <w:name w:val="Маркеры списка"/>
    <w:uiPriority w:val="68"/>
    <w:qFormat/>
    <w:rPr>
      <w:rFonts w:ascii="OpenSymbol" w:hAnsi="OpenSymbol" w:eastAsia="OpenSymbol" w:cs="OpenSymbol"/>
    </w:rPr>
  </w:style>
  <w:style w:type="character" w:styleId="111">
    <w:name w:val="Основной шрифт абзаца11"/>
    <w:uiPriority w:val="67"/>
    <w:qFormat/>
    <w:rPr/>
  </w:style>
  <w:style w:type="character" w:styleId="WW8Num2z3">
    <w:name w:val="WW8Num2z3"/>
    <w:uiPriority w:val="3"/>
    <w:qFormat/>
    <w:rPr/>
  </w:style>
  <w:style w:type="character" w:styleId="WW8Num2z4">
    <w:name w:val="WW8Num2z4"/>
    <w:uiPriority w:val="3"/>
    <w:qFormat/>
    <w:rPr/>
  </w:style>
  <w:style w:type="character" w:styleId="WW8Num2z1">
    <w:name w:val="WW8Num2z1"/>
    <w:uiPriority w:val="3"/>
    <w:qFormat/>
    <w:rPr/>
  </w:style>
  <w:style w:type="character" w:styleId="WW8Num2z2">
    <w:name w:val="WW8Num2z2"/>
    <w:uiPriority w:val="3"/>
    <w:qFormat/>
    <w:rPr/>
  </w:style>
  <w:style w:type="character" w:styleId="WW8Num2z0">
    <w:name w:val="WW8Num2z0"/>
    <w:uiPriority w:val="3"/>
    <w:qFormat/>
    <w:rPr>
      <w:rFonts w:ascii="Times New Roman" w:hAnsi="Times New Roman" w:cs="Times New Roman"/>
      <w:sz w:val="28"/>
      <w:szCs w:val="28"/>
    </w:rPr>
  </w:style>
  <w:style w:type="character" w:styleId="WW8Num1z2">
    <w:name w:val="WW8Num1z2"/>
    <w:uiPriority w:val="3"/>
    <w:qFormat/>
    <w:rPr/>
  </w:style>
  <w:style w:type="character" w:styleId="WW8Num1z7">
    <w:name w:val="WW8Num1z7"/>
    <w:uiPriority w:val="3"/>
    <w:qFormat/>
    <w:rPr/>
  </w:style>
  <w:style w:type="character" w:styleId="WW8Num1z5">
    <w:name w:val="WW8Num1z5"/>
    <w:uiPriority w:val="3"/>
    <w:qFormat/>
    <w:rPr/>
  </w:style>
  <w:style w:type="character" w:styleId="WW8Num1z8">
    <w:name w:val="WW8Num1z8"/>
    <w:uiPriority w:val="3"/>
    <w:qFormat/>
    <w:rPr/>
  </w:style>
  <w:style w:type="character" w:styleId="WW8Num1z3">
    <w:name w:val="WW8Num1z3"/>
    <w:uiPriority w:val="3"/>
    <w:qFormat/>
    <w:rPr/>
  </w:style>
  <w:style w:type="character" w:styleId="WW8Num1z0">
    <w:name w:val="WW8Num1z0"/>
    <w:uiPriority w:val="3"/>
    <w:qFormat/>
    <w:rPr/>
  </w:style>
  <w:style w:type="character" w:styleId="WW8Num1z4">
    <w:name w:val="WW8Num1z4"/>
    <w:uiPriority w:val="3"/>
    <w:qFormat/>
    <w:rPr/>
  </w:style>
  <w:style w:type="character" w:styleId="WW8Num1z1">
    <w:name w:val="WW8Num1z1"/>
    <w:uiPriority w:val="3"/>
    <w:qFormat/>
    <w:rPr/>
  </w:style>
  <w:style w:type="character" w:styleId="WW8Num1z6">
    <w:name w:val="WW8Num1z6"/>
    <w:uiPriority w:val="3"/>
    <w:qFormat/>
    <w:rPr/>
  </w:style>
  <w:style w:type="character" w:styleId="WW8Num2z5">
    <w:name w:val="WW8Num2z5"/>
    <w:uiPriority w:val="3"/>
    <w:qFormat/>
    <w:rPr/>
  </w:style>
  <w:style w:type="character" w:styleId="WW8Num3z1">
    <w:name w:val="WW8Num3z1"/>
    <w:uiPriority w:val="3"/>
    <w:qFormat/>
    <w:rPr/>
  </w:style>
  <w:style w:type="character" w:styleId="WW8Num3z2">
    <w:name w:val="WW8Num3z2"/>
    <w:uiPriority w:val="3"/>
    <w:qFormat/>
    <w:rPr/>
  </w:style>
  <w:style w:type="character" w:styleId="WW8Num3z4">
    <w:name w:val="WW8Num3z4"/>
    <w:uiPriority w:val="3"/>
    <w:qFormat/>
    <w:rPr/>
  </w:style>
  <w:style w:type="character" w:styleId="WW8Num3z5">
    <w:name w:val="WW8Num3z5"/>
    <w:uiPriority w:val="3"/>
    <w:qFormat/>
    <w:rPr/>
  </w:style>
  <w:style w:type="character" w:styleId="WW8Num3z6">
    <w:name w:val="WW8Num3z6"/>
    <w:uiPriority w:val="3"/>
    <w:qFormat/>
    <w:rPr/>
  </w:style>
  <w:style w:type="character" w:styleId="WW8Num3z7">
    <w:name w:val="WW8Num3z7"/>
    <w:uiPriority w:val="3"/>
    <w:qFormat/>
    <w:rPr/>
  </w:style>
  <w:style w:type="character" w:styleId="WW8Num3z8">
    <w:name w:val="WW8Num3z8"/>
    <w:uiPriority w:val="3"/>
    <w:qFormat/>
    <w:rPr/>
  </w:style>
  <w:style w:type="character" w:styleId="WW8Num20z0">
    <w:name w:val="WW8Num20z0"/>
    <w:uiPriority w:val="3"/>
    <w:qFormat/>
    <w:rPr/>
  </w:style>
  <w:style w:type="character" w:styleId="WW8Num12z0">
    <w:name w:val="WW8Num12z0"/>
    <w:uiPriority w:val="3"/>
    <w:qFormat/>
    <w:rPr/>
  </w:style>
  <w:style w:type="character" w:styleId="WW8Num12z1">
    <w:name w:val="WW8Num12z1"/>
    <w:uiPriority w:val="3"/>
    <w:qFormat/>
    <w:rPr/>
  </w:style>
  <w:style w:type="character" w:styleId="Style13">
    <w:name w:val="Основной текст с отступом Знак"/>
    <w:uiPriority w:val="67"/>
    <w:qFormat/>
    <w:rPr>
      <w:sz w:val="24"/>
      <w:szCs w:val="24"/>
    </w:rPr>
  </w:style>
  <w:style w:type="character" w:styleId="Style14">
    <w:name w:val="Абзац списка Знак"/>
    <w:uiPriority w:val="34"/>
    <w:qFormat/>
    <w:rPr>
      <w:rFonts w:eastAsia="Arial Unicode MS" w:cs="Arial Unicode MS"/>
      <w:color w:val="000000"/>
      <w:sz w:val="28"/>
      <w:szCs w:val="24"/>
      <w:lang w:eastAsia="en-US"/>
    </w:rPr>
  </w:style>
  <w:style w:type="character" w:styleId="Style15">
    <w:name w:val="Без интервала Знак"/>
    <w:uiPriority w:val="99"/>
    <w:qFormat/>
    <w:rPr>
      <w:rFonts w:ascii="Arial Unicode MS" w:hAnsi="Arial Unicode MS" w:eastAsia="Arial Unicode MS" w:cs="Arial Unicode MS"/>
      <w:color w:val="000000"/>
      <w:sz w:val="24"/>
      <w:szCs w:val="24"/>
      <w:lang w:eastAsia="en-US"/>
    </w:rPr>
  </w:style>
  <w:style w:type="character" w:styleId="DefaultParagraphFont" w:default="1">
    <w:name w:val="Default Paragraph Font"/>
    <w:uiPriority w:val="1"/>
    <w:semiHidden/>
    <w:unhideWhenUsed/>
    <w:qFormat/>
    <w:rPr/>
  </w:style>
  <w:style w:type="paragraph" w:styleId="Style16">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7">
    <w:name w:val="Указатель"/>
    <w:basedOn w:val="Normal"/>
    <w:qFormat/>
    <w:pPr>
      <w:suppressLineNumbers/>
    </w:pPr>
    <w:rPr>
      <w:rFonts w:cs="Noto Sans"/>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bidi w:val="0"/>
      <w:spacing w:lineRule="auto" w:line="240" w:before="0" w:after="0"/>
      <w:jc w:val="left"/>
    </w:pPr>
    <w:rPr>
      <w:rFonts w:ascii="Times New Roman" w:hAnsi="Times New Roman" w:eastAsia="Tahoma" w:cs="Noto Sans"/>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8">
    <w:name w:val="Колонтитулы"/>
    <w:basedOn w:val="Normal"/>
    <w:qFormat/>
    <w:pPr/>
    <w:rPr/>
  </w:style>
  <w:style w:type="paragraph" w:styleId="Header">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Footer">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ahoma" w:cs="Noto Sans"/>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1user">
    <w:name w:val="Заголовок 1 (user)"/>
    <w:basedOn w:val="Normal"/>
    <w:uiPriority w:val="67"/>
    <w:qFormat/>
    <w:pPr>
      <w:spacing w:before="108" w:after="108"/>
      <w:jc w:val="center"/>
      <w:outlineLvl w:val="0"/>
    </w:pPr>
    <w:rPr>
      <w:rFonts w:ascii="Arial" w:hAnsi="Arial"/>
      <w:b/>
      <w:bCs/>
      <w:color w:val="000080"/>
      <w:sz w:val="20"/>
      <w:szCs w:val="20"/>
    </w:rPr>
  </w:style>
  <w:style w:type="paragraph" w:styleId="2user">
    <w:name w:val="Заголовок 2 (user)"/>
    <w:basedOn w:val="Normal"/>
    <w:uiPriority w:val="67"/>
    <w:qFormat/>
    <w:pPr>
      <w:keepNext w:val="true"/>
      <w:spacing w:before="240" w:after="60"/>
      <w:outlineLvl w:val="1"/>
    </w:pPr>
    <w:rPr>
      <w:rFonts w:ascii="Arial" w:hAnsi="Arial" w:cs="Arial"/>
      <w:b/>
      <w:bCs/>
      <w:i/>
      <w:iCs/>
      <w:sz w:val="28"/>
      <w:szCs w:val="28"/>
    </w:rPr>
  </w:style>
  <w:style w:type="paragraph" w:styleId="Style19">
    <w:name w:val="Цитата"/>
    <w:basedOn w:val="Normal"/>
    <w:qFormat/>
    <w:pPr>
      <w:ind w:left="4860" w:right="-5"/>
    </w:pPr>
    <w:rPr>
      <w:sz w:val="28"/>
      <w:szCs w:val="28"/>
    </w:rPr>
  </w:style>
  <w:style w:type="paragraph" w:styleId="Style20">
    <w:name w:val="Текст выноски"/>
    <w:basedOn w:val="Normal"/>
    <w:semiHidden/>
    <w:qFormat/>
    <w:pPr/>
    <w:rPr>
      <w:rFonts w:ascii="Tahoma" w:hAnsi="Tahoma" w:cs="Tahoma"/>
      <w:sz w:val="16"/>
      <w:szCs w:val="16"/>
    </w:rPr>
  </w:style>
  <w:style w:type="paragraph" w:styleId="Style21">
    <w:name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67"/>
    <w:qFormat/>
    <w:pPr>
      <w:widowControl w:val="false"/>
      <w:spacing w:lineRule="exact" w:line="240" w:before="0" w:after="160"/>
      <w:jc w:val="right"/>
    </w:pPr>
    <w:rPr>
      <w:sz w:val="20"/>
      <w:szCs w:val="20"/>
      <w:lang w:val="en-GB" w:eastAsia="en-US"/>
    </w:rPr>
  </w:style>
  <w:style w:type="paragraph" w:styleId="ConsPlusNormal">
    <w:name w:val="ConsPlusNormal"/>
    <w:uiPriority w:val="6"/>
    <w:qFormat/>
    <w:pPr>
      <w:widowControl w:val="false"/>
      <w:bidi w:val="0"/>
      <w:spacing w:before="0" w:after="0"/>
      <w:ind w:firstLine="720"/>
      <w:jc w:val="left"/>
    </w:pPr>
    <w:rPr>
      <w:rFonts w:ascii="Arial" w:hAnsi="Arial" w:cs="Arial" w:eastAsia="Tahoma"/>
      <w:color w:val="auto"/>
      <w:kern w:val="0"/>
      <w:sz w:val="20"/>
      <w:szCs w:val="20"/>
      <w:lang w:val="ru-RU" w:eastAsia="ru-RU" w:bidi="ar-SA"/>
    </w:rPr>
  </w:style>
  <w:style w:type="paragraph" w:styleId="21">
    <w:name w:val="Основной текст с отступом 2"/>
    <w:basedOn w:val="Normal"/>
    <w:qFormat/>
    <w:pPr>
      <w:ind w:firstLine="993"/>
      <w:jc w:val="both"/>
    </w:pPr>
    <w:rPr>
      <w:sz w:val="28"/>
      <w:szCs w:val="20"/>
    </w:rPr>
  </w:style>
  <w:style w:type="paragraph" w:styleId="211">
    <w:name w:val="Основной текст 21"/>
    <w:basedOn w:val="Normal"/>
    <w:uiPriority w:val="67"/>
    <w:qFormat/>
    <w:pPr>
      <w:jc w:val="center"/>
    </w:pPr>
    <w:rPr>
      <w:szCs w:val="20"/>
      <w:lang w:eastAsia="ar-SA"/>
    </w:rPr>
  </w:style>
  <w:style w:type="paragraph" w:styleId="Style22">
    <w:name w:val="Обычный (веб)"/>
    <w:basedOn w:val="Normal"/>
    <w:uiPriority w:val="99"/>
    <w:qFormat/>
    <w:pPr>
      <w:spacing w:before="41" w:after="41"/>
    </w:pPr>
    <w:rPr/>
  </w:style>
  <w:style w:type="paragraph" w:styleId="user1">
    <w:name w:val="Основной текст (user)"/>
    <w:basedOn w:val="Normal"/>
    <w:uiPriority w:val="67"/>
    <w:qFormat/>
    <w:pPr>
      <w:spacing w:before="0" w:after="120"/>
    </w:pPr>
    <w:rPr/>
  </w:style>
  <w:style w:type="paragraph" w:styleId="user2">
    <w:name w:val="Верхний колонтитул (user)"/>
    <w:basedOn w:val="Normal"/>
    <w:uiPriority w:val="68"/>
    <w:qFormat/>
    <w:pPr>
      <w:tabs>
        <w:tab w:val="clear" w:pos="708"/>
        <w:tab w:val="center" w:pos="4153" w:leader="none"/>
        <w:tab w:val="right" w:pos="8306" w:leader="none"/>
      </w:tabs>
    </w:pPr>
    <w:rPr>
      <w:szCs w:val="20"/>
    </w:rPr>
  </w:style>
  <w:style w:type="paragraph" w:styleId="22">
    <w:name w:val="Основной текст 2"/>
    <w:basedOn w:val="Normal"/>
    <w:uiPriority w:val="99"/>
    <w:semiHidden/>
    <w:unhideWhenUsed/>
    <w:qFormat/>
    <w:pPr>
      <w:spacing w:lineRule="auto" w:line="480" w:before="0" w:after="120"/>
    </w:pPr>
    <w:rPr>
      <w:lang w:val="en-US" w:eastAsia="en-US"/>
    </w:rPr>
  </w:style>
  <w:style w:type="paragraph" w:styleId="Style23">
    <w:name w:val="Название объекта"/>
    <w:basedOn w:val="Normal"/>
    <w:semiHidden/>
    <w:unhideWhenUsed/>
    <w:qFormat/>
    <w:pPr>
      <w:ind w:left="720"/>
    </w:pPr>
    <w:rPr>
      <w:b/>
      <w:sz w:val="28"/>
      <w:szCs w:val="20"/>
    </w:rPr>
  </w:style>
  <w:style w:type="paragraph" w:styleId="ConsPlusNonformat">
    <w:name w:val="ConsPlusNonformat"/>
    <w:uiPriority w:val="6"/>
    <w:qFormat/>
    <w:pPr>
      <w:widowControl w:val="false"/>
      <w:bidi w:val="0"/>
      <w:spacing w:before="0" w:after="0"/>
      <w:jc w:val="left"/>
    </w:pPr>
    <w:rPr>
      <w:rFonts w:ascii="Courier New" w:hAnsi="Courier New" w:cs="Courier New" w:eastAsia="Tahoma"/>
      <w:color w:val="auto"/>
      <w:kern w:val="0"/>
      <w:sz w:val="20"/>
      <w:szCs w:val="20"/>
      <w:lang w:val="ru-RU" w:eastAsia="ru-RU" w:bidi="ar-SA"/>
    </w:rPr>
  </w:style>
  <w:style w:type="paragraph" w:styleId="user3">
    <w:name w:val="Нижний колонтитул (user)"/>
    <w:basedOn w:val="Normal"/>
    <w:uiPriority w:val="67"/>
    <w:unhideWhenUsed/>
    <w:qFormat/>
    <w:pPr>
      <w:tabs>
        <w:tab w:val="clear" w:pos="708"/>
        <w:tab w:val="center" w:pos="4677" w:leader="none"/>
        <w:tab w:val="right" w:pos="9355" w:leader="none"/>
      </w:tabs>
    </w:pPr>
    <w:rPr/>
  </w:style>
  <w:style w:type="paragraph" w:styleId="user4">
    <w:name w:val="Список (user)"/>
    <w:basedOn w:val="user1"/>
    <w:uiPriority w:val="67"/>
    <w:qFormat/>
    <w:pPr/>
    <w:rPr>
      <w:rFonts w:cs="Lucida Sans"/>
    </w:rPr>
  </w:style>
  <w:style w:type="paragraph" w:styleId="user5">
    <w:name w:val="Основной текст с отступом (user)"/>
    <w:basedOn w:val="Normal"/>
    <w:uiPriority w:val="67"/>
    <w:qFormat/>
    <w:pPr>
      <w:spacing w:before="0" w:after="120"/>
      <w:ind w:left="283"/>
    </w:pPr>
    <w:rPr/>
  </w:style>
  <w:style w:type="paragraph" w:styleId="12">
    <w:name w:val="Обычный (веб)1"/>
    <w:basedOn w:val="Normal"/>
    <w:uiPriority w:val="68"/>
    <w:qFormat/>
    <w:pPr>
      <w:spacing w:before="41" w:after="41"/>
    </w:pPr>
    <w:rPr/>
  </w:style>
  <w:style w:type="paragraph" w:styleId="13">
    <w:name w:val="Заголовок1"/>
    <w:basedOn w:val="Normal"/>
    <w:uiPriority w:val="67"/>
    <w:qFormat/>
    <w:pPr>
      <w:keepNext w:val="true"/>
      <w:spacing w:before="240" w:after="120"/>
    </w:pPr>
    <w:rPr>
      <w:rFonts w:ascii="Liberation Sans" w:hAnsi="Liberation Sans" w:eastAsia="Microsoft YaHei" w:cs="Lucida Sans"/>
      <w:sz w:val="28"/>
      <w:szCs w:val="28"/>
    </w:rPr>
  </w:style>
  <w:style w:type="paragraph" w:styleId="112">
    <w:name w:val="Указатель11"/>
    <w:basedOn w:val="Normal"/>
    <w:uiPriority w:val="67"/>
    <w:qFormat/>
    <w:pPr>
      <w:suppressLineNumbers/>
    </w:pPr>
    <w:rPr>
      <w:rFonts w:cs="Lucida Sans"/>
    </w:rPr>
  </w:style>
  <w:style w:type="paragraph" w:styleId="user6">
    <w:name w:val="Содержимое таблицы (user)"/>
    <w:basedOn w:val="Normal"/>
    <w:uiPriority w:val="67"/>
    <w:qFormat/>
    <w:pPr>
      <w:suppressLineNumbers/>
    </w:pPr>
    <w:rPr/>
  </w:style>
  <w:style w:type="paragraph" w:styleId="221">
    <w:name w:val="Основной текст 22"/>
    <w:basedOn w:val="Normal"/>
    <w:uiPriority w:val="67"/>
    <w:qFormat/>
    <w:pPr>
      <w:spacing w:lineRule="auto" w:line="480" w:before="0" w:after="120"/>
    </w:pPr>
    <w:rPr/>
  </w:style>
  <w:style w:type="paragraph" w:styleId="212">
    <w:name w:val="Основной текст с отступом 21"/>
    <w:basedOn w:val="Normal"/>
    <w:uiPriority w:val="67"/>
    <w:qFormat/>
    <w:pPr>
      <w:ind w:firstLine="993"/>
      <w:jc w:val="both"/>
    </w:pPr>
    <w:rPr>
      <w:sz w:val="28"/>
      <w:szCs w:val="20"/>
    </w:rPr>
  </w:style>
  <w:style w:type="paragraph" w:styleId="user7">
    <w:name w:val="Заголовок таблицы (user)"/>
    <w:basedOn w:val="user6"/>
    <w:uiPriority w:val="67"/>
    <w:qFormat/>
    <w:pPr>
      <w:jc w:val="center"/>
    </w:pPr>
    <w:rPr>
      <w:b/>
      <w:bCs/>
    </w:rPr>
  </w:style>
  <w:style w:type="paragraph" w:styleId="14">
    <w:name w:val="Название объекта1"/>
    <w:basedOn w:val="Normal"/>
    <w:uiPriority w:val="67"/>
    <w:qFormat/>
    <w:pPr>
      <w:ind w:left="720"/>
    </w:pPr>
    <w:rPr>
      <w:b/>
      <w:sz w:val="28"/>
      <w:szCs w:val="20"/>
    </w:rPr>
  </w:style>
  <w:style w:type="paragraph" w:styleId="15">
    <w:name w:val="Цитата1"/>
    <w:basedOn w:val="Normal"/>
    <w:uiPriority w:val="68"/>
    <w:qFormat/>
    <w:pPr>
      <w:ind w:left="4860" w:right="-5"/>
    </w:pPr>
    <w:rPr>
      <w:sz w:val="28"/>
      <w:szCs w:val="28"/>
    </w:rPr>
  </w:style>
  <w:style w:type="paragraph" w:styleId="16">
    <w:name w:val="Текст выноски1"/>
    <w:basedOn w:val="Normal"/>
    <w:uiPriority w:val="67"/>
    <w:qFormat/>
    <w:pPr/>
    <w:rPr>
      <w:rFonts w:ascii="Tahoma" w:hAnsi="Tahoma" w:cs="Tahoma"/>
      <w:sz w:val="16"/>
      <w:szCs w:val="16"/>
    </w:rPr>
  </w:style>
  <w:style w:type="paragraph" w:styleId="17">
    <w:name w:val="Указатель1"/>
    <w:basedOn w:val="Normal"/>
    <w:uiPriority w:val="67"/>
    <w:qFormat/>
    <w:pPr>
      <w:suppressLineNumbers/>
    </w:pPr>
    <w:rPr>
      <w:rFonts w:cs="Lucida Sans"/>
    </w:rPr>
  </w:style>
  <w:style w:type="paragraph" w:styleId="18">
    <w:name w:val="Без интервала1"/>
    <w:uiPriority w:val="67"/>
    <w:qFormat/>
    <w:pPr>
      <w:widowControl/>
      <w:bidi w:val="0"/>
      <w:spacing w:before="0" w:after="0"/>
      <w:jc w:val="left"/>
    </w:pPr>
    <w:rPr>
      <w:rFonts w:ascii="Times New Roman" w:hAnsi="Times New Roman" w:eastAsia="Tahoma" w:cs="Noto Sans"/>
      <w:color w:val="auto"/>
      <w:kern w:val="0"/>
      <w:sz w:val="20"/>
      <w:szCs w:val="20"/>
      <w:lang w:val="ru-RU" w:eastAsia="zh-CN" w:bidi="ar-SA"/>
    </w:rPr>
  </w:style>
  <w:style w:type="paragraph" w:styleId="19">
    <w:name w:val="Абзац списка1"/>
    <w:basedOn w:val="Normal"/>
    <w:uiPriority w:val="99"/>
    <w:qFormat/>
    <w:pPr>
      <w:spacing w:before="0" w:after="0"/>
      <w:ind w:left="720"/>
      <w:contextualSpacing/>
    </w:pPr>
    <w:rPr>
      <w:rFonts w:ascii="Liberation Serif" w:hAnsi="Liberation Serif" w:eastAsia="Lucida Sans" w:cs="Liberation Serif"/>
      <w:color w:val="000000"/>
      <w:lang w:bidi="ru-RU"/>
    </w:rPr>
  </w:style>
  <w:style w:type="paragraph" w:styleId="23">
    <w:name w:val="Абзац списка2"/>
    <w:basedOn w:val="Normal"/>
    <w:uiPriority w:val="67"/>
    <w:qFormat/>
    <w:pPr>
      <w:spacing w:before="0" w:after="0"/>
      <w:ind w:left="720"/>
      <w:contextualSpacing/>
    </w:pPr>
    <w:rPr>
      <w:rFonts w:ascii="Liberation Serif" w:hAnsi="Liberation Serif" w:eastAsia="SimSun" w:cs="Lucida Sans"/>
      <w:lang w:eastAsia="zh-CN" w:bidi="hi-IN"/>
    </w:rPr>
  </w:style>
  <w:style w:type="paragraph" w:styleId="3">
    <w:name w:val="Абзац списка3"/>
    <w:basedOn w:val="Normal"/>
    <w:uiPriority w:val="67"/>
    <w:qFormat/>
    <w:pPr>
      <w:widowControl w:val="false"/>
      <w:spacing w:lineRule="auto" w:line="276" w:before="0" w:after="0"/>
      <w:ind w:firstLine="540" w:left="720"/>
      <w:contextualSpacing/>
    </w:pPr>
    <w:rPr/>
  </w:style>
  <w:style w:type="paragraph" w:styleId="western">
    <w:name w:val="western"/>
    <w:qFormat/>
    <w:pPr>
      <w:widowControl/>
      <w:bidi w:val="0"/>
      <w:spacing w:before="0" w:after="0"/>
      <w:jc w:val="left"/>
    </w:pPr>
    <w:rPr>
      <w:rFonts w:eastAsia="SimSun" w:ascii="Times New Roman" w:hAnsi="Times New Roman" w:cs="Noto Sans"/>
      <w:color w:val="auto"/>
      <w:kern w:val="0"/>
      <w:sz w:val="24"/>
      <w:szCs w:val="24"/>
      <w:lang w:val="en-US" w:eastAsia="zh-CN" w:bidi="ar-SA"/>
    </w:rPr>
  </w:style>
  <w:style w:type="paragraph" w:styleId="Style24">
    <w:name w:val="Абзац списка"/>
    <w:basedOn w:val="Normal"/>
    <w:uiPriority w:val="34"/>
    <w:qFormat/>
    <w:pPr>
      <w:widowControl w:val="false"/>
      <w:spacing w:lineRule="auto" w:line="259" w:before="0" w:after="160"/>
      <w:ind w:left="720"/>
      <w:jc w:val="both"/>
    </w:pPr>
    <w:rPr>
      <w:rFonts w:eastAsia="Arial Unicode MS" w:cs="Arial Unicode MS"/>
      <w:color w:val="000000"/>
      <w:sz w:val="28"/>
      <w:lang w:eastAsia="en-US"/>
    </w:rPr>
  </w:style>
  <w:style w:type="paragraph" w:styleId="110">
    <w:name w:val="Текст1"/>
    <w:basedOn w:val="Normal"/>
    <w:qFormat/>
    <w:pPr>
      <w:widowControl w:val="false"/>
      <w:spacing w:lineRule="auto" w:line="259" w:before="0" w:after="160"/>
      <w:jc w:val="both"/>
    </w:pPr>
    <w:rPr>
      <w:rFonts w:ascii="Courier New" w:hAnsi="Courier New" w:eastAsia="Calibri" w:cs="Courier New"/>
      <w:sz w:val="20"/>
      <w:szCs w:val="20"/>
      <w:lang w:eastAsia="en-US"/>
    </w:rPr>
  </w:style>
  <w:style w:type="paragraph" w:styleId="Style25">
    <w:name w:val="Без интервала"/>
    <w:uiPriority w:val="99"/>
    <w:qFormat/>
    <w:pPr>
      <w:widowControl w:val="false"/>
      <w:bidi w:val="0"/>
      <w:spacing w:lineRule="auto" w:line="259" w:before="0" w:after="160"/>
      <w:jc w:val="left"/>
    </w:pPr>
    <w:rPr>
      <w:rFonts w:ascii="Arial Unicode MS" w:hAnsi="Arial Unicode MS" w:eastAsia="Arial Unicode MS" w:cs="Arial Unicode MS"/>
      <w:color w:val="000000"/>
      <w:kern w:val="0"/>
      <w:sz w:val="24"/>
      <w:szCs w:val="24"/>
      <w:lang w:val="ru-RU" w:eastAsia="en-US" w:bidi="ar-SA"/>
    </w:rPr>
  </w:style>
  <w:style w:type="numbering" w:styleId="Style26">
    <w:name w:val="Нет списка"/>
    <w:uiPriority w:val="99"/>
    <w:semiHidden/>
    <w:qFormat/>
  </w:style>
  <w:style w:type="numbering" w:styleId="Style27"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LibreOffice/25.8.7.3$Linux_X86_64 LibreOffice_project/30742500f2d3eb4366ac312fa33d3dcabdb3eba5</Application>
  <AppVersion>15.0000</AppVersion>
  <Pages>11</Pages>
  <Words>4143</Words>
  <Characters>30236</Characters>
  <CharactersWithSpaces>34128</CharactersWithSpaces>
  <Paragraphs>351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2020-02-20T08:55:00Z</dcterms:created>
  <dc:creator>User</dc:creator>
  <dc:description/>
  <dc:language>ru-RU</dc:language>
  <cp:lastModifiedBy>gos5</cp:lastModifiedBy>
  <dcterms:modified xsi:type="dcterms:W3CDTF">2026-07-23T12:55:59Z</dcterms:modified>
  <cp:revision>8</cp:revision>
  <dc:subject/>
  <dc:title>ДЕПАРТАМЕНТ</dc:title>
  <cp:version>1048576</cp:version>
</cp:coreProperties>
</file>

<file path=docProps/custom.xml><?xml version="1.0" encoding="utf-8"?>
<Properties xmlns="http://schemas.openxmlformats.org/officeDocument/2006/custom-properties" xmlns:vt="http://schemas.openxmlformats.org/officeDocument/2006/docPropsVTypes"/>
</file>