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1"/>
        <w:keepNext w:val="true"/>
        <w:widowControl w:val="false"/>
        <w:numPr>
          <w:ilvl w:val="0"/>
          <w:numId w:val="0"/>
        </w:numPr>
        <w:suppressAutoHyphens w:val="true"/>
        <w:bidi w:val="0"/>
        <w:spacing w:before="120" w:after="60"/>
        <w:ind w:left="-57" w:right="0" w:hanging="0"/>
        <w:jc w:val="center"/>
        <w:outlineLvl w:val="0"/>
        <w:rPr/>
      </w:pPr>
      <w:bookmarkStart w:id="0" w:name="_Toc236053609"/>
      <w:r>
        <w:rPr>
          <w:bCs/>
          <w:color w:val="333333"/>
          <w:sz w:val="24"/>
          <w:szCs w:val="24"/>
        </w:rPr>
        <w:t xml:space="preserve">ОКПД 2: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22.29.29.190</w:t>
      </w:r>
      <w:r>
        <w:rPr>
          <w:bCs/>
          <w:color w:val="333333"/>
          <w:sz w:val="24"/>
          <w:szCs w:val="24"/>
        </w:rPr>
        <w:t xml:space="preserve">. </w:t>
      </w:r>
      <w:r>
        <w:rPr>
          <w:bCs/>
          <w:sz w:val="24"/>
          <w:szCs w:val="24"/>
        </w:rPr>
        <w:t>Поставка ёмкостей</w:t>
      </w:r>
      <w:bookmarkEnd w:id="0"/>
      <w:r>
        <w:rPr>
          <w:bCs/>
          <w:sz w:val="24"/>
          <w:szCs w:val="24"/>
        </w:rPr>
        <w:t xml:space="preserve">  </w:t>
      </w:r>
      <w:bookmarkStart w:id="1" w:name="_Toc236053610"/>
      <w:r>
        <w:rPr>
          <w:bCs/>
          <w:sz w:val="24"/>
          <w:szCs w:val="24"/>
        </w:rPr>
        <w:t>для оснащения лаборатории глубокой переработки и утилизации золошлаковых отходов АО «ВНИИГ им.  Б.Е. Веденеева».</w:t>
      </w:r>
      <w:bookmarkEnd w:id="1"/>
    </w:p>
    <w:p>
      <w:pPr>
        <w:pStyle w:val="Normal"/>
        <w:widowControl w:val="fals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vanish w:val="false"/>
              <w:rFonts w:eastAsia="Arial"/>
            </w:rPr>
            <w:instrText> TOC \z \o "1-4" \u \h</w:instrText>
          </w:r>
          <w:r>
            <w:rPr>
              <w:webHidden/>
              <w:vanish w:val="false"/>
              <w:rFonts w:eastAsia="Arial"/>
            </w:rPr>
            <w:fldChar w:fldCharType="separate"/>
          </w:r>
          <w:hyperlink w:anchor="_Toc236053609">
            <w:r>
              <w:rPr>
                <w:webHidden/>
                <w:rFonts w:eastAsia="Arial"/>
                <w:vanish w:val="false"/>
              </w:rPr>
              <w:t>ОКПД 2: 26.51.53. Поставка ёмкостей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_Toc236053609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0">
            <w:r>
              <w:rPr>
                <w:webHidden/>
                <w:rFonts w:eastAsia="Arial"/>
                <w:vanish w:val="false"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1">
            <w:r>
              <w:rPr>
                <w:webHidden/>
                <w:rFonts w:eastAsia="Arial"/>
                <w:vanish w:val="false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2">
            <w:r>
              <w:rPr>
                <w:webHidden/>
                <w:rFonts w:eastAsia="Arial"/>
                <w:i/>
                <w:iCs/>
                <w:vanish w:val="false"/>
              </w:rPr>
              <w:t>1.1.</w:t>
            </w:r>
            <w:r>
              <w:rPr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3">
            <w:r>
              <w:rPr>
                <w:webHidden/>
                <w:rFonts w:eastAsia="Arial"/>
                <w:vanish w:val="false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4">
            <w:r>
              <w:rPr>
                <w:webHidden/>
                <w:rFonts w:eastAsia="Arial"/>
                <w:vanish w:val="false"/>
              </w:rPr>
              <w:t>1.3. 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5">
            <w:r>
              <w:rPr>
                <w:webHidden/>
                <w:rFonts w:eastAsia="Arial"/>
                <w:vanish w:val="false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6">
            <w:r>
              <w:rPr>
                <w:webHidden/>
                <w:rFonts w:eastAsia="Arial"/>
                <w:vanish w:val="false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7">
            <w:r>
              <w:rPr>
                <w:webHidden/>
                <w:rFonts w:eastAsia="Arial"/>
                <w:vanish w:val="false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18">
            <w:r>
              <w:rPr>
                <w:webHidden/>
                <w:rFonts w:eastAsia="Arial"/>
                <w:vanish w:val="false"/>
              </w:rPr>
              <w:t>2.1.1.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19">
            <w:r>
              <w:rPr>
                <w:webHidden/>
                <w:rFonts w:eastAsia="Arial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_Toc236053619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20">
            <w:r>
              <w:rPr>
                <w:webHidden/>
                <w:rFonts w:eastAsia="Arial"/>
                <w:vanish w:val="false"/>
              </w:rPr>
              <w:t>2.1.2.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1">
            <w:r>
              <w:rPr>
                <w:webHidden/>
                <w:rFonts w:eastAsia="Arial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053622">
            <w:r>
              <w:rPr>
                <w:webHidden/>
                <w:rFonts w:eastAsia="Arial"/>
                <w:vanish w:val="false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3">
            <w:r>
              <w:rPr>
                <w:webHidden/>
                <w:rFonts w:eastAsia="Arial"/>
                <w:vanish w:val="false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053624">
            <w:r>
              <w:rPr>
                <w:webHidden/>
                <w:rFonts w:eastAsia="Arial"/>
                <w:i/>
                <w:iCs/>
                <w:vanish w:val="false"/>
              </w:rPr>
              <w:t xml:space="preserve">Наименование продукции: </w:t>
            </w:r>
            <w:r>
              <w:rPr>
                <w:rFonts w:eastAsia="Arial"/>
              </w:rPr>
              <w:t>Емкость К 200 литров с лопастной мешалкой с обрешеткой Артикул: TKL200S4, MTK200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_Toc236053624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2" w:name="_Toc51339692"/>
      <w:bookmarkStart w:id="3" w:name="_Toc236053611"/>
      <w:r>
        <w:rPr/>
        <w:t>Общие сведения</w:t>
      </w:r>
      <w:bookmarkEnd w:id="2"/>
      <w:bookmarkEnd w:id="3"/>
    </w:p>
    <w:p>
      <w:pPr>
        <w:pStyle w:val="4"/>
        <w:keepNext w:val="false"/>
        <w:widowControl w:val="false"/>
        <w:numPr>
          <w:ilvl w:val="1"/>
          <w:numId w:val="13"/>
        </w:numPr>
        <w:ind w:left="0" w:firstLine="567"/>
        <w:rPr>
          <w:rStyle w:val="Style17"/>
          <w:iCs/>
          <w:sz w:val="26"/>
          <w:szCs w:val="26"/>
        </w:rPr>
      </w:pPr>
      <w:bookmarkStart w:id="4" w:name="_Toc46743505"/>
      <w:bookmarkStart w:id="5" w:name="_Toc236053612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4"/>
        </w:numPr>
        <w:ind w:left="0" w:firstLine="567"/>
        <w:rPr/>
      </w:pPr>
      <w:bookmarkStart w:id="6" w:name="_Toc236053613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ёмкостей 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5"/>
        </w:numPr>
        <w:ind w:left="0" w:firstLine="567"/>
        <w:rPr/>
      </w:pPr>
      <w:bookmarkStart w:id="7" w:name="_Toc236053614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6"/>
        </w:numPr>
        <w:ind w:left="0" w:firstLine="567"/>
        <w:rPr/>
      </w:pPr>
      <w:bookmarkStart w:id="8" w:name="_Toc46743508"/>
      <w:bookmarkStart w:id="9" w:name="_Toc236053615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Hlk49857604"/>
      <w:bookmarkStart w:id="11" w:name="_Toc46743509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2" w:name="_Toc236053616"/>
      <w:bookmarkStart w:id="13" w:name="_Toc50125126"/>
      <w:bookmarkStart w:id="14" w:name="_Toc51339693"/>
      <w:bookmarkStart w:id="15" w:name="_Toc46743509_Копия_1"/>
      <w:bookmarkStart w:id="16" w:name="_Hlk49857604_Копия_1"/>
      <w:bookmarkStart w:id="17" w:name="_Toc46743510"/>
      <w:bookmarkEnd w:id="15"/>
      <w:bookmarkEnd w:id="16"/>
      <w:bookmarkEnd w:id="17"/>
      <w:r>
        <w:rPr>
          <w:iCs/>
        </w:rPr>
        <w:t>Требования к продукции</w:t>
      </w:r>
      <w:bookmarkEnd w:id="12"/>
      <w:bookmarkEnd w:id="14"/>
    </w:p>
    <w:p>
      <w:pPr>
        <w:pStyle w:val="4"/>
        <w:keepNext w:val="false"/>
        <w:widowControl w:val="false"/>
        <w:numPr>
          <w:ilvl w:val="1"/>
          <w:numId w:val="17"/>
        </w:numPr>
        <w:ind w:left="0" w:firstLine="567"/>
        <w:rPr/>
      </w:pPr>
      <w:bookmarkStart w:id="18" w:name="_Toc236053617"/>
      <w:r>
        <w:rPr/>
        <w:t>Требования к объемам и срокам поставки</w:t>
      </w:r>
      <w:bookmarkEnd w:id="18"/>
    </w:p>
    <w:p>
      <w:pPr>
        <w:pStyle w:val="3"/>
        <w:keepNext w:val="false"/>
        <w:widowControl w:val="false"/>
        <w:numPr>
          <w:ilvl w:val="2"/>
          <w:numId w:val="18"/>
        </w:numPr>
        <w:ind w:left="0" w:firstLine="567"/>
        <w:rPr/>
      </w:pPr>
      <w:bookmarkStart w:id="19" w:name="_Toc236053618"/>
      <w:r>
        <w:rPr/>
        <w:t>Перечень и объем закупаемой продукции</w:t>
      </w:r>
      <w:bookmarkEnd w:id="19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0" w:name="_Toc236053619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2"/>
        <w:gridCol w:w="6136"/>
        <w:gridCol w:w="1421"/>
        <w:gridCol w:w="1412"/>
      </w:tblGrid>
      <w:tr>
        <w:trPr>
          <w:tblHeader w:val="true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К 200 литров с лопастной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Ёмкость К 200 литров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K 100 литров с пропеллерной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9"/>
        </w:numPr>
        <w:rPr/>
      </w:pPr>
      <w:bookmarkStart w:id="22" w:name="_Toc236053620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1339697"/>
      <w:bookmarkStart w:id="25" w:name="_Toc50125127"/>
      <w:bookmarkEnd w:id="13"/>
      <w:bookmarkEnd w:id="2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26" w:name="_Toc236053621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К 200 литров с лопастной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Ёмкость К 200 литров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Емкость K 100 литров с пропеллерной мешалкой с обрешеткой</w:t>
            </w:r>
          </w:p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10 календарных дней с даты заключения договора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4"/>
        <w:keepNext w:val="false"/>
        <w:widowControl w:val="false"/>
        <w:numPr>
          <w:ilvl w:val="1"/>
          <w:numId w:val="20"/>
        </w:numPr>
        <w:ind w:left="432" w:hanging="0"/>
        <w:rPr/>
      </w:pPr>
      <w:bookmarkStart w:id="28" w:name="_Toc236053622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053623"/>
      <w:r>
        <w:rPr>
          <w:sz w:val="24"/>
          <w:szCs w:val="24"/>
        </w:rPr>
        <w:t>Таблица 3. Требования к качеству продукции</w:t>
      </w:r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1" w:name="_Toc236053624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Емкость К 200 литров с лопастной мешалкой с обрешеткой Артикул: TKL200S4, MTK200</w:t>
      </w:r>
      <w:bookmarkEnd w:id="31"/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0"/>
        <w:gridCol w:w="2883"/>
        <w:gridCol w:w="6322"/>
      </w:tblGrid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Приготовления различного рода маловязких эмульсий, смесей, растворов и суспензий в жидкой среде с максимальной плотностью 1,3 г/см, динамической вязкостью жидкой фазы 0,05 Ра/сек.</w:t>
            </w:r>
          </w:p>
        </w:tc>
      </w:tr>
      <w:tr>
        <w:trPr>
          <w:trHeight w:val="91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91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1,5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0,72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Перемешивающее устройство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Лопастная мешалка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привода перемешивающего устройства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Электромеханический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перемешивающего устройства, кВт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0,25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Частота вращения вала перемешивающего устройства, об/мин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140</w:t>
            </w:r>
            <w:bookmarkStart w:id="32" w:name="_GoBack"/>
            <w:bookmarkEnd w:id="32"/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Расположение перемешивающего устройства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вертикальной оси ёмкости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стенки ёмкости, не менее (миллиметры)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Обрешетка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Обязательна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обрешетки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Расстояние от нижней точки дна емкости до основания, при вертикальном расположении в обрешетке, не менее (миллиметры)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350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Вес, не более (килограммы)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70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2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rPr>
          <w:rStyle w:val="Style17"/>
          <w:b w:val="false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rFonts w:eastAsia="Calibri"/>
          <w:b/>
          <w:sz w:val="26"/>
          <w:szCs w:val="26"/>
        </w:rPr>
        <w:t xml:space="preserve"> Ёмкость К 200 литров с обрешеткой  Артикул: TK200S4, MTK200</w:t>
      </w:r>
    </w:p>
    <w:tbl>
      <w:tblPr>
        <w:tblStyle w:val="affff8"/>
        <w:tblW w:w="10005" w:type="dxa"/>
        <w:jc w:val="left"/>
        <w:tblInd w:w="2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2945"/>
        <w:gridCol w:w="6362"/>
      </w:tblGrid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4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Хранение различного рода жидкостей, смесей и растворов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200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1,3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0,72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стенки ёмкости, не менее (миллиметры)</w:t>
            </w:r>
          </w:p>
        </w:tc>
        <w:tc>
          <w:tcPr>
            <w:tcW w:w="63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Поддерживающий каркас</w:t>
            </w:r>
          </w:p>
        </w:tc>
        <w:tc>
          <w:tcPr>
            <w:tcW w:w="6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Обязателен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каркаса</w:t>
            </w:r>
          </w:p>
        </w:tc>
        <w:tc>
          <w:tcPr>
            <w:tcW w:w="6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Расстояние от нижней точки дна емкости до основания, при вертикальном расположении в каркасе, не менее (миллиметры)</w:t>
            </w:r>
          </w:p>
        </w:tc>
        <w:tc>
          <w:tcPr>
            <w:tcW w:w="6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350</w:t>
            </w:r>
          </w:p>
        </w:tc>
      </w:tr>
      <w:tr>
        <w:trPr>
          <w:trHeight w:val="916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Вес, не более (килограммы)</w:t>
            </w:r>
          </w:p>
        </w:tc>
        <w:tc>
          <w:tcPr>
            <w:tcW w:w="63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0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69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3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4"/>
        <w:keepNext w:val="false"/>
        <w:widowControl w:val="false"/>
        <w:tabs>
          <w:tab w:val="clear" w:pos="0"/>
        </w:tabs>
        <w:ind w:left="432" w:hanging="0"/>
        <w:rPr/>
      </w:pPr>
      <w:r>
        <w:rPr/>
      </w:r>
      <w:bookmarkStart w:id="33" w:name="_Toc188954123"/>
      <w:bookmarkStart w:id="34" w:name="_Toc188954123"/>
      <w:bookmarkEnd w:id="34"/>
    </w:p>
    <w:p>
      <w:pPr>
        <w:pStyle w:val="Normal"/>
        <w:widowControl w:val="false"/>
        <w:pBdr/>
        <w:rPr>
          <w:rFonts w:eastAsia="Calibri"/>
          <w:b/>
          <w:b/>
          <w:sz w:val="26"/>
          <w:szCs w:val="26"/>
        </w:rPr>
        <w:framePr w:w="8973" w:h="598" w:x="0" w:y="1" w:hSpace="180" w:vSpace="0" w:wrap="around" w:vAnchor="text" w:hAnchor="text" w:hRule="exact"/>
        <w:pBdr/>
      </w:pPr>
      <w:r>
        <w:rPr>
          <w:b/>
          <w:bCs/>
          <w:i/>
          <w:iCs/>
          <w:sz w:val="24"/>
          <w:szCs w:val="24"/>
        </w:rPr>
        <w:t>Наименование продукции:</w:t>
      </w:r>
      <w:r>
        <w:rPr>
          <w:rFonts w:eastAsia="Calibri"/>
          <w:b/>
          <w:sz w:val="26"/>
          <w:szCs w:val="26"/>
        </w:rPr>
        <w:t xml:space="preserve"> Емкость K 100 литров с пропеллерной мешалкой с обрешеткой Артикул: TKN100S4, MTK100</w:t>
      </w:r>
    </w:p>
    <w:p>
      <w:pPr>
        <w:pStyle w:val="Normal"/>
        <w:widowControl w:val="false"/>
        <w:rPr>
          <w:rStyle w:val="Style17"/>
          <w:b w:val="false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0"/>
        <w:gridCol w:w="2883"/>
        <w:gridCol w:w="6322"/>
      </w:tblGrid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63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Мешалки предназначены для перемешивания жидкости с максимальной плотностью 1,3 г/см3, динамической вязкостью жидкой фазы </w:t>
            </w:r>
            <w:r>
              <w:rPr>
                <w:rFonts w:eastAsia="Times New Roman" w:cs="Cambria Math" w:ascii="Cambria Math" w:hAnsi="Cambria Math"/>
                <w:kern w:val="0"/>
                <w:sz w:val="24"/>
                <w:szCs w:val="24"/>
                <w:lang w:val="ru-RU" w:eastAsia="ru-RU" w:bidi="ar-SA"/>
              </w:rPr>
              <w:t>‐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6 Ра/сек.</w:t>
            </w:r>
          </w:p>
        </w:tc>
      </w:tr>
      <w:tr>
        <w:trPr>
          <w:trHeight w:val="91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Объём (литры)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00</w:t>
            </w:r>
          </w:p>
        </w:tc>
      </w:tr>
      <w:tr>
        <w:trPr>
          <w:trHeight w:val="91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Высота, не более (метры)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41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диаметр, не более (метры)</w:t>
            </w:r>
          </w:p>
        </w:tc>
        <w:tc>
          <w:tcPr>
            <w:tcW w:w="632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0,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54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Форма дна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Коническая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Диапазон рабочих температур (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С)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 -30 до +60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Перемешивающее устройство</w:t>
            </w:r>
          </w:p>
        </w:tc>
        <w:tc>
          <w:tcPr>
            <w:tcW w:w="6322" w:type="dxa"/>
            <w:tcBorders/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пропеллерная мешалка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Мощность двигателя перемешивающего устройства, кВт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0,25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Частота вращения вала перемешивающего устройства, об/мин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140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en-US" w:eastAsia="ru-RU" w:bidi="ar-SA"/>
              </w:rPr>
              <w:t>0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Обрешетка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Обязательна</w:t>
            </w:r>
          </w:p>
        </w:tc>
      </w:tr>
      <w:tr>
        <w:trPr>
          <w:trHeight w:val="396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обрешетки</w:t>
            </w:r>
          </w:p>
        </w:tc>
        <w:tc>
          <w:tcPr>
            <w:tcW w:w="632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Окрашенный металл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</w:t>
            </w:r>
          </w:p>
        </w:tc>
        <w:tc>
          <w:tcPr>
            <w:tcW w:w="63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Химически стойкий полиэтилен (LLDPE)</w:t>
            </w:r>
          </w:p>
        </w:tc>
      </w:tr>
      <w:tr>
        <w:trPr>
          <w:trHeight w:val="912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mbria Math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link w:val="40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link w:val="70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Название Знак1"/>
    <w:basedOn w:val="DefaultParagraphFont"/>
    <w:link w:val="a3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8">
    <w:name w:val="Интернет-ссылка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styleId="12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styleId="Style9" w:customStyle="1">
    <w:name w:val="Название Знак"/>
    <w:link w:val="11"/>
    <w:uiPriority w:val="10"/>
    <w:qFormat/>
    <w:rPr>
      <w:sz w:val="28"/>
    </w:rPr>
  </w:style>
  <w:style w:type="character" w:styleId="Style10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1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2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3" w:customStyle="1">
    <w:name w:val="Подпункт Знак1"/>
    <w:link w:val="af4"/>
    <w:qFormat/>
    <w:rPr>
      <w:sz w:val="28"/>
    </w:rPr>
  </w:style>
  <w:style w:type="character" w:styleId="Style14" w:customStyle="1">
    <w:name w:val="Текст сноски Знак"/>
    <w:uiPriority w:val="99"/>
    <w:qFormat/>
    <w:rPr/>
  </w:style>
  <w:style w:type="character" w:styleId="Style1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6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Style18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styleId="Style19" w:customStyle="1">
    <w:name w:val="Верхний колонтитул Знак"/>
    <w:uiPriority w:val="99"/>
    <w:qFormat/>
    <w:rPr>
      <w:sz w:val="24"/>
      <w:szCs w:val="24"/>
    </w:rPr>
  </w:style>
  <w:style w:type="character" w:styleId="Style20" w:customStyle="1">
    <w:name w:val="Текст примечания Знак"/>
    <w:semiHidden/>
    <w:qFormat/>
    <w:rPr/>
  </w:style>
  <w:style w:type="character" w:styleId="Style21" w:customStyle="1">
    <w:name w:val="Текст концевой сноски Знак"/>
    <w:basedOn w:val="DefaultParagraphFont"/>
    <w:qFormat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Style2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Pr>
      <w:b/>
      <w:sz w:val="28"/>
    </w:rPr>
  </w:style>
  <w:style w:type="character" w:styleId="14" w:customStyle="1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link w:val="13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4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5" w:customStyle="1">
    <w:name w:val="Ссылка указателя"/>
    <w:qFormat/>
    <w:rPr/>
  </w:style>
  <w:style w:type="paragraph" w:styleId="Style26" w:customStyle="1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7">
    <w:name w:val="Body Text"/>
    <w:basedOn w:val="Normal"/>
    <w:pPr>
      <w:spacing w:before="0" w:after="120"/>
    </w:pPr>
    <w:rPr/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6"/>
    <w:qFormat/>
    <w:pPr/>
    <w:rPr/>
  </w:style>
  <w:style w:type="paragraph" w:styleId="16" w:customStyle="1">
    <w:name w:val="Заголовок1"/>
    <w:basedOn w:val="Normal"/>
    <w:next w:val="Style27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6"/>
    <w:qFormat/>
    <w:pPr/>
    <w:rPr/>
  </w:style>
  <w:style w:type="paragraph" w:styleId="Style31">
    <w:name w:val="Title"/>
    <w:basedOn w:val="Normal"/>
    <w:next w:val="Normal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2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3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5">
    <w:name w:val="Footnote Text"/>
    <w:basedOn w:val="Normal"/>
    <w:uiPriority w:val="99"/>
    <w:pPr/>
    <w:rPr>
      <w:sz w:val="20"/>
      <w:szCs w:val="20"/>
    </w:rPr>
  </w:style>
  <w:style w:type="paragraph" w:styleId="17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6" w:customStyle="1">
    <w:name w:val="Колонтитул"/>
    <w:basedOn w:val="Normal"/>
    <w:qFormat/>
    <w:pPr/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8">
    <w:name w:val="Body Text Indent"/>
    <w:basedOn w:val="Normal"/>
    <w:pPr>
      <w:ind w:left="360" w:hanging="0"/>
    </w:pPr>
    <w:rPr>
      <w:sz w:val="24"/>
      <w:szCs w:val="24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0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Оглавление 2 Знак"/>
    <w:basedOn w:val="Normal"/>
    <w:link w:val="28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link w:val="32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1" w:customStyle="1">
    <w:name w:val="Раздел регламента"/>
    <w:basedOn w:val="Normal"/>
    <w:qFormat/>
    <w:pPr/>
    <w:rPr/>
  </w:style>
  <w:style w:type="paragraph" w:styleId="Style42" w:customStyle="1">
    <w:name w:val="Приложение к регламенту"/>
    <w:basedOn w:val="Normal"/>
    <w:qFormat/>
    <w:pPr>
      <w:jc w:val="right"/>
    </w:pPr>
    <w:rPr/>
  </w:style>
  <w:style w:type="paragraph" w:styleId="25">
    <w:name w:val="TOC 2"/>
    <w:basedOn w:val="Normal"/>
    <w:next w:val="Normal"/>
    <w:link w:val="27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4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4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0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9" w:customStyle="1">
    <w:name w:val="Подподпункт"/>
    <w:basedOn w:val="Style40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0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1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3">
    <w:name w:val="Endnote Text"/>
    <w:basedOn w:val="Normal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5" w:customStyle="1">
    <w:name w:val="Содержимое врезки"/>
    <w:basedOn w:val="Normal"/>
    <w:qFormat/>
    <w:pPr/>
    <w:rPr/>
  </w:style>
  <w:style w:type="paragraph" w:styleId="Style56">
    <w:name w:val="Содержимое таблицы"/>
    <w:basedOn w:val="Normal"/>
    <w:qFormat/>
    <w:pPr>
      <w:widowControl w:val="false"/>
      <w:suppressLineNumbers/>
    </w:pPr>
    <w:rPr/>
  </w:style>
  <w:style w:type="paragraph" w:styleId="Style57">
    <w:name w:val="Заголовок таблицы"/>
    <w:basedOn w:val="Style5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8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cs.cntd.ru/document/1200164120" TargetMode="External"/><Relationship Id="rId3" Type="http://schemas.openxmlformats.org/officeDocument/2006/relationships/hyperlink" Target="https://docs.cntd.ru/document/1200164120" TargetMode="Externa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Application>LibreOffice/7.1.8.1$Linux_X86_64 LibreOffice_project/10$Build-1</Application>
  <AppVersion>15.0000</AppVersion>
  <Pages>8</Pages>
  <Words>1310</Words>
  <Characters>8699</Characters>
  <CharactersWithSpaces>9679</CharactersWithSpaces>
  <Paragraphs>330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2026-08-31T15:39:07Z</dcterms:modified>
  <cp:revision>20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