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keepNext w:val="true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Приложение №1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к документации по запросу предложений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в электронной форме</w:t>
      </w:r>
    </w:p>
    <w:p>
      <w:pPr>
        <w:pStyle w:val="Normal"/>
        <w:numPr>
          <w:ilvl w:val="0"/>
          <w:numId w:val="0"/>
        </w:numPr>
        <w:ind w:left="0" w:right="15" w:hanging="0"/>
        <w:jc w:val="right"/>
        <w:outlineLvl w:val="2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Лот 51</w:t>
      </w:r>
      <w:r>
        <w:rPr>
          <w:rFonts w:eastAsia="Calibri"/>
          <w:sz w:val="24"/>
          <w:szCs w:val="24"/>
          <w:lang w:eastAsia="en-US"/>
        </w:rPr>
        <w:t>27</w:t>
      </w:r>
      <w:r>
        <w:rPr>
          <w:rFonts w:eastAsia="Calibri"/>
          <w:sz w:val="24"/>
          <w:szCs w:val="24"/>
          <w:lang w:eastAsia="en-US"/>
        </w:rPr>
        <w:t>-</w:t>
      </w:r>
      <w:r>
        <w:rPr>
          <w:rFonts w:eastAsia="Calibri"/>
          <w:sz w:val="24"/>
          <w:szCs w:val="24"/>
          <w:lang w:eastAsia="en-US"/>
        </w:rPr>
        <w:t xml:space="preserve">ТО </w:t>
      </w:r>
      <w:r>
        <w:rPr>
          <w:rFonts w:eastAsia="Calibri"/>
          <w:sz w:val="24"/>
          <w:szCs w:val="24"/>
          <w:lang w:eastAsia="en-US"/>
        </w:rPr>
        <w:t>ПРОД-202</w:t>
      </w:r>
      <w:r>
        <w:rPr>
          <w:rFonts w:eastAsia="Calibri"/>
          <w:sz w:val="24"/>
          <w:szCs w:val="24"/>
          <w:lang w:eastAsia="en-US"/>
        </w:rPr>
        <w:t>7</w:t>
      </w:r>
      <w:r>
        <w:rPr>
          <w:rFonts w:eastAsia="Calibri"/>
          <w:sz w:val="24"/>
          <w:szCs w:val="24"/>
          <w:lang w:eastAsia="en-US"/>
        </w:rPr>
        <w:t>-ТК-ПриволФ</w:t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jc w:val="left"/>
        <w:rPr>
          <w:rFonts w:eastAsia="Calibri"/>
          <w:b w:val="false"/>
          <w:sz w:val="24"/>
          <w:szCs w:val="24"/>
          <w:lang w:eastAsia="en-US"/>
        </w:rPr>
      </w:pPr>
      <w:r>
        <w:rPr>
          <w:rFonts w:eastAsia="Calibri"/>
          <w:b w:val="false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ОКПД2: 45.20.11 Услуги по техническому обслуживанию и текущему ремонту автомобилей марки Toyota для нужд Саратовского транспортного участка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Приволжского филиала АО «ТК РусГидро»</w:t>
      </w:r>
    </w:p>
    <w:p>
      <w:pPr>
        <w:pStyle w:val="Normal"/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rPr>
          <w:sz w:val="24"/>
          <w:szCs w:val="24"/>
        </w:rPr>
      </w:pPr>
      <w:r>
        <w:rPr>
          <w:rFonts w:eastAsia="Calibri"/>
          <w:bCs/>
          <w:sz w:val="24"/>
          <w:szCs w:val="24"/>
          <w:lang w:eastAsia="en-US"/>
        </w:rPr>
        <w:t>Лот 5127-ТО ПРОД-2027-ТК-ПриволФ</w:t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i/>
          <w:i/>
          <w:sz w:val="24"/>
          <w:szCs w:val="24"/>
          <w:lang w:eastAsia="en-US"/>
        </w:rPr>
      </w:pPr>
      <w:r>
        <w:rPr>
          <w:rFonts w:eastAsia="Calibri"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1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</w:r>
      <w:r>
        <w:br w:type="page"/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b/>
          <w:sz w:val="24"/>
          <w:szCs w:val="24"/>
        </w:rPr>
        <w:t>СОДЕРЖАНИЕ</w:t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5"/>
        </w:numPr>
        <w:ind w:left="426" w:right="0" w:hanging="426"/>
        <w:jc w:val="both"/>
        <w:rPr>
          <w:b/>
        </w:rPr>
      </w:pPr>
      <w:r>
        <w:rPr>
          <w:b/>
        </w:rPr>
        <w:t>Общие сведения …………………………………………………………………………………...………………...….3</w:t>
      </w:r>
    </w:p>
    <w:p>
      <w:pPr>
        <w:pStyle w:val="Normal"/>
        <w:numPr>
          <w:ilvl w:val="1"/>
          <w:numId w:val="5"/>
        </w:numPr>
        <w:jc w:val="both"/>
        <w:rPr/>
      </w:pPr>
      <w:r>
        <w:rPr/>
        <w:t>Обозначения и сокращения………………………………………………………………………….……………...3</w:t>
      </w:r>
    </w:p>
    <w:p>
      <w:pPr>
        <w:pStyle w:val="Normal"/>
        <w:numPr>
          <w:ilvl w:val="1"/>
          <w:numId w:val="5"/>
        </w:numPr>
        <w:jc w:val="both"/>
        <w:rPr/>
      </w:pPr>
      <w:r>
        <w:rPr/>
        <w:t>Наименование закупаемой продукции…………………………………………………………..…………………3</w:t>
      </w:r>
    </w:p>
    <w:p>
      <w:pPr>
        <w:pStyle w:val="Normal"/>
        <w:numPr>
          <w:ilvl w:val="1"/>
          <w:numId w:val="5"/>
        </w:numPr>
        <w:jc w:val="both"/>
        <w:rPr/>
      </w:pPr>
      <w:r>
        <w:rPr/>
        <w:t>Цели оказания услуг………………………………………………………………………….……………………...3</w:t>
      </w:r>
    </w:p>
    <w:p>
      <w:pPr>
        <w:pStyle w:val="Normal"/>
        <w:numPr>
          <w:ilvl w:val="1"/>
          <w:numId w:val="5"/>
        </w:numPr>
        <w:jc w:val="both"/>
        <w:rPr/>
      </w:pPr>
      <w:r>
        <w:rPr/>
        <w:t>Существующее положение…………………………………………………………………………….……………3</w:t>
      </w:r>
    </w:p>
    <w:p>
      <w:pPr>
        <w:pStyle w:val="Normal"/>
        <w:numPr>
          <w:ilvl w:val="1"/>
        </w:numPr>
        <w:jc w:val="both"/>
        <w:rPr/>
      </w:pPr>
      <w:r>
        <w:rPr>
          <w:b/>
          <w:bCs/>
        </w:rPr>
        <w:t xml:space="preserve">      </w:t>
      </w:r>
      <w:r>
        <w:rPr/>
        <w:t xml:space="preserve">   </w:t>
      </w:r>
      <w:r>
        <w:rPr>
          <w:b/>
          <w:bCs/>
        </w:rPr>
        <w:t xml:space="preserve">Таблица 1. Перечень объектов заказчика </w:t>
      </w:r>
      <w:r>
        <w:rPr/>
        <w:t>………………….……………..………………………….……………..3</w:t>
      </w:r>
    </w:p>
    <w:p>
      <w:pPr>
        <w:pStyle w:val="Normal"/>
        <w:numPr>
          <w:ilvl w:val="0"/>
          <w:numId w:val="5"/>
        </w:numPr>
        <w:ind w:left="426" w:right="0" w:hanging="426"/>
        <w:jc w:val="both"/>
        <w:rPr>
          <w:b/>
          <w:bCs/>
        </w:rPr>
      </w:pPr>
      <w:r>
        <w:rPr>
          <w:b/>
          <w:bCs/>
        </w:rPr>
        <w:t>Требования к продукции …………………………………………………...………………………………………….3</w:t>
      </w:r>
    </w:p>
    <w:p>
      <w:pPr>
        <w:pStyle w:val="Normal"/>
        <w:numPr>
          <w:ilvl w:val="0"/>
        </w:numPr>
        <w:ind w:left="426" w:right="0" w:hanging="0"/>
        <w:jc w:val="both"/>
        <w:rPr/>
      </w:pPr>
      <w:r>
        <w:rPr/>
        <w:t xml:space="preserve">2.1. </w:t>
      </w:r>
      <w:r>
        <w:rPr>
          <w:bCs/>
        </w:rPr>
        <w:t>Требования к объемам и срокам оказания услуг……………………...…………………………………………...3</w:t>
      </w:r>
    </w:p>
    <w:p>
      <w:pPr>
        <w:pStyle w:val="Normal"/>
        <w:ind w:left="426" w:right="0" w:hanging="0"/>
        <w:jc w:val="both"/>
        <w:rPr/>
      </w:pPr>
      <w:r>
        <w:rPr>
          <w:bCs/>
        </w:rPr>
        <w:t>2.1.1. Требования к перечню</w:t>
      </w:r>
      <w:r>
        <w:rPr/>
        <w:t xml:space="preserve"> и объему услуг……………………………...…………………………………………...3</w:t>
      </w:r>
    </w:p>
    <w:p>
      <w:pPr>
        <w:pStyle w:val="Normal"/>
        <w:ind w:left="426" w:right="0" w:hanging="0"/>
        <w:jc w:val="both"/>
        <w:rPr/>
      </w:pPr>
      <w:r>
        <w:rPr>
          <w:b/>
          <w:bCs/>
          <w:lang w:val="ru-RU"/>
        </w:rPr>
        <w:t xml:space="preserve">Таблица </w:t>
      </w:r>
      <w:r>
        <w:rPr>
          <w:b/>
          <w:bCs/>
        </w:rPr>
        <w:t>2.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Перечень и объем оказываемых услуг</w:t>
      </w:r>
      <w:r>
        <w:rPr/>
        <w:t xml:space="preserve"> ………………………………………………………………...4</w:t>
      </w:r>
    </w:p>
    <w:p>
      <w:pPr>
        <w:pStyle w:val="Normal"/>
        <w:widowControl w:val="false"/>
        <w:jc w:val="both"/>
        <w:rPr/>
      </w:pPr>
      <w:r>
        <w:rPr/>
        <w:t xml:space="preserve">        </w:t>
      </w:r>
      <w:r>
        <w:rPr/>
        <w:t>2.1.2. Требования к срокам оказания услуг…...…………………………….………………………………………..…4</w:t>
      </w:r>
    </w:p>
    <w:p>
      <w:pPr>
        <w:pStyle w:val="Normal"/>
        <w:ind w:left="426" w:right="0" w:hanging="0"/>
        <w:jc w:val="both"/>
        <w:rPr/>
      </w:pPr>
      <w:r>
        <w:rPr>
          <w:b/>
          <w:bCs/>
          <w:lang w:val="ru-RU"/>
        </w:rPr>
        <w:t xml:space="preserve">Таблица 3. Требования </w:t>
      </w:r>
      <w:r>
        <w:rPr>
          <w:b/>
          <w:bCs/>
        </w:rPr>
        <w:t>к</w:t>
      </w:r>
      <w:r>
        <w:rPr>
          <w:b/>
          <w:bCs/>
          <w:lang w:val="ru-RU"/>
        </w:rPr>
        <w:t xml:space="preserve"> срокам </w:t>
      </w:r>
      <w:r>
        <w:rPr>
          <w:b/>
          <w:bCs/>
        </w:rPr>
        <w:t>оказания услуг</w:t>
      </w:r>
      <w:r>
        <w:rPr/>
        <w:t>…………………………………………………………………..4</w:t>
      </w:r>
    </w:p>
    <w:p>
      <w:pPr>
        <w:pStyle w:val="Normal"/>
        <w:ind w:left="426" w:right="0" w:hanging="0"/>
        <w:jc w:val="both"/>
        <w:rPr/>
      </w:pPr>
      <w:r>
        <w:rPr/>
        <w:t>2.2. Требования к качеству продукции..……………………………………….………………………………………..5</w:t>
      </w:r>
    </w:p>
    <w:p>
      <w:pPr>
        <w:pStyle w:val="Normal"/>
        <w:ind w:left="426" w:right="0" w:hanging="0"/>
        <w:jc w:val="both"/>
        <w:rPr/>
      </w:pPr>
      <w:r>
        <w:rPr>
          <w:b/>
          <w:bCs/>
        </w:rPr>
        <w:t>Таблица 4. Требования к качеству продукции</w:t>
      </w:r>
      <w:r>
        <w:rPr/>
        <w:t>...……………………………………………………………………5</w:t>
      </w:r>
    </w:p>
    <w:p>
      <w:pPr>
        <w:pStyle w:val="Normal"/>
        <w:numPr>
          <w:ilvl w:val="0"/>
          <w:numId w:val="5"/>
        </w:numPr>
        <w:ind w:left="426" w:right="0" w:hanging="426"/>
        <w:jc w:val="both"/>
        <w:rPr>
          <w:b/>
        </w:rPr>
      </w:pPr>
      <w:r>
        <w:rPr>
          <w:b/>
        </w:rPr>
        <w:t>Требования к документации по ценообразованию на этапе закупки ..………………………………………….9</w:t>
      </w:r>
    </w:p>
    <w:p>
      <w:pPr>
        <w:pStyle w:val="Normal"/>
        <w:numPr>
          <w:ilvl w:val="0"/>
          <w:numId w:val="5"/>
        </w:numPr>
        <w:ind w:left="426" w:right="0" w:hanging="426"/>
        <w:jc w:val="left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Требования к документации по ценообразованию на этапе заключения (исполнения) договора……………………………………………………………………………………………………….………….9</w:t>
      </w:r>
    </w:p>
    <w:p>
      <w:pPr>
        <w:pStyle w:val="Normal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Приложение № 1 детальная стоимость технического обслуживания и текущего ремонта Toyota </w:t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Land Cruiser 200 О777ВТ/64 ……...…………………………..……………………….……………………………………..10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Приложение № 2 детальная стоимость технического обслуживания и текущего ремонта Toyota</w:t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Land Cruiser 150 В419ЕА/164……...……………………………………….………………………….……………………..12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Приложение № 3 детальная стоимость технического обслуживания и текущего ремонта Toyota</w:t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Rav4 В405ХУ/64…………….……...……………………………………….………………….……………………………..14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Приложение № 4 детальная стоимость технического обслуживания и текущего ремонта Toyota </w:t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Corolla В408ХУ/64…………….……...………………………………………...……………...……………………………..16</w:t>
      </w:r>
    </w:p>
    <w:p>
      <w:pPr>
        <w:pStyle w:val="Normal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Приложение № 5 детальная стоимость технического обслуживания и текущего ремонта Toyota</w:t>
      </w:r>
    </w:p>
    <w:p>
      <w:pPr>
        <w:pStyle w:val="Normal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Hiace А103РН/164…………….……...………………………………………...…………………………….……………….18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</w:rPr>
      </w:pPr>
      <w:r>
        <w:rPr>
          <w:b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rPr>
              <w:b w:val="false"/>
              <w:i/>
              <w:i/>
            </w:rPr>
          </w:pPr>
          <w:r>
            <w:fldChar w:fldCharType="begin"/>
          </w:r>
          <w:r>
            <w:rPr>
              <w:i/>
              <w:b w:val="false"/>
            </w:rPr>
            <w:instrText xml:space="preserve"> TOC \z \o "1-4" \u \h</w:instrText>
          </w:r>
          <w:r>
            <w:rPr>
              <w:i/>
              <w:b w:val="false"/>
            </w:rPr>
            <w:fldChar w:fldCharType="separate"/>
          </w:r>
          <w:r>
            <w:rPr>
              <w:b w:val="false"/>
              <w:i/>
            </w:rPr>
          </w:r>
        </w:p>
        <w:p>
          <w:pPr>
            <w:pStyle w:val="Normal"/>
            <w:rPr>
              <w:b/>
              <w:i/>
              <w:i/>
            </w:rPr>
          </w:pPr>
          <w:r>
            <w:rPr/>
          </w:r>
          <w:r>
            <w:rPr/>
            <w:fldChar w:fldCharType="end"/>
          </w:r>
        </w:p>
      </w:sdtContent>
    </w:sdt>
    <w:p>
      <w:pPr>
        <w:pStyle w:val="Normal"/>
        <w:rPr>
          <w:b/>
          <w:i/>
          <w:i/>
        </w:rPr>
      </w:pPr>
      <w:r>
        <w:rPr>
          <w:b/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rPr>
          <w:i/>
          <w:i/>
        </w:rPr>
      </w:pPr>
      <w:r>
        <w:rPr>
          <w:i/>
        </w:rPr>
      </w:r>
    </w:p>
    <w:p>
      <w:pPr>
        <w:pStyle w:val="Normal"/>
        <w:widowControl/>
        <w:suppressAutoHyphens w:val="true"/>
        <w:bidi w:val="0"/>
        <w:spacing w:before="0" w:after="0"/>
        <w:jc w:val="left"/>
        <w:rPr>
          <w:lang w:eastAsia="zh-CN"/>
        </w:rPr>
      </w:pPr>
      <w:r>
        <w:rPr>
          <w:lang w:eastAsia="zh-CN"/>
        </w:rPr>
      </w:r>
    </w:p>
    <w:p>
      <w:pPr>
        <w:pStyle w:val="Normal"/>
        <w:rPr/>
      </w:pPr>
      <w:r>
        <w:rPr/>
      </w:r>
    </w:p>
    <w:p>
      <w:pPr>
        <w:pStyle w:val="Normal"/>
        <w:keepNext w:val="true"/>
        <w:keepLines/>
        <w:numPr>
          <w:ilvl w:val="0"/>
          <w:numId w:val="4"/>
        </w:numPr>
        <w:spacing w:before="120" w:after="60"/>
        <w:jc w:val="center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sz w:val="28"/>
          <w:szCs w:val="28"/>
        </w:rPr>
        <w:t>Общие сведения</w:t>
      </w:r>
    </w:p>
    <w:p>
      <w:pPr>
        <w:pStyle w:val="Normal"/>
        <w:numPr>
          <w:ilvl w:val="0"/>
          <w:numId w:val="0"/>
        </w:numPr>
        <w:spacing w:before="120" w:after="60"/>
        <w:ind w:left="720" w:hanging="0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right="0" w:hanging="432"/>
        <w:outlineLvl w:val="3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1.1.</w:t>
        <w:tab/>
        <w:tab/>
      </w:r>
      <w:r>
        <w:rPr>
          <w:rFonts w:eastAsia="Calibri"/>
          <w:b/>
          <w:bCs/>
          <w:sz w:val="24"/>
          <w:szCs w:val="24"/>
          <w:lang w:val="ru-RU"/>
        </w:rPr>
        <w:t>Обозначения и сокращения</w:t>
      </w:r>
    </w:p>
    <w:p>
      <w:pPr>
        <w:pStyle w:val="Normal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tbl>
      <w:tblPr>
        <w:tblW w:w="993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9"/>
        <w:gridCol w:w="7148"/>
      </w:tblGrid>
      <w:tr>
        <w:trPr>
          <w:cantSplit w:val="true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обслуживание</w:t>
            </w:r>
          </w:p>
        </w:tc>
      </w:tr>
      <w:tr>
        <w:trPr>
          <w:cantSplit w:val="true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Н.Ч.</w:t>
            </w:r>
          </w:p>
        </w:tc>
        <w:tc>
          <w:tcPr>
            <w:tcW w:w="7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</w:tr>
    </w:tbl>
    <w:p>
      <w:pPr>
        <w:pStyle w:val="Normal"/>
        <w:ind w:left="786" w:right="0" w:hanging="0"/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1.2.</w:t>
        <w:tab/>
      </w:r>
      <w:r>
        <w:rPr>
          <w:b/>
          <w:bCs/>
          <w:sz w:val="24"/>
          <w:szCs w:val="24"/>
        </w:rPr>
        <w:t>Наименование закупаемой продукции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b/>
          <w:bCs/>
          <w:spacing w:val="-2"/>
          <w:sz w:val="24"/>
          <w:szCs w:val="24"/>
        </w:rPr>
      </w:pPr>
      <w:r>
        <w:rPr>
          <w:sz w:val="24"/>
          <w:szCs w:val="24"/>
        </w:rPr>
        <w:tab/>
        <w:t>ОКПД2: 45.20.11 Услуги по техническому обслуживанию и текущему ремонту автомобилей марки Toyota для нужд Саратовского транспортного участка Приволжского филиала АО «ТК РусГидро»</w:t>
      </w:r>
    </w:p>
    <w:p>
      <w:pPr>
        <w:pStyle w:val="Normal"/>
        <w:jc w:val="both"/>
        <w:rPr>
          <w:b/>
          <w:bCs/>
          <w:spacing w:val="-2"/>
          <w:sz w:val="12"/>
          <w:szCs w:val="12"/>
        </w:rPr>
      </w:pPr>
      <w:r>
        <w:rPr>
          <w:b/>
          <w:bCs/>
          <w:spacing w:val="-2"/>
          <w:sz w:val="12"/>
          <w:szCs w:val="12"/>
        </w:rPr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567" w:leader="none"/>
        </w:tabs>
        <w:ind w:left="0" w:hanging="0"/>
        <w:jc w:val="both"/>
        <w:outlineLvl w:val="8"/>
        <w:rPr>
          <w:bCs/>
          <w:sz w:val="24"/>
        </w:rPr>
      </w:pPr>
      <w:r>
        <w:rPr>
          <w:b/>
          <w:bCs/>
          <w:spacing w:val="-10"/>
          <w:sz w:val="24"/>
          <w:szCs w:val="24"/>
        </w:rPr>
        <w:t>1.3.</w:t>
        <w:tab/>
        <w:t>Цель оказания услуг</w:t>
      </w:r>
    </w:p>
    <w:p>
      <w:pPr>
        <w:pStyle w:val="Normal"/>
        <w:ind w:firstLine="56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  <w:t>Проведение технического обслуживания, диагностических и сопутствующих работ с соблюдением  инструкций по эксплуатации транспортных средств, государственных стандартов к техническому состоянию транспортных средств, с целью поддержания надлежащего технического состояния транспортных средств.</w:t>
      </w:r>
    </w:p>
    <w:p>
      <w:pPr>
        <w:pStyle w:val="Normal"/>
        <w:ind w:firstLine="56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jc w:val="both"/>
        <w:rPr>
          <w:rFonts w:eastAsia="Calibri"/>
          <w:b/>
          <w:bCs/>
          <w:spacing w:val="-2"/>
          <w:sz w:val="24"/>
          <w:szCs w:val="24"/>
          <w:lang w:eastAsia="en-US"/>
        </w:rPr>
      </w:pPr>
      <w:r>
        <w:rPr>
          <w:rFonts w:eastAsia="Calibri"/>
          <w:b/>
          <w:bCs/>
          <w:spacing w:val="-2"/>
          <w:sz w:val="24"/>
          <w:szCs w:val="24"/>
          <w:lang w:eastAsia="en-US"/>
        </w:rPr>
        <w:t>1.4.     Существующее положение</w:t>
      </w:r>
    </w:p>
    <w:p>
      <w:pPr>
        <w:pStyle w:val="Normal"/>
        <w:ind w:firstLine="567"/>
        <w:jc w:val="both"/>
        <w:rPr>
          <w:bCs/>
          <w:spacing w:val="-2"/>
          <w:sz w:val="24"/>
          <w:szCs w:val="24"/>
        </w:rPr>
      </w:pPr>
      <w:r>
        <w:rPr>
          <w:bCs/>
          <w:spacing w:val="-2"/>
          <w:sz w:val="24"/>
          <w:szCs w:val="24"/>
        </w:rPr>
      </w:r>
    </w:p>
    <w:p>
      <w:pPr>
        <w:pStyle w:val="Normal"/>
        <w:jc w:val="both"/>
        <w:rPr>
          <w:bCs/>
          <w:spacing w:val="-2"/>
          <w:sz w:val="12"/>
          <w:szCs w:val="12"/>
        </w:rPr>
      </w:pPr>
      <w:r>
        <w:rPr>
          <w:bCs/>
          <w:spacing w:val="-2"/>
          <w:sz w:val="12"/>
          <w:szCs w:val="12"/>
        </w:rPr>
      </w:r>
    </w:p>
    <w:p>
      <w:pPr>
        <w:pStyle w:val="Normal"/>
        <w:jc w:val="both"/>
        <w:rPr>
          <w:iCs/>
        </w:rPr>
      </w:pPr>
      <w:r>
        <w:rPr>
          <w:b/>
          <w:bCs/>
          <w:iCs/>
          <w:spacing w:val="-10"/>
          <w:sz w:val="24"/>
          <w:szCs w:val="24"/>
        </w:rPr>
        <w:t>Таблица 1. Перечень объектов заказчика</w:t>
      </w:r>
    </w:p>
    <w:p>
      <w:pPr>
        <w:pStyle w:val="Normal"/>
        <w:jc w:val="both"/>
        <w:rPr>
          <w:iCs/>
        </w:rPr>
      </w:pPr>
      <w:r>
        <w:rPr>
          <w:iCs/>
        </w:rPr>
      </w:r>
    </w:p>
    <w:tbl>
      <w:tblPr>
        <w:tblW w:w="1003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4"/>
        <w:gridCol w:w="2987"/>
        <w:gridCol w:w="2129"/>
        <w:gridCol w:w="2310"/>
        <w:gridCol w:w="1875"/>
      </w:tblGrid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объекта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b/>
                <w:bCs/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основного средства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i/>
                <w:i/>
                <w:i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sz w:val="16"/>
                <w:szCs w:val="16"/>
              </w:rPr>
              <w:t>5</w:t>
            </w:r>
          </w:p>
        </w:tc>
      </w:tr>
      <w:tr>
        <w:trPr>
          <w:trHeight w:val="462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техническому обслуживанию и текущему ремонту автомобилей марки Toyota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Саратовская обл., г. Балаково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Land Cruiser 200</w:t>
              <w:br/>
              <w:t xml:space="preserve">г.р.з. 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lang w:val="en-US"/>
              </w:rPr>
              <w:t xml:space="preserve"> 777 </w:t>
            </w:r>
            <w:r>
              <w:rPr>
                <w:sz w:val="24"/>
                <w:szCs w:val="24"/>
              </w:rPr>
              <w:t>ВТ</w:t>
            </w:r>
            <w:r>
              <w:rPr>
                <w:sz w:val="24"/>
                <w:szCs w:val="24"/>
                <w:lang w:val="en-US"/>
              </w:rPr>
              <w:t xml:space="preserve"> 64</w:t>
            </w:r>
          </w:p>
        </w:tc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Приволжский филиал АО «ТК РусГидро»</w:t>
            </w:r>
          </w:p>
        </w:tc>
      </w:tr>
      <w:tr>
        <w:trPr>
          <w:trHeight w:val="435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</w:r>
          </w:p>
        </w:tc>
        <w:tc>
          <w:tcPr>
            <w:tcW w:w="29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Toyota Land Cruiser 150 г.р.з.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419 </w:t>
            </w:r>
            <w:r>
              <w:rPr>
                <w:sz w:val="24"/>
                <w:szCs w:val="24"/>
              </w:rPr>
              <w:t>ЕА</w:t>
            </w:r>
            <w:r>
              <w:rPr>
                <w:sz w:val="24"/>
                <w:szCs w:val="24"/>
                <w:lang w:val="en-US"/>
              </w:rPr>
              <w:t xml:space="preserve"> 164</w:t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</w:r>
          </w:p>
        </w:tc>
      </w:tr>
      <w:tr>
        <w:trPr>
          <w:trHeight w:val="405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9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Toyota Rav4</w:t>
              <w:br/>
              <w:t xml:space="preserve">г.р.з. </w:t>
            </w:r>
            <w:r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en-US"/>
              </w:rPr>
              <w:t xml:space="preserve"> 405 </w:t>
            </w:r>
            <w:r>
              <w:rPr>
                <w:sz w:val="24"/>
                <w:szCs w:val="24"/>
              </w:rPr>
              <w:t>ХУ</w:t>
            </w:r>
            <w:r>
              <w:rPr>
                <w:sz w:val="24"/>
                <w:szCs w:val="24"/>
                <w:lang w:val="en-US"/>
              </w:rPr>
              <w:t xml:space="preserve"> 64</w:t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987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Corolla</w:t>
              <w:br/>
              <w:t xml:space="preserve">г.р.з. </w:t>
            </w:r>
            <w:r>
              <w:rPr>
                <w:color w:val="000000"/>
                <w:sz w:val="24"/>
                <w:szCs w:val="24"/>
              </w:rPr>
              <w:t>В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408 </w:t>
            </w:r>
            <w:r>
              <w:rPr>
                <w:color w:val="000000"/>
                <w:sz w:val="24"/>
                <w:szCs w:val="24"/>
              </w:rPr>
              <w:t>ХУ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64</w:t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</w:r>
          </w:p>
        </w:tc>
      </w:tr>
      <w:tr>
        <w:trPr>
          <w:trHeight w:val="390" w:hRule="atLeast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98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1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Calibri"/>
                <w:bCs/>
                <w:iCs/>
                <w:sz w:val="24"/>
                <w:szCs w:val="24"/>
                <w:lang w:val="en-US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val="en-US"/>
              </w:rPr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Toyota Hiace</w:t>
              <w:br/>
              <w:t xml:space="preserve">г.р.з. </w:t>
            </w:r>
            <w:r>
              <w:rPr>
                <w:color w:val="000000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103 </w:t>
            </w:r>
            <w:r>
              <w:rPr>
                <w:color w:val="000000"/>
                <w:sz w:val="24"/>
                <w:szCs w:val="24"/>
              </w:rPr>
              <w:t>РН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 164</w:t>
            </w:r>
          </w:p>
        </w:tc>
        <w:tc>
          <w:tcPr>
            <w:tcW w:w="18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  <w:sz w:val="24"/>
                <w:szCs w:val="24"/>
                <w:lang w:val="en-US"/>
              </w:rPr>
            </w:pPr>
            <w:r>
              <w:rPr>
                <w:bCs/>
                <w:iCs/>
                <w:sz w:val="24"/>
                <w:szCs w:val="24"/>
                <w:lang w:val="en-US"/>
              </w:rPr>
            </w:r>
          </w:p>
        </w:tc>
      </w:tr>
    </w:tbl>
    <w:p>
      <w:pPr>
        <w:pStyle w:val="Normal"/>
        <w:tabs>
          <w:tab w:val="clear" w:pos="720"/>
          <w:tab w:val="left" w:pos="738" w:leader="non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tabs>
          <w:tab w:val="clear" w:pos="720"/>
          <w:tab w:val="left" w:pos="738" w:leader="non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jc w:val="both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numPr>
          <w:ilvl w:val="0"/>
          <w:numId w:val="4"/>
        </w:numPr>
        <w:spacing w:before="0" w:after="0"/>
        <w:ind w:left="-57" w:firstLine="57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продукции.</w:t>
      </w:r>
    </w:p>
    <w:p>
      <w:pPr>
        <w:pStyle w:val="Normal"/>
        <w:spacing w:before="0" w:after="0"/>
        <w:ind w:left="360" w:hanging="360"/>
        <w:contextualSpacing/>
        <w:rPr>
          <w:b/>
          <w:bCs/>
        </w:rPr>
      </w:pPr>
      <w:r>
        <w:rPr>
          <w:b/>
          <w:bCs/>
          <w:sz w:val="24"/>
          <w:szCs w:val="24"/>
        </w:rPr>
        <w:t xml:space="preserve">2.1. </w:t>
        <w:tab/>
        <w:t>Требования к объемам и срокам оказания услуг</w:t>
      </w:r>
    </w:p>
    <w:p>
      <w:pPr>
        <w:pStyle w:val="Normal"/>
        <w:tabs>
          <w:tab w:val="clear" w:pos="720"/>
          <w:tab w:val="left" w:pos="788" w:leader="none"/>
        </w:tabs>
        <w:spacing w:before="0" w:after="0"/>
        <w:ind w:left="360" w:hanging="360"/>
        <w:contextualSpacing/>
        <w:rPr>
          <w:b/>
          <w:bCs/>
        </w:rPr>
      </w:pPr>
      <w:r>
        <w:rPr>
          <w:b/>
          <w:bCs/>
          <w:sz w:val="24"/>
          <w:szCs w:val="24"/>
        </w:rPr>
        <w:t xml:space="preserve">2.1.1. </w:t>
        <w:tab/>
        <w:t>Требования к перечню</w:t>
      </w:r>
      <w:r>
        <w:rPr>
          <w:rFonts w:eastAsia="Calibri"/>
          <w:b/>
          <w:bCs/>
          <w:sz w:val="24"/>
          <w:szCs w:val="24"/>
        </w:rPr>
        <w:t xml:space="preserve"> и объему услуг</w:t>
      </w:r>
    </w:p>
    <w:p>
      <w:pPr>
        <w:pStyle w:val="Normal"/>
        <w:tabs>
          <w:tab w:val="clear" w:pos="720"/>
          <w:tab w:val="left" w:pos="788" w:leader="none"/>
        </w:tabs>
        <w:spacing w:before="0" w:after="0"/>
        <w:ind w:left="360" w:hanging="360"/>
        <w:contextualSpacing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hanging="0"/>
        <w:outlineLvl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  <w:lang w:val="x-none"/>
        </w:rPr>
        <w:t xml:space="preserve">Таблица </w:t>
      </w:r>
      <w:r>
        <w:rPr>
          <w:rFonts w:eastAsia="Calibri"/>
          <w:b/>
          <w:sz w:val="24"/>
          <w:szCs w:val="24"/>
        </w:rPr>
        <w:t>2.</w:t>
      </w:r>
      <w:r>
        <w:rPr>
          <w:rFonts w:eastAsia="Calibri"/>
          <w:b/>
          <w:sz w:val="24"/>
          <w:szCs w:val="24"/>
          <w:lang w:val="x-none"/>
        </w:rPr>
        <w:t xml:space="preserve"> </w:t>
      </w:r>
      <w:r>
        <w:rPr>
          <w:rFonts w:eastAsia="Calibri"/>
          <w:b/>
          <w:sz w:val="24"/>
          <w:szCs w:val="24"/>
        </w:rPr>
        <w:t>Перечень и объем оказываемых услуг</w:t>
      </w:r>
    </w:p>
    <w:tbl>
      <w:tblPr>
        <w:tblW w:w="100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5521"/>
        <w:gridCol w:w="1532"/>
        <w:gridCol w:w="2204"/>
      </w:tblGrid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услуг / этапа услуг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Единица измерения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Количество*</w:t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автомобиля Toyota Land Cruiser 200 О 777 ВТ 64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1.1.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230 000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1.2.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240 000 км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Работы по текущему ремонту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н.ч.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9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автомобиля Toyota Land Cruiser 150 В 419 ЕА 164</w:t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2.1.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120 000 км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2.2.</w:t>
            </w:r>
          </w:p>
        </w:tc>
        <w:tc>
          <w:tcPr>
            <w:tcW w:w="5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130 000 км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2.3.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Работы по текущему ремонту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н.ч.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2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автомобиля Toyota Rav4 В 405 ХУ 64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3.1.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320 000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3.2.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330 000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3.3.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340 000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3.4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Работы по текущему ремонту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н.ч.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2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Услуги по техническому обслуживанию автомобиля Toyota Corolla В 408 ХУ 64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4.1.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320 000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4.2.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330 000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4.3.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340 000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4.4.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Работы по текущему ремонту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н.ч.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925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Услуги по техническому обслуживанию автомобиля Toyota Hiace А 103 РН 164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5.1.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180 000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5.2.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190 000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5.3.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ТО 200 000 км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</w:pPr>
            <w:r>
              <w:rPr>
                <w:rFonts w:cs="Times New Roman"/>
                <w:kern w:val="0"/>
                <w:sz w:val="18"/>
                <w:szCs w:val="18"/>
                <w:lang w:val="ru-RU" w:eastAsia="ru-RU" w:bidi="ar-SA"/>
              </w:rPr>
              <w:t>усл. ед.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/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snapToGrid w:val="false"/>
              <w:jc w:val="center"/>
              <w:rPr>
                <w:bCs/>
              </w:rPr>
            </w:pPr>
            <w:r>
              <w:rPr>
                <w:bCs/>
              </w:rPr>
              <w:t>5.4.</w:t>
            </w:r>
          </w:p>
        </w:tc>
        <w:tc>
          <w:tcPr>
            <w:tcW w:w="5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Работы по текущему ремонту</w:t>
            </w:r>
          </w:p>
        </w:tc>
        <w:tc>
          <w:tcPr>
            <w:tcW w:w="1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н.ч.</w:t>
            </w:r>
          </w:p>
        </w:tc>
        <w:tc>
          <w:tcPr>
            <w:tcW w:w="2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</w:tbl>
    <w:p>
      <w:pPr>
        <w:pStyle w:val="Normal"/>
        <w:rPr>
          <w:b/>
          <w:bCs/>
        </w:rPr>
      </w:pPr>
      <w:r>
        <w:rPr>
          <w:b/>
          <w:bCs/>
        </w:rPr>
        <w:t xml:space="preserve">*- объем оказываемых услуг является ориентировочным и Заказчик не несет ответственности за неполную выборку услуг на общую сумму договора. </w:t>
      </w:r>
    </w:p>
    <w:p>
      <w:pPr>
        <w:pStyle w:val="Normal"/>
        <w:rPr>
          <w:b/>
          <w:bCs/>
        </w:rPr>
      </w:pPr>
      <w:r>
        <w:rPr>
          <w:b/>
          <w:bCs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2.1.2.</w:t>
        <w:tab/>
        <w:t>Требования к срокам оказания услуг</w:t>
      </w:r>
    </w:p>
    <w:p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Spacing"/>
        <w:rPr>
          <w:i w:val="false"/>
          <w:i w:val="false"/>
          <w:iCs w:val="false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 xml:space="preserve">Таблица 3. </w:t>
      </w:r>
      <w:bookmarkStart w:id="0" w:name="_Hlk50465284"/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 xml:space="preserve">Требования к срокам </w:t>
      </w:r>
      <w:bookmarkEnd w:id="0"/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</w:rPr>
        <w:t>оказания услуг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988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62"/>
        <w:gridCol w:w="2964"/>
        <w:gridCol w:w="2973"/>
        <w:gridCol w:w="3188"/>
      </w:tblGrid>
      <w:tr>
        <w:trPr/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jc w:val="center"/>
              <w:rPr>
                <w:bCs/>
                <w:sz w:val="16"/>
                <w:szCs w:val="16"/>
              </w:rPr>
            </w:pPr>
            <w:r>
              <w:rPr>
                <w:rFonts w:cs="Times New Roman" w:ascii="Times New Roman" w:hAnsi="Times New Roman"/>
                <w:bCs/>
                <w:i/>
                <w:sz w:val="16"/>
                <w:szCs w:val="16"/>
              </w:rPr>
              <w:t>4</w:t>
            </w:r>
          </w:p>
        </w:tc>
      </w:tr>
      <w:tr>
        <w:trPr/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napToGrid w:val="false"/>
              <w:spacing w:before="0" w:after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техническому обслуживанию и текущему ремонту автомобилей марки Toyota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С даты заключения договора, но не ранее 01.04.2027г.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31.03.2028г.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134" w:right="709" w:gutter="0" w:header="720" w:top="851" w:footer="720" w:bottom="993"/>
          <w:pgNumType w:fmt="decimal"/>
          <w:formProt w:val="false"/>
          <w:textDirection w:val="lrTb"/>
          <w:docGrid w:type="default" w:linePitch="360" w:charSpace="32768"/>
        </w:sectPr>
      </w:pPr>
    </w:p>
    <w:p>
      <w:pPr>
        <w:pStyle w:val="Heading4"/>
        <w:numPr>
          <w:ilvl w:val="3"/>
          <w:numId w:val="1"/>
        </w:numPr>
        <w:spacing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  <w:tab/>
        <w:t>Требования к качеству продукции</w:t>
      </w:r>
    </w:p>
    <w:p>
      <w:pPr>
        <w:pStyle w:val="Heading4"/>
        <w:numPr>
          <w:ilvl w:val="0"/>
          <w:numId w:val="1"/>
        </w:numPr>
        <w:spacing w:before="0" w:after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Таблица 4. Требования к качеству продукции</w:t>
      </w:r>
    </w:p>
    <w:p>
      <w:pPr>
        <w:pStyle w:val="Normal"/>
        <w:keepNext w:val="true"/>
        <w:keepLines/>
        <w:tabs>
          <w:tab w:val="clear" w:pos="720"/>
          <w:tab w:val="left" w:pos="426" w:leader="none"/>
        </w:tabs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  <w:t xml:space="preserve">Наименование услуг/этапа услуг (позиция 1-5 Таблицы 2): </w:t>
      </w:r>
      <w:r>
        <w:rPr>
          <w:sz w:val="24"/>
          <w:szCs w:val="24"/>
          <w:lang w:eastAsia="ru-RU"/>
        </w:rPr>
        <w:t>ОКПД2: 45.20.11 Услуги по техническому обслуживанию и текущему ремонту автомобилей марки Toyota для нужд Саратовского транспортного участка Приволжского филиала АО «ТК РусГидро»</w:t>
      </w:r>
      <w:r>
        <w:rPr>
          <w:b/>
          <w:bCs/>
          <w:sz w:val="24"/>
          <w:szCs w:val="24"/>
          <w:lang w:eastAsia="ru-RU"/>
        </w:rPr>
        <w:t>.</w:t>
      </w:r>
    </w:p>
    <w:p>
      <w:pPr>
        <w:pStyle w:val="Normal"/>
        <w:tabs>
          <w:tab w:val="clear" w:pos="720"/>
          <w:tab w:val="left" w:pos="426" w:leader="none"/>
        </w:tabs>
        <w:jc w:val="both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</w:r>
    </w:p>
    <w:tbl>
      <w:tblPr>
        <w:tblW w:w="14970" w:type="dxa"/>
        <w:jc w:val="left"/>
        <w:tblInd w:w="1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3720"/>
        <w:gridCol w:w="5624"/>
        <w:gridCol w:w="2117"/>
        <w:gridCol w:w="2385"/>
      </w:tblGrid>
      <w:tr>
        <w:trPr/>
        <w:tc>
          <w:tcPr>
            <w:tcW w:w="1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5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22" w:hRule="atLeast"/>
        </w:trPr>
        <w:tc>
          <w:tcPr>
            <w:tcW w:w="11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7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Согласие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>с требованием/ указание характеристик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360" w:right="0" w:hanging="0"/>
              <w:jc w:val="left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оказанию услуг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Общие требования к оказанию услуг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1.1.1.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Основание для оказания услуг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Исполнитель обязуется принять ТС Заказчика для оказания услуг по техническому обслуживанию и текущему ремонту в срок не более 2-х рабочих дней с момента подачи заявки Заказчиком.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709" w:leader="none"/>
                <w:tab w:val="left" w:pos="738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После рассмотрения предварительного заказ-наряда и общей суммы ремонта представитель Заказчика принимает решение на проведение или не проведение технических воздействий.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709" w:leader="none"/>
                <w:tab w:val="left" w:pos="738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Устранение дополнительных неисправностей, выявленных специалистами Исполнителя при проведении технического обслуживания или ремонта транспортных средств производится на основании дополнительного заказ-наряда, предварительно согласованного с представителями Заказчика.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оказываемых услуг</w:t>
            </w:r>
          </w:p>
        </w:tc>
        <w:tc>
          <w:tcPr>
            <w:tcW w:w="5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Исполнитель должен оказывать регламентное техническое обслуживание ТС; текущий ремонт ТС; диагностику узлов и агрегатов ТС. Исполнитель должен обеспечить сохранность ТС и их комплектацию при оказании Услуг.</w:t>
            </w:r>
          </w:p>
        </w:tc>
        <w:tc>
          <w:tcPr>
            <w:tcW w:w="21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Расходные материалы и запчасти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Исполнитель при оказании услуг </w:t>
            </w:r>
            <w:r>
              <w:rPr>
                <w:bCs/>
                <w:sz w:val="24"/>
                <w:szCs w:val="24"/>
                <w:lang w:eastAsia="ru-RU"/>
              </w:rPr>
              <w:t>должен осуществлять техническое обслуживание и текущий ремонт с использованием собственных материалов и запчастей или материалов и запчастей Заказчика.</w:t>
            </w:r>
          </w:p>
          <w:p>
            <w:pPr>
              <w:pStyle w:val="ListParagraph"/>
              <w:widowControl w:val="false"/>
              <w:tabs>
                <w:tab w:val="clear" w:pos="720"/>
                <w:tab w:val="left" w:pos="709" w:leader="none"/>
              </w:tabs>
              <w:ind w:left="0" w:right="0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t>Исполнитель обязуется предварительно согласовывать с Заказчиком стоимость и происхождение (оригинал/аналог) запасных частей, используемых в ходе проведения технических воздействий на ТС. Все расходные материалы и запчасти, замененные в процессе проведения технического обслуживания и ремонта транспортных средств Заказчика, переходят в собственность Исполнителя, и утилизируются его силами.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>
          <w:trHeight w:val="603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Возможность выбора запасных частей и расходных материалов.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Предоставить возможность выбора запасных частей и расходных материалов у различных официальных источников. Срок поставки необходимых запасных частей, узлов и агрегатов – не более 15 календарных дней с момента согласования стоимости и перечня работ с Заказчиком.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57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Осуществление контроля.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</w:tr>
      <w:tr>
        <w:trPr>
          <w:trHeight w:val="757" w:hRule="atLeast"/>
        </w:trPr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37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5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0" w:leader="none"/>
                <w:tab w:val="left" w:pos="1717" w:leader="none"/>
                <w:tab w:val="left" w:pos="1883" w:leader="none"/>
              </w:tabs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Исполнитель должен предоставлять услуги по техническому обслуживанию и текущему ремонту на территории Исполнителя Саратовская область г. Балаково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способам оказания услуг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1.2.1.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Техническое обслуживание и технический ремонт не гарантийных транспортных средств должен проводиться с соблюдением «Правил оказания услуг (выполнения работ) по техническому обслуживанию и ремонту автомототранспортных средств», утвержденных Постановлением  Правительства РФ от 29.05.2025 № 780 (в действующей редакции), инструкций по эксплуатации транспортных средств, государственных стандартов к техническому состоянию транспортных средств с целью поддержания надлежащего технического состояния транспортных средств.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1.3.1.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Требования к характеристикам устанавливаемых деталей, узлов, механизмов, материалам, маслам и специальных жидкостей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Устанавливаемые и используемые на ТС детали, узлы, механизмы, материалы, приборы, масла и специальные жидкости должны быть новыми, не бывшими в употреблении, не восстановленными, не содержать восстановленных элементов, не должны иметь дефектов, связанных с конструкцией, материалами или работой по их изготовлению. Должны соответствовать рекомендациям, изложенным в руководстве по эксплуатации, выданным заводом-изготовителем, для данной марки автомобиля.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персоналу исполнителя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Проведение ТО и 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ТР </w:t>
            </w:r>
            <w:r>
              <w:rPr>
                <w:sz w:val="24"/>
                <w:szCs w:val="24"/>
                <w:lang w:eastAsia="ru-RU"/>
              </w:rPr>
              <w:t>ТС</w:t>
            </w:r>
            <w:r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должно выполняться квалифицированным персоналом.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24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36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Требования к результатам у</w:t>
            </w:r>
            <w:r>
              <w:rPr>
                <w:b/>
                <w:sz w:val="24"/>
                <w:szCs w:val="24"/>
                <w:lang w:eastAsia="ru-RU"/>
              </w:rPr>
              <w:t>слуг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Общие требования к результатам услуг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2.1.1.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После выполнения работ ТС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N 1090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2.2.1.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ТС, прошедшие ТО и ТР, должно отвечать требованиям Технического регламента Таможенного союза ТР ТС 018/2011 «О безопасности колесных транспортных средств», утвержденного Решением Комиссии Таможенного союза от 09.12.2011г №877 (в действующей редакции).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Требования к приемке результата оказания у</w:t>
            </w:r>
            <w:r>
              <w:rPr>
                <w:b/>
                <w:sz w:val="24"/>
                <w:szCs w:val="24"/>
                <w:lang w:eastAsia="ru-RU"/>
              </w:rPr>
              <w:t>слуг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2.3.1.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Осмотр ТС после оказании услуги.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После оказании услуги Заказчик проводит визуальный осмотр ТС на предмет соответствия заменённых деталей, узлов, агрегатов, механизмов в процессе ремонта.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Акт сдачи-приемки оказанных услуг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989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25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Счет на оплату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Исполнитель передает счет на оплату после оказания услуги.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>
          <w:trHeight w:val="404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3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Счет-фактура (если контрагент является плательщиком НДС) / УПД</w:t>
            </w:r>
          </w:p>
        </w:tc>
        <w:tc>
          <w:tcPr>
            <w:tcW w:w="5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Исполнитель передает счет фактуру или универсальный передаточный документ (если Исполнитель является плательщиком НДС)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lang w:eastAsia="ru-RU"/>
              </w:rPr>
            </w:pPr>
            <w:r>
              <w:rPr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4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360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6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ru-RU"/>
              </w:rPr>
              <w:t>Требования к ответственности и гарантиям исполнителя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  <w:tr>
        <w:trPr>
          <w:trHeight w:val="1252" w:hRule="atLeast"/>
        </w:trPr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9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Исполнитель обязан предоставить гарантию на проведенные работы по техническому обслуживанию и текущему ремонту должны составлять не менее 3 месяцев, 1000 километров пробега, что наступит ранее при условии эксплуатации транспортного средства согласно руководству по эксплуатации.</w:t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jc w:val="center"/>
              <w:rPr/>
            </w:pPr>
            <w:r>
              <w:rPr/>
            </w:r>
          </w:p>
        </w:tc>
        <w:tc>
          <w:tcPr>
            <w:tcW w:w="23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851" w:gutter="0" w:header="720" w:top="1134" w:footer="720" w:bottom="777"/>
          <w:pgNumType w:fmt="decimal"/>
          <w:formProt w:val="false"/>
          <w:textDirection w:val="lrTb"/>
          <w:docGrid w:type="default" w:linePitch="360" w:charSpace="32768"/>
        </w:sectPr>
        <w:pStyle w:val="Style18"/>
        <w:spacing w:before="0" w:after="0"/>
        <w:contextualSpacing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20"/>
          <w:tab w:val="left" w:pos="284" w:leader="none"/>
        </w:tabs>
        <w:jc w:val="both"/>
        <w:rPr>
          <w:rFonts w:eastAsia="Calibri"/>
          <w:sz w:val="24"/>
          <w:szCs w:val="22"/>
        </w:rPr>
      </w:pPr>
      <w:r>
        <w:rPr>
          <w:rFonts w:eastAsia="Calibri"/>
          <w:b/>
          <w:sz w:val="24"/>
          <w:szCs w:val="24"/>
        </w:rPr>
        <w:t>3.</w:t>
        <w:tab/>
        <w:tab/>
        <w:t>Требования к документации по ценообразованию на этапе закупки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3.1.</w:t>
        <w:tab/>
        <w:tab/>
        <w:t>Стоимость за единицу продукции (услуги) должна включать в себя налоги, сборы, пошлины и другие обязательные платежи, стоимость расходных материалов, используемых при оказании услуг,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3.2.</w:t>
        <w:tab/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3.3.</w:t>
        <w:tab/>
        <w:tab/>
        <w:t>Дополнительные документы по ценообразованию в состав заявки Участника не включаются.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Cs/>
          <w:sz w:val="24"/>
          <w:szCs w:val="24"/>
        </w:rPr>
        <w:t>3.4.</w:t>
        <w:tab/>
        <w:tab/>
        <w:t>Детальная стоимость каждого технического обслуживания и текущего ремонта должна быть представлена для каждого ТС по образцу, указанному в приложении № 1-5 к ТТ (предоставляется дополнительно к Коммерческому предложению в составе заявки по форме в соответствии с техническим требованием).</w:t>
      </w:r>
    </w:p>
    <w:p>
      <w:pPr>
        <w:pStyle w:val="Normal"/>
        <w:tabs>
          <w:tab w:val="clear" w:pos="720"/>
          <w:tab w:val="left" w:pos="284" w:leader="none"/>
        </w:tabs>
        <w:jc w:val="both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</w:r>
    </w:p>
    <w:p>
      <w:pPr>
        <w:pStyle w:val="Normal"/>
        <w:tabs>
          <w:tab w:val="clear" w:pos="720"/>
          <w:tab w:val="left" w:pos="284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4.</w:t>
        <w:tab/>
        <w:tab/>
        <w:t>Требования к документации по ценообразованию на этапе заключения (исполнения) договора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4.1. </w:t>
        <w:tab/>
        <w:tab/>
        <w:t xml:space="preserve"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договору, а также стоимость расходных материалов, используемых в ходе проведения работ. 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4.2. </w:t>
        <w:tab/>
        <w:tab/>
        <w:t>Стоимость 1 (одной) единицы услуг остается неизменной в течение всего срока действия договора.</w:t>
      </w:r>
    </w:p>
    <w:p>
      <w:pPr>
        <w:pStyle w:val="Normal"/>
        <w:tabs>
          <w:tab w:val="clear" w:pos="720"/>
          <w:tab w:val="left" w:pos="567" w:leader="none"/>
        </w:tabs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№1 - Детальная стоимость ТО Toyota Land Cruiser 200 О 777 ВТ 64 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№2 - Детальная стоимость ТО Toyota Land Cruiser 150 В 419 ЕА 164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№3 - Детальная стоимость ТО Toyota Rav4 В 405 ХУ 64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Приложение №4 - Детальная стоимость ТО Toyota Corolla В 408 ХУ 64</w:t>
      </w:r>
    </w:p>
    <w:p>
      <w:pPr>
        <w:pStyle w:val="NoSpacing"/>
        <w:tabs>
          <w:tab w:val="clear" w:pos="720"/>
          <w:tab w:val="left" w:pos="567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№5 - Детальная стоимость ТО Toyota Hiace А 103 РН 164 </w:t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spacing w:before="0" w:after="0"/>
        <w:contextualSpacing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20"/>
          <w:tab w:val="left" w:pos="7740" w:leader="none"/>
        </w:tabs>
        <w:jc w:val="right"/>
        <w:rPr>
          <w:sz w:val="20"/>
          <w:szCs w:val="20"/>
        </w:rPr>
      </w:pPr>
      <w:r>
        <w:rPr>
          <w:bCs/>
          <w:sz w:val="20"/>
          <w:szCs w:val="20"/>
        </w:rPr>
        <w:t>Приложение №</w:t>
      </w:r>
      <w:r>
        <w:rPr>
          <w:sz w:val="20"/>
          <w:szCs w:val="20"/>
        </w:rPr>
        <w:t>1</w:t>
      </w:r>
    </w:p>
    <w:p>
      <w:pPr>
        <w:pStyle w:val="Normal"/>
        <w:tabs>
          <w:tab w:val="clear" w:pos="720"/>
          <w:tab w:val="left" w:pos="7740" w:leader="none"/>
        </w:tabs>
        <w:jc w:val="right"/>
        <w:rPr>
          <w:b/>
          <w:sz w:val="24"/>
        </w:rPr>
      </w:pPr>
      <w:r>
        <w:rPr>
          <w:b/>
          <w:sz w:val="24"/>
        </w:rPr>
      </w:r>
    </w:p>
    <w:tbl>
      <w:tblPr>
        <w:tblW w:w="10035" w:type="dxa"/>
        <w:jc w:val="left"/>
        <w:tblInd w:w="9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35"/>
        <w:gridCol w:w="4049"/>
        <w:gridCol w:w="1936"/>
        <w:gridCol w:w="1304"/>
        <w:gridCol w:w="949"/>
        <w:gridCol w:w="1395"/>
        <w:gridCol w:w="266"/>
      </w:tblGrid>
      <w:tr>
        <w:trPr>
          <w:trHeight w:val="300" w:hRule="atLeast"/>
        </w:trPr>
        <w:tc>
          <w:tcPr>
            <w:tcW w:w="9768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Детальная стоимость технического обслуживания и текущего ремонта</w:t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66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7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230 000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Land Cruiser 200 г.р.з. О 777 ВТ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Land Cruiser 200 г.р.з.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lang w:val="en-US"/>
              </w:rPr>
              <w:t xml:space="preserve"> 777 </w:t>
            </w:r>
            <w:r>
              <w:rPr>
                <w:color w:val="000000"/>
              </w:rPr>
              <w:t>ВТ</w:t>
            </w:r>
            <w:r>
              <w:rPr>
                <w:color w:val="000000"/>
                <w:lang w:val="en-US"/>
              </w:rPr>
              <w:t xml:space="preserve">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230 000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30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</w:tc>
        <w:tc>
          <w:tcPr>
            <w:tcW w:w="130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4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230 000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240 000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Land Cruiser 200 О 777 ВТ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Land Cruiser 200 г.р.з. </w:t>
            </w:r>
            <w:r>
              <w:rPr>
                <w:color w:val="000000"/>
              </w:rPr>
              <w:t>О</w:t>
            </w:r>
            <w:r>
              <w:rPr>
                <w:color w:val="000000"/>
                <w:lang w:val="en-US"/>
              </w:rPr>
              <w:t xml:space="preserve"> 777 </w:t>
            </w:r>
            <w:r>
              <w:rPr>
                <w:color w:val="000000"/>
              </w:rPr>
              <w:t>ВТ</w:t>
            </w:r>
            <w:r>
              <w:rPr>
                <w:color w:val="000000"/>
                <w:lang w:val="en-US"/>
              </w:rPr>
              <w:t xml:space="preserve">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240 000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АКПП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Жидкость тормозная 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30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</w:tc>
        <w:tc>
          <w:tcPr>
            <w:tcW w:w="130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49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Трансмиссионное масло для АКПП, ATF WS, 4л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Трансмиссионное масло для АКПП, ATF WS, 1л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 Тойота DOT4, 1л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Прокладка поддона АКПП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АКПП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Прокладка (уплотнительное кольцо) фильтра АКПП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240 000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№2</w:t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120 000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Land Cruiser 150 г.р.з. В 419 ЕА 164</w:t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Land Cruiser 150 г.р.з.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lang w:val="en-US"/>
              </w:rPr>
              <w:t xml:space="preserve"> 419 </w:t>
            </w:r>
            <w:r>
              <w:rPr>
                <w:color w:val="000000"/>
              </w:rPr>
              <w:t>ЕА</w:t>
            </w:r>
            <w:r>
              <w:rPr>
                <w:color w:val="000000"/>
                <w:lang w:val="en-US"/>
              </w:rPr>
              <w:t xml:space="preserve"> 164</w:t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120 000 км</w:t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30303"/>
              </w:rPr>
            </w:pPr>
            <w:r>
              <w:rPr>
                <w:color w:val="030303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30303"/>
              </w:rPr>
            </w:pPr>
            <w:r>
              <w:rPr>
                <w:color w:val="030303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АКПП — замена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Жидкость тормозная  — замена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30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 номер</w:t>
            </w:r>
          </w:p>
        </w:tc>
        <w:tc>
          <w:tcPr>
            <w:tcW w:w="130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23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Toyotaсинтетическое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Трансмиссионное масло для АКПП, ATF WS, 4л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Трансмиссионное масло для АКПП, ATF WS, 1л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 Тойота DOT4, 1л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Прокладка поддона АКПП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АКПП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Прокладка (уплотнительное кольцо) фильтра АКПП</w:t>
            </w:r>
          </w:p>
        </w:tc>
        <w:tc>
          <w:tcPr>
            <w:tcW w:w="19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120 000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6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130 000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Land Cruiser 150 г.р.з. В 419 ЕА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Land Cruiser 150 г.р.з.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lang w:val="en-US"/>
              </w:rPr>
              <w:t xml:space="preserve"> 419 </w:t>
            </w:r>
            <w:r>
              <w:rPr>
                <w:color w:val="000000"/>
              </w:rPr>
              <w:t>ЕА</w:t>
            </w:r>
            <w:r>
              <w:rPr>
                <w:color w:val="000000"/>
                <w:lang w:val="en-US"/>
              </w:rPr>
              <w:t xml:space="preserve">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130 000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30303"/>
              </w:rPr>
            </w:pPr>
            <w:r>
              <w:rPr>
                <w:color w:val="030303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2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30303"/>
              </w:rPr>
            </w:pPr>
            <w:r>
              <w:rPr>
                <w:color w:val="030303"/>
              </w:rPr>
              <w:t>Фильтр воздушный ДВС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130 000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right"/>
              <w:rPr>
                <w:b/>
                <w:sz w:val="24"/>
              </w:rPr>
            </w:pPr>
            <w:r>
              <w:rPr/>
              <w:t>Приложение №3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320 000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Rav4 В 405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Toyota Rav4 г.р.з. В 405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320 000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МКПП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переднего и заднего дифференциала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6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Трансмиссионное масло для МКПП, MTF 75W, 1л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для дифференциала Тойота, 75-85W, 1л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 Тойота DOT4, 1л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руб.безс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320 000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330 000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Rav4 г.р.з. В 405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Toyota Rav4 г.р.з. В 405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330 000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Воздушный фильтр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2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Воздушный фильтр ДВС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color="000000" w:fill="DBE5F1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330 000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340 000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Rav4 В 405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Toyota Rav4 г.р.з. В 405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340 000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Воздушный фильтр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340 000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right"/>
              <w:rPr>
                <w:b/>
                <w:sz w:val="24"/>
              </w:rPr>
            </w:pPr>
            <w:r>
              <w:rPr/>
              <w:t>Приложение №4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320 000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Corolla г.р.з. В 408 ХУ 64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Corolla г.р.з.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lang w:val="en-US"/>
              </w:rPr>
              <w:t xml:space="preserve"> 408 </w:t>
            </w:r>
            <w:r>
              <w:rPr>
                <w:color w:val="000000"/>
              </w:rPr>
              <w:t>ХУ</w:t>
            </w:r>
            <w:r>
              <w:rPr>
                <w:color w:val="000000"/>
                <w:lang w:val="en-US"/>
              </w:rPr>
              <w:t xml:space="preserve">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320 000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МКПП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/>
              <w:t>Фильтр воздушный ДВС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Трансмиссионное масло для МКПП, MTF 75W, 1л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 Тойота DOT4, 1л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320 000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330 000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Corolla г.р.з. В 408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Corolla г.р.з.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lang w:val="en-US"/>
              </w:rPr>
              <w:t xml:space="preserve"> 408 </w:t>
            </w:r>
            <w:r>
              <w:rPr>
                <w:color w:val="000000"/>
              </w:rPr>
              <w:t>ХУ</w:t>
            </w:r>
            <w:r>
              <w:rPr>
                <w:color w:val="000000"/>
                <w:lang w:val="en-US"/>
              </w:rPr>
              <w:t xml:space="preserve">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330 000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Воздушный фильтр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330 000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340 000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Corolla г.р.з. В 408 ХУ 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Toyota Corolla г.р.з. </w:t>
            </w:r>
            <w:r>
              <w:rPr>
                <w:color w:val="000000"/>
              </w:rPr>
              <w:t>В</w:t>
            </w:r>
            <w:r>
              <w:rPr>
                <w:color w:val="000000"/>
                <w:lang w:val="en-US"/>
              </w:rPr>
              <w:t xml:space="preserve"> 408 </w:t>
            </w:r>
            <w:r>
              <w:rPr>
                <w:color w:val="000000"/>
              </w:rPr>
              <w:t>ХУ</w:t>
            </w:r>
            <w:r>
              <w:rPr>
                <w:color w:val="000000"/>
                <w:lang w:val="en-US"/>
              </w:rPr>
              <w:t xml:space="preserve"> 64</w:t>
            </w:r>
          </w:p>
        </w:tc>
      </w:tr>
      <w:tr>
        <w:trPr>
          <w:trHeight w:val="56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340 000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Воздушный фильтр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/>
              <w:t>Фильтр воздушный ДВС</w:t>
            </w:r>
          </w:p>
        </w:tc>
        <w:tc>
          <w:tcPr>
            <w:tcW w:w="1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340 000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7740" w:leader="none"/>
              </w:tabs>
              <w:jc w:val="right"/>
              <w:rPr>
                <w:b/>
                <w:sz w:val="24"/>
              </w:rPr>
            </w:pPr>
            <w:r>
              <w:rPr/>
              <w:t>Приложение №5</w:t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180 000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Hiace г.р.з. А 103 РН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Toyota Hiace г.р.з. А 103 РН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180 000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Свечи зажигания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Свеча зажигания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180 000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190 000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Hiace А 103 РН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Toyota Hiace г.р.з. А 103 РН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190 000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6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Топливный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Воздушный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Тормозная жидкость (1 л)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заднего дифференциала 80W-90, API GL-1 (л)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190 000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  <w:tr>
        <w:trPr>
          <w:trHeight w:val="3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89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Детальная стоимость ТО 200 000 км автомобиля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Toyota Hiace А 103 РН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Toyota Hiace г.р.з. А 103 РН 164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Вид ТО</w:t>
            </w:r>
          </w:p>
        </w:tc>
        <w:tc>
          <w:tcPr>
            <w:tcW w:w="193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н/ч, руб. без НДС</w:t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 ТО,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руб. без НДС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ТО 200 000 км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Моторное масло, масляный фильтр двигателя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салона –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Фильтр воздушный ДВС — замена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Карданная передача – смазочные работы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Итого стоимость работ, без НДС: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91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AEEF3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989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Запасные части</w:t>
            </w:r>
          </w:p>
        </w:tc>
      </w:tr>
      <w:tr>
        <w:trPr>
          <w:trHeight w:val="615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запчасти</w:t>
            </w:r>
          </w:p>
        </w:tc>
        <w:tc>
          <w:tcPr>
            <w:tcW w:w="1936" w:type="dxa"/>
            <w:tcBorders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Каталожный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номер</w:t>
            </w:r>
          </w:p>
        </w:tc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9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Цена</w:t>
            </w:r>
          </w:p>
        </w:tc>
        <w:tc>
          <w:tcPr>
            <w:tcW w:w="166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Стоимость</w:t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Масло моторное синтетическое 5w-40; класс по ACEA: A3/B3, A3/B4.; Класс по API: SN / SM</w:t>
            </w:r>
          </w:p>
        </w:tc>
        <w:tc>
          <w:tcPr>
            <w:tcW w:w="1936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Шайба сливной пробки поддона двигателя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Масляный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Салонный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/>
              <w:t>Воздушный фильтр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40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Смазка пластичная 400 гр</w:t>
            </w:r>
          </w:p>
        </w:tc>
        <w:tc>
          <w:tcPr>
            <w:tcW w:w="1936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304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4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стоимость запасных частей,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DBE5F1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50" w:hRule="atLeast"/>
        </w:trPr>
        <w:tc>
          <w:tcPr>
            <w:tcW w:w="135" w:type="dxa"/>
            <w:tcBorders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23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Итого стоимость ТО 200 000 км с запасными частями, руб. без НДС:</w:t>
            </w:r>
          </w:p>
        </w:tc>
        <w:tc>
          <w:tcPr>
            <w:tcW w:w="16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color="000000" w:fill="CC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134" w:right="709" w:gutter="0" w:header="720" w:top="851" w:footer="720" w:bottom="993"/>
      <w:pgNumType w:fmt="decimal"/>
      <w:formProt w:val="false"/>
      <w:textDirection w:val="lrTb"/>
      <w:docGrid w:type="default" w:linePitch="36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Rockwell Condensed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38" w:leader="none"/>
        <w:tab w:val="center" w:pos="4677" w:leader="none"/>
        <w:tab w:val="right" w:pos="9355" w:leader="none"/>
      </w:tabs>
      <w:jc w:val="right"/>
      <w:rPr/>
    </w:pPr>
    <w:r>
      <w:rPr/>
      <w:t xml:space="preserve"> </w:t>
    </w:r>
  </w:p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38" w:leader="none"/>
        <w:tab w:val="center" w:pos="4677" w:leader="none"/>
        <w:tab w:val="right" w:pos="9355" w:leader="none"/>
      </w:tabs>
      <w:jc w:val="right"/>
      <w:rPr/>
    </w:pPr>
    <w:r>
      <w:rPr/>
      <w:t xml:space="preserve"> 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738" w:leader="none"/>
        <w:tab w:val="center" w:pos="4677" w:leader="none"/>
        <w:tab w:val="right" w:pos="9355" w:leader="none"/>
      </w:tabs>
      <w:jc w:val="right"/>
      <w:rPr/>
    </w:pPr>
    <w:r>
      <w:rPr/>
      <w:t xml:space="preserve"> </w:t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/>
  </w:style>
  <w:style w:type="character" w:styleId="WW8Num5z0" w:customStyle="1">
    <w:name w:val="WW8Num5z0"/>
    <w:qFormat/>
    <w:rPr/>
  </w:style>
  <w:style w:type="character" w:styleId="WW8Num6z0" w:customStyle="1">
    <w:name w:val="WW8Num6z0"/>
    <w:qFormat/>
    <w:rPr/>
  </w:style>
  <w:style w:type="character" w:styleId="WW8Num3z0" w:customStyle="1">
    <w:name w:val="WW8Num3z0"/>
    <w:qFormat/>
    <w:rPr/>
  </w:style>
  <w:style w:type="character" w:styleId="WW8Num7z0" w:customStyle="1">
    <w:name w:val="WW8Num7z0"/>
    <w:qFormat/>
    <w:rPr/>
  </w:style>
  <w:style w:type="character" w:styleId="WW8Num1z0" w:customStyle="1">
    <w:name w:val="WW8Num1z0"/>
    <w:qFormat/>
    <w:rPr>
      <w:b/>
    </w:rPr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2" w:customStyle="1">
    <w:name w:val="WW8Num2z2"/>
    <w:qFormat/>
    <w:rPr>
      <w:rFonts w:ascii="Wingdings" w:hAnsi="Wingdings" w:cs="Wingdings"/>
    </w:rPr>
  </w:style>
  <w:style w:type="character" w:styleId="WW8Num4z0" w:customStyle="1">
    <w:name w:val="WW8Num4z0"/>
    <w:qFormat/>
    <w:rPr/>
  </w:style>
  <w:style w:type="character" w:styleId="WW8Num8z0" w:customStyle="1">
    <w:name w:val="WW8Num8z0"/>
    <w:qFormat/>
    <w:rPr>
      <w:rFonts w:ascii="Symbol" w:hAnsi="Symbol" w:cs="Symbol"/>
    </w:rPr>
  </w:style>
  <w:style w:type="character" w:styleId="WW8Num8z1" w:customStyle="1">
    <w:name w:val="WW8Num8z1"/>
    <w:qFormat/>
    <w:rPr>
      <w:rFonts w:ascii="Courier New" w:hAnsi="Courier New" w:cs="Courier New"/>
    </w:rPr>
  </w:style>
  <w:style w:type="character" w:styleId="WW8Num8z2" w:customStyle="1">
    <w:name w:val="WW8Num8z2"/>
    <w:qFormat/>
    <w:rPr>
      <w:rFonts w:ascii="Wingdings" w:hAnsi="Wingdings" w:cs="Wingdings"/>
    </w:rPr>
  </w:style>
  <w:style w:type="character" w:styleId="WW8Num9z0" w:customStyle="1">
    <w:name w:val="WW8Num9z0"/>
    <w:qFormat/>
    <w:rPr>
      <w:rFonts w:ascii="Symbol" w:hAnsi="Symbol" w:cs="Symbol"/>
    </w:rPr>
  </w:style>
  <w:style w:type="character" w:styleId="WW8Num9z1" w:customStyle="1">
    <w:name w:val="WW8Num9z1"/>
    <w:qFormat/>
    <w:rPr>
      <w:rFonts w:ascii="Courier New" w:hAnsi="Courier New" w:cs="Courier New"/>
    </w:rPr>
  </w:style>
  <w:style w:type="character" w:styleId="WW8Num9z2" w:customStyle="1">
    <w:name w:val="WW8Num9z2"/>
    <w:qFormat/>
    <w:rPr>
      <w:rFonts w:ascii="Wingdings" w:hAnsi="Wingdings" w:cs="Wingdings"/>
    </w:rPr>
  </w:style>
  <w:style w:type="character" w:styleId="WW8Num11z0" w:customStyle="1">
    <w:name w:val="WW8Num11z0"/>
    <w:qFormat/>
    <w:rPr/>
  </w:style>
  <w:style w:type="character" w:styleId="WW8Num12z0" w:customStyle="1">
    <w:name w:val="WW8Num12z0"/>
    <w:qFormat/>
    <w:rPr>
      <w:rFonts w:ascii="Symbol" w:hAnsi="Symbol" w:cs="Symbol"/>
      <w:color w:val="auto"/>
    </w:rPr>
  </w:style>
  <w:style w:type="character" w:styleId="WW8Num13z0" w:customStyle="1">
    <w:name w:val="WW8Num13z0"/>
    <w:qFormat/>
    <w:rPr>
      <w:b/>
    </w:rPr>
  </w:style>
  <w:style w:type="character" w:styleId="WW8Num14z0" w:customStyle="1">
    <w:name w:val="WW8Num14z0"/>
    <w:qFormat/>
    <w:rPr/>
  </w:style>
  <w:style w:type="character" w:styleId="WW8Num14z1" w:customStyle="1">
    <w:name w:val="WW8Num14z1"/>
    <w:qFormat/>
    <w:rPr>
      <w:b/>
    </w:rPr>
  </w:style>
  <w:style w:type="character" w:styleId="WW8Num15z0" w:customStyle="1">
    <w:name w:val="WW8Num15z0"/>
    <w:qFormat/>
    <w:rPr>
      <w:b/>
      <w:bCs w:val="false"/>
      <w:sz w:val="24"/>
      <w:szCs w:val="24"/>
    </w:rPr>
  </w:style>
  <w:style w:type="character" w:styleId="WW8Num15z1" w:customStyle="1">
    <w:name w:val="WW8Num15z1"/>
    <w:qFormat/>
    <w:rPr>
      <w:b w:val="false"/>
      <w:bCs/>
      <w:sz w:val="24"/>
      <w:szCs w:val="24"/>
    </w:rPr>
  </w:style>
  <w:style w:type="character" w:styleId="WW8Num15z2" w:customStyle="1">
    <w:name w:val="WW8Num15z2"/>
    <w:qFormat/>
    <w:rPr>
      <w:sz w:val="24"/>
      <w:szCs w:val="24"/>
    </w:rPr>
  </w:style>
  <w:style w:type="character" w:styleId="WW8Num16z0" w:customStyle="1">
    <w:name w:val="WW8Num16z0"/>
    <w:qFormat/>
    <w:rPr/>
  </w:style>
  <w:style w:type="character" w:styleId="WW8Num17z0" w:customStyle="1">
    <w:name w:val="WW8Num17z0"/>
    <w:qFormat/>
    <w:rPr>
      <w:rFonts w:ascii="Symbol" w:hAnsi="Symbol" w:cs="Symbol"/>
    </w:rPr>
  </w:style>
  <w:style w:type="character" w:styleId="WW8Num17z1" w:customStyle="1">
    <w:name w:val="WW8Num17z1"/>
    <w:qFormat/>
    <w:rPr>
      <w:rFonts w:ascii="Courier New" w:hAnsi="Courier New" w:cs="Courier New"/>
    </w:rPr>
  </w:style>
  <w:style w:type="character" w:styleId="WW8Num17z2" w:customStyle="1">
    <w:name w:val="WW8Num17z2"/>
    <w:qFormat/>
    <w:rPr>
      <w:rFonts w:ascii="Wingdings" w:hAnsi="Wingdings" w:cs="Wingdings"/>
    </w:rPr>
  </w:style>
  <w:style w:type="character" w:styleId="WW8Num19z0" w:customStyle="1">
    <w:name w:val="WW8Num19z0"/>
    <w:qFormat/>
    <w:rPr/>
  </w:style>
  <w:style w:type="character" w:styleId="WW8Num20z0" w:customStyle="1">
    <w:name w:val="WW8Num20z0"/>
    <w:qFormat/>
    <w:rPr/>
  </w:style>
  <w:style w:type="character" w:styleId="WW8Num21z0" w:customStyle="1">
    <w:name w:val="WW8Num21z0"/>
    <w:qFormat/>
    <w:rPr>
      <w:rFonts w:ascii="Symbol" w:hAnsi="Symbol" w:cs="Symbol"/>
    </w:rPr>
  </w:style>
  <w:style w:type="character" w:styleId="WW8Num22z0" w:customStyle="1">
    <w:name w:val="WW8Num22z0"/>
    <w:qFormat/>
    <w:rPr/>
  </w:style>
  <w:style w:type="character" w:styleId="WW8Num23z0" w:customStyle="1">
    <w:name w:val="WW8Num23z0"/>
    <w:qFormat/>
    <w:rPr/>
  </w:style>
  <w:style w:type="character" w:styleId="WW8Num25z0" w:customStyle="1">
    <w:name w:val="WW8Num25z0"/>
    <w:qFormat/>
    <w:rPr/>
  </w:style>
  <w:style w:type="character" w:styleId="WW8Num26z0" w:customStyle="1">
    <w:name w:val="WW8Num26z0"/>
    <w:qFormat/>
    <w:rPr>
      <w:rFonts w:ascii="Times New Roman" w:hAnsi="Times New Roman" w:cs="Times New Roman"/>
    </w:rPr>
  </w:style>
  <w:style w:type="character" w:styleId="WW8Num26z2" w:customStyle="1">
    <w:name w:val="WW8Num26z2"/>
    <w:qFormat/>
    <w:rPr>
      <w:rFonts w:ascii="Wingdings" w:hAnsi="Wingdings" w:cs="Wingdings"/>
    </w:rPr>
  </w:style>
  <w:style w:type="character" w:styleId="WW8Num26z3" w:customStyle="1">
    <w:name w:val="WW8Num26z3"/>
    <w:qFormat/>
    <w:rPr>
      <w:rFonts w:ascii="Symbol" w:hAnsi="Symbol" w:cs="Symbol"/>
    </w:rPr>
  </w:style>
  <w:style w:type="character" w:styleId="WW8Num26z4" w:customStyle="1">
    <w:name w:val="WW8Num26z4"/>
    <w:qFormat/>
    <w:rPr>
      <w:rFonts w:ascii="Courier New" w:hAnsi="Courier New" w:cs="Courier New"/>
    </w:rPr>
  </w:style>
  <w:style w:type="character" w:styleId="WW8Num27z0" w:customStyle="1">
    <w:name w:val="WW8Num27z0"/>
    <w:qFormat/>
    <w:rPr>
      <w:rFonts w:ascii="Symbol" w:hAnsi="Symbol" w:cs="Symbol"/>
    </w:rPr>
  </w:style>
  <w:style w:type="character" w:styleId="WW8Num27z1" w:customStyle="1">
    <w:name w:val="WW8Num27z1"/>
    <w:qFormat/>
    <w:rPr>
      <w:rFonts w:ascii="Courier New" w:hAnsi="Courier New" w:cs="Courier New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9z0" w:customStyle="1">
    <w:name w:val="WW8Num29z0"/>
    <w:qFormat/>
    <w:rPr/>
  </w:style>
  <w:style w:type="character" w:styleId="WW8Num30z0" w:customStyle="1">
    <w:name w:val="WW8Num30z0"/>
    <w:qFormat/>
    <w:rPr/>
  </w:style>
  <w:style w:type="character" w:styleId="WW8Num31z0" w:customStyle="1">
    <w:name w:val="WW8Num31z0"/>
    <w:qFormat/>
    <w:rPr>
      <w:rFonts w:ascii="Symbol" w:hAnsi="Symbol" w:cs="Symbol"/>
      <w:color w:val="auto"/>
    </w:rPr>
  </w:style>
  <w:style w:type="character" w:styleId="WW8Num33z0" w:customStyle="1">
    <w:name w:val="WW8Num33z0"/>
    <w:qFormat/>
    <w:rPr/>
  </w:style>
  <w:style w:type="character" w:styleId="WW8Num34z0" w:customStyle="1">
    <w:name w:val="WW8Num34z0"/>
    <w:qFormat/>
    <w:rPr>
      <w:rFonts w:ascii="Wingdings" w:hAnsi="Wingdings" w:cs="Wingdings"/>
    </w:rPr>
  </w:style>
  <w:style w:type="character" w:styleId="WW8Num35z0" w:customStyle="1">
    <w:name w:val="WW8Num35z0"/>
    <w:qFormat/>
    <w:rPr/>
  </w:style>
  <w:style w:type="character" w:styleId="WW8Num36z0" w:customStyle="1">
    <w:name w:val="WW8Num36z0"/>
    <w:qFormat/>
    <w:rPr>
      <w:rFonts w:ascii="Symbol" w:hAnsi="Symbol" w:cs="Symbol"/>
      <w:color w:val="auto"/>
    </w:rPr>
  </w:style>
  <w:style w:type="character" w:styleId="WW8Num36z1" w:customStyle="1">
    <w:name w:val="WW8Num36z1"/>
    <w:qFormat/>
    <w:rPr>
      <w:rFonts w:ascii="Courier New" w:hAnsi="Courier New" w:cs="Courier New"/>
    </w:rPr>
  </w:style>
  <w:style w:type="character" w:styleId="WW8Num36z2" w:customStyle="1">
    <w:name w:val="WW8Num36z2"/>
    <w:qFormat/>
    <w:rPr>
      <w:rFonts w:ascii="Wingdings" w:hAnsi="Wingdings" w:cs="Wingdings"/>
    </w:rPr>
  </w:style>
  <w:style w:type="character" w:styleId="WW8Num36z3" w:customStyle="1">
    <w:name w:val="WW8Num36z3"/>
    <w:qFormat/>
    <w:rPr>
      <w:rFonts w:ascii="Symbol" w:hAnsi="Symbol" w:cs="Symbol"/>
    </w:rPr>
  </w:style>
  <w:style w:type="character" w:styleId="WW8Num37z1" w:customStyle="1">
    <w:name w:val="WW8Num37z1"/>
    <w:qFormat/>
    <w:rPr>
      <w:rFonts w:ascii="Symbol" w:hAnsi="Symbol" w:cs="Symbol"/>
    </w:rPr>
  </w:style>
  <w:style w:type="character" w:styleId="WW8Num38z0" w:customStyle="1">
    <w:name w:val="WW8Num38z0"/>
    <w:qFormat/>
    <w:rPr/>
  </w:style>
  <w:style w:type="character" w:styleId="WW8Num39z0" w:customStyle="1">
    <w:name w:val="WW8Num39z0"/>
    <w:qFormat/>
    <w:rPr/>
  </w:style>
  <w:style w:type="character" w:styleId="WW8Num39z1" w:customStyle="1">
    <w:name w:val="WW8Num39z1"/>
    <w:qFormat/>
    <w:rPr>
      <w:rFonts w:ascii="Symbol" w:hAnsi="Symbol" w:cs="Symbol"/>
    </w:rPr>
  </w:style>
  <w:style w:type="character" w:styleId="WW8Num40z0" w:customStyle="1">
    <w:name w:val="WW8Num40z0"/>
    <w:qFormat/>
    <w:rPr/>
  </w:style>
  <w:style w:type="character" w:styleId="WW8Num41z0" w:customStyle="1">
    <w:name w:val="WW8Num41z0"/>
    <w:qFormat/>
    <w:rPr/>
  </w:style>
  <w:style w:type="character" w:styleId="WW8Num42z0" w:customStyle="1">
    <w:name w:val="WW8Num42z0"/>
    <w:qFormat/>
    <w:rPr/>
  </w:style>
  <w:style w:type="character" w:styleId="WW8Num43z0" w:customStyle="1">
    <w:name w:val="WW8Num43z0"/>
    <w:qFormat/>
    <w:rPr/>
  </w:style>
  <w:style w:type="character" w:styleId="WW8Num44z0" w:customStyle="1">
    <w:name w:val="WW8Num44z0"/>
    <w:qFormat/>
    <w:rPr>
      <w:rFonts w:ascii="Symbol" w:hAnsi="Symbol" w:cs="Symbol"/>
      <w:color w:val="auto"/>
    </w:rPr>
  </w:style>
  <w:style w:type="character" w:styleId="WW8Num45z0" w:customStyle="1">
    <w:name w:val="WW8Num45z0"/>
    <w:qFormat/>
    <w:rPr>
      <w:rFonts w:ascii="Symbol" w:hAnsi="Symbol" w:cs="Symbol"/>
      <w:color w:val="auto"/>
    </w:rPr>
  </w:style>
  <w:style w:type="character" w:styleId="WW8Num45z1" w:customStyle="1">
    <w:name w:val="WW8Num45z1"/>
    <w:qFormat/>
    <w:rPr>
      <w:rFonts w:ascii="Courier New" w:hAnsi="Courier New" w:cs="Courier New"/>
    </w:rPr>
  </w:style>
  <w:style w:type="character" w:styleId="WW8Num45z2" w:customStyle="1">
    <w:name w:val="WW8Num45z2"/>
    <w:qFormat/>
    <w:rPr>
      <w:rFonts w:ascii="Wingdings" w:hAnsi="Wingdings" w:cs="Wingdings"/>
    </w:rPr>
  </w:style>
  <w:style w:type="character" w:styleId="WW8Num45z3" w:customStyle="1">
    <w:name w:val="WW8Num45z3"/>
    <w:qFormat/>
    <w:rPr>
      <w:rFonts w:ascii="Symbol" w:hAnsi="Symbol" w:cs="Symbol"/>
    </w:rPr>
  </w:style>
  <w:style w:type="character" w:styleId="WW8Num46z0" w:customStyle="1">
    <w:name w:val="WW8Num46z0"/>
    <w:qFormat/>
    <w:rPr>
      <w:rFonts w:ascii="Rockwell Condensed" w:hAnsi="Rockwell Condensed" w:cs="Rockwell Condensed"/>
    </w:rPr>
  </w:style>
  <w:style w:type="character" w:styleId="WW8Num46z1" w:customStyle="1">
    <w:name w:val="WW8Num46z1"/>
    <w:qFormat/>
    <w:rPr>
      <w:rFonts w:ascii="Courier New" w:hAnsi="Courier New" w:cs="Courier New"/>
    </w:rPr>
  </w:style>
  <w:style w:type="character" w:styleId="WW8Num46z2" w:customStyle="1">
    <w:name w:val="WW8Num46z2"/>
    <w:qFormat/>
    <w:rPr>
      <w:rFonts w:ascii="Wingdings" w:hAnsi="Wingdings" w:cs="Wingdings"/>
    </w:rPr>
  </w:style>
  <w:style w:type="character" w:styleId="WW8Num46z3" w:customStyle="1">
    <w:name w:val="WW8Num46z3"/>
    <w:qFormat/>
    <w:rPr>
      <w:rFonts w:ascii="Symbol" w:hAnsi="Symbol" w:cs="Symbol"/>
    </w:rPr>
  </w:style>
  <w:style w:type="character" w:styleId="1" w:customStyle="1">
    <w:name w:val="Основной шрифт абзаца1"/>
    <w:qFormat/>
    <w:rPr/>
  </w:style>
  <w:style w:type="character" w:styleId="Normal1" w:customStyle="1">
    <w:name w:val="Normal1 Знак"/>
    <w:qFormat/>
    <w:rPr>
      <w:rFonts w:eastAsia="Calibri"/>
      <w:lang w:val="ru-RU" w:bidi="ar-SA"/>
    </w:rPr>
  </w:style>
  <w:style w:type="character" w:styleId="Style5" w:customStyle="1">
    <w:name w:val="Текст сноски Знак"/>
    <w:basedOn w:val="1"/>
    <w:qFormat/>
    <w:rPr/>
  </w:style>
  <w:style w:type="character" w:styleId="Style6" w:customStyle="1">
    <w:name w:val="Символ сноски"/>
    <w:qFormat/>
    <w:rPr>
      <w:vertAlign w:val="superscript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4" w:customStyle="1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7" w:customStyle="1">
    <w:name w:val="Абзац списка Знак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character" w:styleId="Style9" w:customStyle="1">
    <w:name w:val="Верхний колонтитул Знак"/>
    <w:basedOn w:val="1"/>
    <w:qFormat/>
    <w:rPr/>
  </w:style>
  <w:style w:type="character" w:styleId="Style10" w:customStyle="1">
    <w:name w:val="Нижний колонтитул Знак"/>
    <w:basedOn w:val="1"/>
    <w:qFormat/>
    <w:rPr/>
  </w:style>
  <w:style w:type="character" w:styleId="3" w:customStyle="1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7e04ee"/>
    <w:rPr>
      <w:color w:val="800080"/>
      <w:u w:val="single"/>
    </w:rPr>
  </w:style>
  <w:style w:type="paragraph" w:styleId="Style1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" w:customStyle="1">
    <w:name w:val="Заголовок1"/>
    <w:basedOn w:val="Normal"/>
    <w:next w:val="BodyText"/>
    <w:qFormat/>
    <w:pPr>
      <w:jc w:val="center"/>
    </w:pPr>
    <w:rPr>
      <w:b/>
      <w:sz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" w:customStyle="1">
    <w:name w:val="Указатель2"/>
    <w:basedOn w:val="Normal"/>
    <w:qFormat/>
    <w:pPr>
      <w:suppressLineNumbers/>
    </w:pPr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3" w:customStyle="1">
    <w:name w:val="Указатель1"/>
    <w:basedOn w:val="Normal"/>
    <w:qFormat/>
    <w:pPr>
      <w:suppressLineNumbers/>
    </w:pPr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" w:customStyle="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 w:customStyle="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 w:customStyle="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 w:customStyle="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1" w:customStyle="1">
    <w:name w:val="Основной текст с отступом 31"/>
    <w:basedOn w:val="Normal"/>
    <w:qFormat/>
    <w:pPr>
      <w:spacing w:before="0" w:after="120"/>
      <w:ind w:left="283" w:hanging="0"/>
    </w:pPr>
    <w:rPr>
      <w:sz w:val="16"/>
    </w:rPr>
  </w:style>
  <w:style w:type="paragraph" w:styleId="Normal11" w:customStyle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11" w:customStyle="1">
    <w:name w:val="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 w:customStyle="1">
    <w:name w:val="Абзац списка1"/>
    <w:basedOn w:val="Normal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hanging="0"/>
    </w:pPr>
    <w:rPr>
      <w:rFonts w:cs="Calibri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hanging="0"/>
    </w:pPr>
    <w:rPr>
      <w:rFonts w:cs="Calibri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13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Style14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/>
    </w:rPr>
  </w:style>
  <w:style w:type="paragraph" w:styleId="Style15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7" w:customStyle="1">
    <w:name w:val="Заголовок таблицы"/>
    <w:basedOn w:val="Style16"/>
    <w:qFormat/>
    <w:pPr>
      <w:jc w:val="center"/>
    </w:pPr>
    <w:rPr>
      <w:b/>
      <w:bCs/>
    </w:rPr>
  </w:style>
  <w:style w:type="paragraph" w:styleId="Font5" w:customStyle="1">
    <w:name w:val="font5"/>
    <w:basedOn w:val="Normal"/>
    <w:qFormat/>
    <w:rsid w:val="007e04ee"/>
    <w:pPr>
      <w:suppressAutoHyphens w:val="false"/>
      <w:spacing w:beforeAutospacing="1" w:afterAutospacing="1"/>
    </w:pPr>
    <w:rPr>
      <w:color w:val="000000"/>
      <w:lang w:eastAsia="ru-RU"/>
    </w:rPr>
  </w:style>
  <w:style w:type="paragraph" w:styleId="Font6" w:customStyle="1">
    <w:name w:val="font6"/>
    <w:basedOn w:val="Normal"/>
    <w:qFormat/>
    <w:rsid w:val="007e04ee"/>
    <w:pPr>
      <w:suppressAutoHyphens w:val="false"/>
      <w:spacing w:beforeAutospacing="1" w:afterAutospacing="1"/>
    </w:pPr>
    <w:rPr>
      <w:b/>
      <w:bCs/>
      <w:color w:val="000000"/>
      <w:sz w:val="24"/>
      <w:szCs w:val="24"/>
      <w:lang w:eastAsia="ru-RU"/>
    </w:rPr>
  </w:style>
  <w:style w:type="paragraph" w:styleId="Font7" w:customStyle="1">
    <w:name w:val="font7"/>
    <w:basedOn w:val="Normal"/>
    <w:qFormat/>
    <w:rsid w:val="007e04ee"/>
    <w:pPr>
      <w:suppressAutoHyphens w:val="false"/>
      <w:spacing w:beforeAutospacing="1" w:afterAutospacing="1"/>
    </w:pPr>
    <w:rPr>
      <w:color w:val="000000"/>
      <w:lang w:eastAsia="ru-RU"/>
    </w:rPr>
  </w:style>
  <w:style w:type="paragraph" w:styleId="Xl65" w:customStyle="1">
    <w:name w:val="xl65"/>
    <w:basedOn w:val="Normal"/>
    <w:qFormat/>
    <w:rsid w:val="007e04ee"/>
    <w:pPr>
      <w:pBdr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66" w:customStyle="1">
    <w:name w:val="xl66"/>
    <w:basedOn w:val="Normal"/>
    <w:qFormat/>
    <w:rsid w:val="007e04ee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textAlignment w:val="center"/>
    </w:pPr>
    <w:rPr>
      <w:lang w:eastAsia="ru-RU"/>
    </w:rPr>
  </w:style>
  <w:style w:type="paragraph" w:styleId="Xl67" w:customStyle="1">
    <w:name w:val="xl67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68" w:customStyle="1">
    <w:name w:val="xl68"/>
    <w:basedOn w:val="Normal"/>
    <w:qFormat/>
    <w:rsid w:val="007e04ee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69" w:customStyle="1">
    <w:name w:val="xl69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70" w:customStyle="1">
    <w:name w:val="xl70"/>
    <w:basedOn w:val="Normal"/>
    <w:qFormat/>
    <w:rsid w:val="007e04ee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71" w:customStyle="1">
    <w:name w:val="xl71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72" w:customStyle="1">
    <w:name w:val="xl72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73" w:customStyle="1">
    <w:name w:val="xl73"/>
    <w:basedOn w:val="Normal"/>
    <w:qFormat/>
    <w:rsid w:val="007e04ee"/>
    <w:pPr>
      <w:suppressAutoHyphens w:val="false"/>
      <w:spacing w:beforeAutospacing="1" w:afterAutospacing="1"/>
      <w:jc w:val="both"/>
      <w:textAlignment w:val="center"/>
    </w:pPr>
    <w:rPr>
      <w:sz w:val="24"/>
      <w:szCs w:val="24"/>
      <w:lang w:eastAsia="ru-RU"/>
    </w:rPr>
  </w:style>
  <w:style w:type="paragraph" w:styleId="Xl74" w:customStyle="1">
    <w:name w:val="xl74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75" w:customStyle="1">
    <w:name w:val="xl75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76" w:customStyle="1">
    <w:name w:val="xl76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77" w:customStyle="1">
    <w:name w:val="xl77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hd w:val="clear" w:color="000000" w:fill="DBE5F1"/>
      <w:suppressAutoHyphens w:val="false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styleId="Xl78" w:customStyle="1">
    <w:name w:val="xl78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hd w:val="clear" w:color="000000" w:fill="CCFFFF"/>
      <w:suppressAutoHyphens w:val="false"/>
      <w:spacing w:beforeAutospacing="1" w:afterAutospacing="1"/>
      <w:jc w:val="center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79" w:customStyle="1">
    <w:name w:val="xl79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</w:pPr>
    <w:rPr>
      <w:color w:val="030303"/>
      <w:lang w:eastAsia="ru-RU"/>
    </w:rPr>
  </w:style>
  <w:style w:type="paragraph" w:styleId="Xl80" w:customStyle="1">
    <w:name w:val="xl80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lang w:eastAsia="ru-RU"/>
    </w:rPr>
  </w:style>
  <w:style w:type="paragraph" w:styleId="Xl81" w:customStyle="1">
    <w:name w:val="xl81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82" w:customStyle="1">
    <w:name w:val="xl82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83" w:customStyle="1">
    <w:name w:val="xl83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84" w:customStyle="1">
    <w:name w:val="xl84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85" w:customStyle="1">
    <w:name w:val="xl85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86" w:customStyle="1">
    <w:name w:val="xl86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87" w:customStyle="1">
    <w:name w:val="xl87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88" w:customStyle="1">
    <w:name w:val="xl88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uppressAutoHyphens w:val="false"/>
      <w:spacing w:beforeAutospacing="1" w:afterAutospacing="1"/>
      <w:jc w:val="center"/>
      <w:textAlignment w:val="center"/>
    </w:pPr>
    <w:rPr>
      <w:color w:val="000000"/>
      <w:sz w:val="16"/>
      <w:szCs w:val="16"/>
      <w:lang w:eastAsia="ru-RU"/>
    </w:rPr>
  </w:style>
  <w:style w:type="paragraph" w:styleId="Xl89" w:customStyle="1">
    <w:name w:val="xl89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false"/>
      <w:spacing w:beforeAutospacing="1" w:afterAutospacing="1"/>
      <w:jc w:val="center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90" w:customStyle="1">
    <w:name w:val="xl90"/>
    <w:basedOn w:val="Normal"/>
    <w:qFormat/>
    <w:rsid w:val="007e04ee"/>
    <w:pPr>
      <w:pBdr>
        <w:left w:val="single" w:sz="8" w:space="0" w:color="000000"/>
        <w:right w:val="single" w:sz="8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91" w:customStyle="1">
    <w:name w:val="xl91"/>
    <w:basedOn w:val="Normal"/>
    <w:qFormat/>
    <w:rsid w:val="007e04ee"/>
    <w:pPr>
      <w:pBdr>
        <w:right w:val="single" w:sz="8" w:space="0" w:color="000000"/>
      </w:pBdr>
      <w:suppressAutoHyphens w:val="false"/>
      <w:spacing w:beforeAutospacing="1" w:afterAutospacing="1"/>
      <w:textAlignment w:val="center"/>
    </w:pPr>
    <w:rPr>
      <w:color w:val="000000"/>
      <w:lang w:eastAsia="ru-RU"/>
    </w:rPr>
  </w:style>
  <w:style w:type="paragraph" w:styleId="Xl92" w:customStyle="1">
    <w:name w:val="xl92"/>
    <w:basedOn w:val="Normal"/>
    <w:qFormat/>
    <w:rsid w:val="007e04ee"/>
    <w:pPr>
      <w:pBdr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93" w:customStyle="1">
    <w:name w:val="xl93"/>
    <w:basedOn w:val="Normal"/>
    <w:qFormat/>
    <w:rsid w:val="007e04ee"/>
    <w:pPr>
      <w:pBdr>
        <w:top w:val="single" w:sz="8" w:space="0" w:color="000000"/>
        <w:left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94" w:customStyle="1">
    <w:name w:val="xl94"/>
    <w:basedOn w:val="Normal"/>
    <w:qFormat/>
    <w:rsid w:val="007e04ee"/>
    <w:pPr>
      <w:pBdr>
        <w:left w:val="single" w:sz="8" w:space="0" w:color="000000"/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95" w:customStyle="1">
    <w:name w:val="xl95"/>
    <w:basedOn w:val="Normal"/>
    <w:qFormat/>
    <w:rsid w:val="007e04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96" w:customStyle="1">
    <w:name w:val="xl96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97" w:customStyle="1">
    <w:name w:val="xl97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98" w:customStyle="1">
    <w:name w:val="xl98"/>
    <w:basedOn w:val="Normal"/>
    <w:qFormat/>
    <w:rsid w:val="007e04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CCFFFF"/>
      <w:suppressAutoHyphens w:val="false"/>
      <w:spacing w:beforeAutospacing="1" w:afterAutospacing="1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99" w:customStyle="1">
    <w:name w:val="xl99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hd w:val="clear" w:color="000000" w:fill="CCFFFF"/>
      <w:suppressAutoHyphens w:val="false"/>
      <w:spacing w:beforeAutospacing="1" w:afterAutospacing="1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100" w:customStyle="1">
    <w:name w:val="xl100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CCFFFF"/>
      <w:suppressAutoHyphens w:val="false"/>
      <w:spacing w:beforeAutospacing="1" w:afterAutospacing="1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101" w:customStyle="1">
    <w:name w:val="xl101"/>
    <w:basedOn w:val="Normal"/>
    <w:qFormat/>
    <w:rsid w:val="007e04e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02" w:customStyle="1">
    <w:name w:val="xl102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03" w:customStyle="1">
    <w:name w:val="xl103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04" w:customStyle="1">
    <w:name w:val="xl104"/>
    <w:basedOn w:val="Normal"/>
    <w:qFormat/>
    <w:rsid w:val="007e04ee"/>
    <w:pPr>
      <w:pBdr>
        <w:top w:val="single" w:sz="8" w:space="0" w:color="000000"/>
        <w:left w:val="single" w:sz="8" w:space="0" w:color="000000"/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105" w:customStyle="1">
    <w:name w:val="xl105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106" w:customStyle="1">
    <w:name w:val="xl106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107" w:customStyle="1">
    <w:name w:val="xl107"/>
    <w:basedOn w:val="Normal"/>
    <w:qFormat/>
    <w:rsid w:val="007e04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08" w:customStyle="1">
    <w:name w:val="xl108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09" w:customStyle="1">
    <w:name w:val="xl109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10" w:customStyle="1">
    <w:name w:val="xl110"/>
    <w:basedOn w:val="Normal"/>
    <w:qFormat/>
    <w:rsid w:val="007e04ee"/>
    <w:pPr>
      <w:pBdr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111" w:customStyle="1">
    <w:name w:val="xl111"/>
    <w:basedOn w:val="Normal"/>
    <w:qFormat/>
    <w:rsid w:val="007e04ee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2" w:customStyle="1">
    <w:name w:val="xl112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hd w:val="clear" w:color="000000" w:fill="FFFF00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3" w:customStyle="1">
    <w:name w:val="xl113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4" w:customStyle="1">
    <w:name w:val="xl114"/>
    <w:basedOn w:val="Normal"/>
    <w:qFormat/>
    <w:rsid w:val="007e04ee"/>
    <w:pPr>
      <w:pBdr>
        <w:top w:val="single" w:sz="8" w:space="0" w:color="000000"/>
        <w:lef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5" w:customStyle="1">
    <w:name w:val="xl115"/>
    <w:basedOn w:val="Normal"/>
    <w:qFormat/>
    <w:rsid w:val="007e04ee"/>
    <w:pPr>
      <w:pBdr>
        <w:top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6" w:customStyle="1">
    <w:name w:val="xl116"/>
    <w:basedOn w:val="Normal"/>
    <w:qFormat/>
    <w:rsid w:val="007e04ee"/>
    <w:pPr>
      <w:pBdr>
        <w:top w:val="single" w:sz="8" w:space="0" w:color="000000"/>
        <w:right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7" w:customStyle="1">
    <w:name w:val="xl117"/>
    <w:basedOn w:val="Normal"/>
    <w:qFormat/>
    <w:rsid w:val="007e04ee"/>
    <w:pPr>
      <w:pBdr>
        <w:left w:val="single" w:sz="8" w:space="0" w:color="000000"/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8" w:customStyle="1">
    <w:name w:val="xl118"/>
    <w:basedOn w:val="Normal"/>
    <w:qFormat/>
    <w:rsid w:val="007e04ee"/>
    <w:pPr>
      <w:pBdr>
        <w:bottom w:val="single" w:sz="8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19" w:customStyle="1">
    <w:name w:val="xl119"/>
    <w:basedOn w:val="Normal"/>
    <w:qFormat/>
    <w:rsid w:val="007e04ee"/>
    <w:pPr>
      <w:suppressAutoHyphens w:val="false"/>
      <w:spacing w:beforeAutospacing="1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styleId="Xl120" w:customStyle="1">
    <w:name w:val="xl120"/>
    <w:basedOn w:val="Normal"/>
    <w:qFormat/>
    <w:rsid w:val="007e04ee"/>
    <w:pPr>
      <w:pBdr>
        <w:top w:val="single" w:sz="8" w:space="0" w:color="000000"/>
        <w:bottom w:val="single" w:sz="8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21" w:customStyle="1">
    <w:name w:val="xl121"/>
    <w:basedOn w:val="Normal"/>
    <w:qFormat/>
    <w:rsid w:val="007e04ee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22" w:customStyle="1">
    <w:name w:val="xl122"/>
    <w:basedOn w:val="Normal"/>
    <w:qFormat/>
    <w:rsid w:val="007e04ee"/>
    <w:pPr>
      <w:pBdr>
        <w:left w:val="single" w:sz="8" w:space="0" w:color="000000"/>
        <w:bottom w:val="single" w:sz="8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123" w:customStyle="1">
    <w:name w:val="xl123"/>
    <w:basedOn w:val="Normal"/>
    <w:qFormat/>
    <w:rsid w:val="007e04ee"/>
    <w:pPr>
      <w:pBdr>
        <w:bottom w:val="single" w:sz="8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124" w:customStyle="1">
    <w:name w:val="xl124"/>
    <w:basedOn w:val="Normal"/>
    <w:qFormat/>
    <w:rsid w:val="007e04ee"/>
    <w:pPr>
      <w:pBdr>
        <w:bottom w:val="single" w:sz="8" w:space="0" w:color="000000"/>
        <w:right w:val="single" w:sz="8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125" w:customStyle="1">
    <w:name w:val="xl125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BE5F1"/>
      <w:suppressAutoHyphens w:val="false"/>
      <w:spacing w:beforeAutospacing="1" w:afterAutospacing="1"/>
      <w:textAlignment w:val="center"/>
    </w:pPr>
    <w:rPr>
      <w:color w:val="000000"/>
      <w:sz w:val="16"/>
      <w:szCs w:val="16"/>
      <w:lang w:eastAsia="ru-RU"/>
    </w:rPr>
  </w:style>
  <w:style w:type="paragraph" w:styleId="Xl126" w:customStyle="1">
    <w:name w:val="xl126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false"/>
      <w:spacing w:beforeAutospacing="1" w:afterAutospacing="1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127" w:customStyle="1">
    <w:name w:val="xl127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28" w:customStyle="1">
    <w:name w:val="xl128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AEEF3"/>
      <w:suppressAutoHyphens w:val="false"/>
      <w:spacing w:beforeAutospacing="1" w:afterAutospacing="1"/>
      <w:jc w:val="center"/>
      <w:textAlignment w:val="center"/>
    </w:pPr>
    <w:rPr>
      <w:lang w:eastAsia="ru-RU"/>
    </w:rPr>
  </w:style>
  <w:style w:type="paragraph" w:styleId="Xl129" w:customStyle="1">
    <w:name w:val="xl129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b/>
      <w:bCs/>
      <w:color w:val="000000"/>
      <w:lang w:eastAsia="ru-RU"/>
    </w:rPr>
  </w:style>
  <w:style w:type="paragraph" w:styleId="Xl130" w:customStyle="1">
    <w:name w:val="xl130"/>
    <w:basedOn w:val="Normal"/>
    <w:qFormat/>
    <w:rsid w:val="007e04ee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31" w:customStyle="1">
    <w:name w:val="xl131"/>
    <w:basedOn w:val="Normal"/>
    <w:qFormat/>
    <w:rsid w:val="007e04ee"/>
    <w:pPr>
      <w:pBdr>
        <w:left w:val="single" w:sz="4" w:space="0" w:color="000000"/>
        <w:bottom w:val="single" w:sz="4" w:space="0" w:color="000000"/>
        <w:right w:val="single" w:sz="4" w:space="0" w:color="000000"/>
      </w:pBdr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Xl132" w:customStyle="1">
    <w:name w:val="xl132"/>
    <w:basedOn w:val="Normal"/>
    <w:qFormat/>
    <w:rsid w:val="007e04ee"/>
    <w:pPr>
      <w:suppressAutoHyphens w:val="false"/>
      <w:spacing w:beforeAutospacing="1" w:afterAutospacing="1"/>
      <w:jc w:val="center"/>
      <w:textAlignment w:val="center"/>
    </w:pPr>
    <w:rPr>
      <w:b/>
      <w:bCs/>
      <w:color w:val="000000"/>
      <w:sz w:val="16"/>
      <w:szCs w:val="16"/>
      <w:lang w:eastAsia="ru-RU"/>
    </w:rPr>
  </w:style>
  <w:style w:type="paragraph" w:styleId="Xl133" w:customStyle="1">
    <w:name w:val="xl133"/>
    <w:basedOn w:val="Normal"/>
    <w:qFormat/>
    <w:rsid w:val="007e04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uppressAutoHyphens w:val="false"/>
      <w:spacing w:beforeAutospacing="1" w:afterAutospacing="1"/>
      <w:jc w:val="center"/>
      <w:textAlignment w:val="center"/>
    </w:pPr>
    <w:rPr>
      <w:color w:val="000000"/>
      <w:lang w:eastAsia="ru-RU"/>
    </w:rPr>
  </w:style>
  <w:style w:type="paragraph" w:styleId="Style18">
    <w:name w:val="Без интервала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ListParagraph">
    <w:name w:val="List Paragraph"/>
    <w:basedOn w:val="Normal"/>
    <w:qFormat/>
    <w:pPr>
      <w:ind w:left="708" w:right="0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7e04ee"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3637</TotalTime>
  <Application>AlterOffice/2025.3.1.0$Linux_X86_64 LibreOffice_project/6648c49ab2ca125dff246c75ec00a85a64baa8dd</Application>
  <AppVersion>15.0000</AppVersion>
  <Pages>19</Pages>
  <Words>3454</Words>
  <Characters>20832</Characters>
  <CharactersWithSpaces>23745</CharactersWithSpaces>
  <Paragraphs>759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2025-08-20T09:56:00Z</dcterms:created>
  <dc:creator>Архив</dc:creator>
  <dc:description/>
  <dc:language>ru-RU</dc:language>
  <cp:lastModifiedBy>shcherbakovav@corp.gidroogk.com</cp:lastModifiedBy>
  <cp:lastPrinted>2026-08-31T09:31:02Z</cp:lastPrinted>
  <dcterms:modified xsi:type="dcterms:W3CDTF">2026-08-31T16:36:17Z</dcterms:modified>
  <cp:revision>63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