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5.xml" ContentType="application/vnd.openxmlformats-officedocument.wordprocessingml.footer+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ind w:left="0" w:hanging="0"/>
        <w:outlineLvl w:val="0"/>
        <w:rPr>
          <w:sz w:val="22"/>
          <w:szCs w:val="22"/>
        </w:rPr>
      </w:pPr>
      <w:r>
        <w:rPr>
          <w:sz w:val="22"/>
          <w:szCs w:val="22"/>
        </w:rPr>
        <w:t>Договор поставки № _________________</w:t>
      </w:r>
    </w:p>
    <w:p>
      <w:pPr>
        <w:pStyle w:val="Title"/>
        <w:numPr>
          <w:ilvl w:val="0"/>
          <w:numId w:val="0"/>
        </w:numPr>
        <w:ind w:left="0" w:firstLine="567"/>
        <w:outlineLvl w:val="0"/>
        <w:rPr>
          <w:sz w:val="22"/>
          <w:szCs w:val="22"/>
        </w:rPr>
      </w:pPr>
      <w:r>
        <w:rPr>
          <w:sz w:val="22"/>
          <w:szCs w:val="22"/>
        </w:rPr>
      </w:r>
    </w:p>
    <w:p>
      <w:pPr>
        <w:pStyle w:val="Normal"/>
        <w:shd w:val="clear" w:color="auto" w:fill="FFFFFF"/>
        <w:rPr>
          <w:sz w:val="22"/>
          <w:szCs w:val="22"/>
        </w:rPr>
      </w:pPr>
      <w:r>
        <w:rPr>
          <w:sz w:val="22"/>
          <w:szCs w:val="22"/>
        </w:rPr>
        <w:t>г. Волжский</w:t>
        <w:tab/>
        <w:tab/>
        <w:tab/>
        <w:tab/>
        <w:tab/>
        <w:tab/>
        <w:t xml:space="preserve">                            «____» ________________ 2026 г.</w:t>
      </w:r>
    </w:p>
    <w:p>
      <w:pPr>
        <w:pStyle w:val="Normal"/>
        <w:shd w:val="clear" w:color="auto" w:fill="FFFFFF"/>
        <w:ind w:firstLine="567"/>
        <w:jc w:val="both"/>
        <w:rPr>
          <w:sz w:val="22"/>
          <w:szCs w:val="22"/>
        </w:rPr>
      </w:pPr>
      <w:r>
        <w:rPr>
          <w:sz w:val="22"/>
          <w:szCs w:val="22"/>
        </w:rPr>
      </w:r>
    </w:p>
    <w:p>
      <w:pPr>
        <w:pStyle w:val="Normal"/>
        <w:ind w:firstLine="567"/>
        <w:jc w:val="both"/>
        <w:rPr>
          <w:sz w:val="22"/>
          <w:szCs w:val="22"/>
        </w:rPr>
      </w:pPr>
      <w:r>
        <w:rPr>
          <w:b/>
          <w:sz w:val="22"/>
          <w:szCs w:val="22"/>
        </w:rPr>
        <w:t xml:space="preserve">Акционерное общество «Гидроремонт-ВКК» (АО «Гидроремонт-ВКК»), </w:t>
      </w:r>
      <w:r>
        <w:rPr>
          <w:sz w:val="22"/>
          <w:szCs w:val="22"/>
        </w:rPr>
        <w:t>именуемое в дальнейшем «</w:t>
      </w:r>
      <w:r>
        <w:rPr>
          <w:b/>
          <w:sz w:val="22"/>
          <w:szCs w:val="22"/>
        </w:rPr>
        <w:t>Покупатель</w:t>
      </w:r>
      <w:r>
        <w:rPr>
          <w:sz w:val="22"/>
          <w:szCs w:val="22"/>
        </w:rPr>
        <w:t>», в лице ____________________________________, действующего на основании ____________________, с одной стороны, и</w:t>
      </w:r>
    </w:p>
    <w:p>
      <w:pPr>
        <w:pStyle w:val="Normal"/>
        <w:tabs>
          <w:tab w:val="clear" w:pos="720"/>
          <w:tab w:val="left" w:pos="993" w:leader="none"/>
        </w:tabs>
        <w:spacing w:before="0" w:after="0"/>
        <w:ind w:firstLine="567"/>
        <w:contextualSpacing/>
        <w:jc w:val="both"/>
        <w:rPr>
          <w:sz w:val="22"/>
          <w:szCs w:val="22"/>
        </w:rPr>
      </w:pPr>
      <w:r>
        <w:rPr>
          <w:b/>
          <w:sz w:val="22"/>
          <w:szCs w:val="22"/>
        </w:rPr>
        <w:t xml:space="preserve">__________________________, </w:t>
      </w:r>
      <w:r>
        <w:rPr>
          <w:sz w:val="22"/>
          <w:szCs w:val="22"/>
        </w:rPr>
        <w:t>именуемое в дальнейшем</w:t>
      </w:r>
      <w:r>
        <w:rPr>
          <w:b/>
          <w:sz w:val="22"/>
          <w:szCs w:val="22"/>
        </w:rPr>
        <w:t xml:space="preserve"> «Поставщик», </w:t>
      </w:r>
      <w:r>
        <w:rPr>
          <w:sz w:val="22"/>
          <w:szCs w:val="22"/>
        </w:rPr>
        <w:t xml:space="preserve">в лице __________________, действующего на основании ______________,  </w:t>
      </w:r>
    </w:p>
    <w:p>
      <w:pPr>
        <w:pStyle w:val="Normal"/>
        <w:tabs>
          <w:tab w:val="clear" w:pos="720"/>
          <w:tab w:val="left" w:pos="567" w:leader="none"/>
        </w:tabs>
        <w:ind w:firstLine="567"/>
        <w:jc w:val="both"/>
        <w:rPr>
          <w:sz w:val="22"/>
          <w:szCs w:val="22"/>
        </w:rPr>
      </w:pPr>
      <w:r>
        <w:rPr>
          <w:sz w:val="22"/>
          <w:szCs w:val="22"/>
        </w:rPr>
        <w:t xml:space="preserve">совместно в дальнейшем именуемые «Стороны», а по отдельности – «Сторона», по результатам проведенной закупочной процедуры способом </w:t>
      </w:r>
      <w:r>
        <w:rPr>
          <w:sz w:val="22"/>
          <w:szCs w:val="22"/>
        </w:rPr>
        <w:t>______________</w:t>
      </w:r>
      <w:r>
        <w:rPr>
          <w:sz w:val="22"/>
          <w:szCs w:val="22"/>
        </w:rPr>
        <w:t>, лот №</w:t>
      </w:r>
      <w:r>
        <w:rPr>
          <w:sz w:val="22"/>
          <w:szCs w:val="22"/>
        </w:rPr>
        <w:t>__________________________</w:t>
      </w:r>
      <w:r>
        <w:rPr>
          <w:sz w:val="22"/>
          <w:szCs w:val="22"/>
        </w:rPr>
        <w:t>, на основании итогового протокола___________ заключили настоящий договор (далее – «Договор») о нижеследующем:</w:t>
      </w:r>
    </w:p>
    <w:p>
      <w:pPr>
        <w:pStyle w:val="Normal"/>
        <w:ind w:firstLine="567"/>
        <w:jc w:val="both"/>
        <w:rPr>
          <w:sz w:val="22"/>
          <w:szCs w:val="22"/>
        </w:rPr>
      </w:pPr>
      <w:r>
        <w:rPr>
          <w:sz w:val="22"/>
          <w:szCs w:val="22"/>
        </w:rPr>
      </w:r>
    </w:p>
    <w:p>
      <w:pPr>
        <w:pStyle w:val="Normal"/>
        <w:widowControl w:val="false"/>
        <w:numPr>
          <w:ilvl w:val="0"/>
          <w:numId w:val="6"/>
        </w:numPr>
        <w:shd w:val="clear" w:color="auto" w:fill="FFFFFF"/>
        <w:tabs>
          <w:tab w:val="clear" w:pos="720"/>
          <w:tab w:val="left" w:pos="426" w:leader="none"/>
        </w:tabs>
        <w:ind w:left="0" w:hanging="0"/>
        <w:jc w:val="center"/>
        <w:rPr>
          <w:b/>
          <w:bCs/>
          <w:sz w:val="22"/>
          <w:szCs w:val="22"/>
        </w:rPr>
      </w:pPr>
      <w:r>
        <w:rPr>
          <w:b/>
          <w:bCs/>
          <w:sz w:val="22"/>
          <w:szCs w:val="22"/>
        </w:rPr>
        <w:t>Предмет Договора</w:t>
      </w:r>
    </w:p>
    <w:p>
      <w:pPr>
        <w:pStyle w:val="Normal"/>
        <w:widowControl w:val="false"/>
        <w:shd w:val="clear" w:color="auto" w:fill="FFFFFF"/>
        <w:ind w:left="567" w:hanging="0"/>
        <w:rPr>
          <w:b/>
          <w:bCs/>
          <w:sz w:val="22"/>
          <w:szCs w:val="22"/>
        </w:rPr>
      </w:pPr>
      <w:r>
        <w:rPr>
          <w:b/>
          <w:bCs/>
          <w:sz w:val="22"/>
          <w:szCs w:val="22"/>
        </w:rPr>
      </w:r>
    </w:p>
    <w:p>
      <w:pPr>
        <w:pStyle w:val="Title"/>
        <w:numPr>
          <w:ilvl w:val="1"/>
          <w:numId w:val="6"/>
        </w:numPr>
        <w:tabs>
          <w:tab w:val="clear" w:pos="720"/>
          <w:tab w:val="left" w:pos="993" w:leader="none"/>
        </w:tabs>
        <w:spacing w:before="0" w:after="0"/>
        <w:ind w:left="0" w:firstLine="567"/>
        <w:contextualSpacing/>
        <w:jc w:val="both"/>
        <w:rPr>
          <w:b w:val="false"/>
          <w:sz w:val="22"/>
          <w:szCs w:val="22"/>
        </w:rPr>
      </w:pPr>
      <w:r>
        <w:rPr>
          <w:b w:val="false"/>
          <w:sz w:val="22"/>
          <w:szCs w:val="22"/>
        </w:rPr>
        <w:t xml:space="preserve">Поставщик обязуется передать Покупателю </w:t>
      </w:r>
      <w:r>
        <w:rPr>
          <w:b/>
          <w:bCs/>
          <w:sz w:val="22"/>
          <w:szCs w:val="22"/>
        </w:rPr>
        <w:t>керамзит в мешках</w:t>
      </w:r>
      <w:r>
        <w:rPr>
          <w:sz w:val="22"/>
          <w:szCs w:val="22"/>
        </w:rPr>
        <w:t xml:space="preserve"> </w:t>
      </w:r>
      <w:r>
        <w:rPr>
          <w:b w:val="false"/>
          <w:sz w:val="22"/>
          <w:szCs w:val="22"/>
        </w:rPr>
        <w:t>(далее – «Продукция») на условиях, согласованных Сторонами в Договоре, в соответствии со Спецификацией № 1 (</w:t>
      </w:r>
      <w:r>
        <w:rPr>
          <w:sz w:val="22"/>
          <w:szCs w:val="22"/>
        </w:rPr>
        <w:t>Приложение № 1</w:t>
      </w:r>
      <w:r>
        <w:rPr>
          <w:b w:val="false"/>
          <w:sz w:val="22"/>
          <w:szCs w:val="22"/>
        </w:rPr>
        <w:t>), и техническими требованиями (</w:t>
      </w:r>
      <w:r>
        <w:rPr>
          <w:sz w:val="22"/>
          <w:szCs w:val="22"/>
        </w:rPr>
        <w:t>Приложение №2</w:t>
      </w:r>
      <w:r>
        <w:rPr>
          <w:b w:val="false"/>
          <w:sz w:val="22"/>
          <w:szCs w:val="22"/>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540" w:leader="none"/>
          <w:tab w:val="left" w:pos="851" w:leader="none"/>
          <w:tab w:val="left" w:pos="993" w:leader="none"/>
        </w:tabs>
        <w:suppressAutoHyphens w:val="false"/>
        <w:spacing w:before="0" w:after="0"/>
        <w:ind w:left="0" w:firstLine="567"/>
        <w:contextualSpacing w:val="false"/>
        <w:jc w:val="both"/>
        <w:rPr>
          <w:shd w:fill="FFFFFF" w:val="clear"/>
        </w:rPr>
      </w:pPr>
      <w:r>
        <w:rPr>
          <w:sz w:val="22"/>
          <w:szCs w:val="22"/>
          <w:shd w:fill="FFFFFF" w:val="clear"/>
        </w:rPr>
        <w:t>Поставка осуществляется партиями.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Поставка по Договору выполняется для нужд Волжского филиала АО «Гидроремонт-ВКК» в г. Волжский.</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Место поставки: РФ, Волгоградская обл., г. Волжский, пр-т Ленина, д. 1А (далее – «Место поставки»).</w:t>
      </w:r>
    </w:p>
    <w:p>
      <w:pPr>
        <w:pStyle w:val="ListParagraph"/>
        <w:numPr>
          <w:ilvl w:val="1"/>
          <w:numId w:val="6"/>
        </w:numPr>
        <w:shd w:val="clear" w:color="auto" w:fill="FFFFFF"/>
        <w:tabs>
          <w:tab w:val="clear" w:pos="720"/>
          <w:tab w:val="left" w:pos="142" w:leader="none"/>
          <w:tab w:val="left" w:pos="540" w:leader="none"/>
          <w:tab w:val="left" w:pos="993" w:leader="none"/>
        </w:tabs>
        <w:ind w:left="0" w:firstLine="567"/>
        <w:jc w:val="both"/>
        <w:rPr>
          <w:sz w:val="22"/>
          <w:szCs w:val="22"/>
        </w:rPr>
      </w:pPr>
      <w:r>
        <w:rPr>
          <w:sz w:val="22"/>
          <w:szCs w:val="22"/>
        </w:rPr>
        <w:t xml:space="preserve">Срок поставки Продукции по Договору: согласно календарного графика </w:t>
      </w:r>
      <w:r>
        <w:rPr>
          <w:b/>
          <w:bCs/>
          <w:sz w:val="22"/>
          <w:szCs w:val="22"/>
        </w:rPr>
        <w:t>(приложение №3)</w:t>
      </w:r>
      <w:r>
        <w:rPr>
          <w:sz w:val="22"/>
          <w:szCs w:val="22"/>
        </w:rPr>
        <w:t>.</w:t>
      </w:r>
    </w:p>
    <w:p>
      <w:pPr>
        <w:pStyle w:val="ListParagraph"/>
        <w:shd w:val="clear" w:color="auto" w:fill="FFFFFF"/>
        <w:tabs>
          <w:tab w:val="clear" w:pos="720"/>
          <w:tab w:val="left" w:pos="540" w:leader="none"/>
          <w:tab w:val="left" w:pos="1425" w:leader="none"/>
        </w:tabs>
        <w:spacing w:before="0" w:after="0"/>
        <w:ind w:left="0" w:firstLine="567"/>
        <w:contextualSpacing w:val="false"/>
        <w:jc w:val="both"/>
        <w:rPr>
          <w:sz w:val="22"/>
          <w:szCs w:val="22"/>
        </w:rPr>
      </w:pPr>
      <w:r>
        <w:rPr>
          <w:sz w:val="22"/>
          <w:szCs w:val="22"/>
        </w:rPr>
      </w:r>
      <w:bookmarkStart w:id="0" w:name="_GoBack"/>
      <w:bookmarkStart w:id="1" w:name="_GoBack"/>
      <w:bookmarkEnd w:id="1"/>
    </w:p>
    <w:p>
      <w:pPr>
        <w:pStyle w:val="Normal"/>
        <w:widowControl w:val="false"/>
        <w:numPr>
          <w:ilvl w:val="0"/>
          <w:numId w:val="6"/>
        </w:numPr>
        <w:shd w:val="clear" w:color="auto" w:fill="FFFFFF"/>
        <w:tabs>
          <w:tab w:val="clear" w:pos="720"/>
          <w:tab w:val="left" w:pos="426" w:leader="none"/>
        </w:tabs>
        <w:ind w:left="0" w:hanging="0"/>
        <w:jc w:val="center"/>
        <w:rPr>
          <w:b/>
          <w:sz w:val="22"/>
          <w:szCs w:val="22"/>
        </w:rPr>
      </w:pPr>
      <w:r>
        <w:rPr>
          <w:b/>
          <w:sz w:val="22"/>
          <w:szCs w:val="22"/>
        </w:rPr>
        <w:t>Цена Договора и порядок оплаты</w:t>
      </w:r>
    </w:p>
    <w:p>
      <w:pPr>
        <w:pStyle w:val="Normal"/>
        <w:widowControl w:val="false"/>
        <w:shd w:val="clear" w:color="auto" w:fill="FFFFFF"/>
        <w:rPr>
          <w:b/>
          <w:sz w:val="22"/>
          <w:szCs w:val="22"/>
        </w:rPr>
      </w:pPr>
      <w:r>
        <w:rPr>
          <w:b/>
          <w:sz w:val="22"/>
          <w:szCs w:val="22"/>
        </w:rPr>
      </w:r>
    </w:p>
    <w:p>
      <w:pPr>
        <w:pStyle w:val="ListParagraph"/>
        <w:numPr>
          <w:ilvl w:val="1"/>
          <w:numId w:val="6"/>
        </w:numPr>
        <w:shd w:val="clear" w:color="auto" w:fill="FFFFFF"/>
        <w:tabs>
          <w:tab w:val="clear" w:pos="720"/>
          <w:tab w:val="left" w:pos="851" w:leader="none"/>
          <w:tab w:val="left" w:pos="993" w:leader="none"/>
        </w:tabs>
        <w:spacing w:before="0" w:after="0"/>
        <w:ind w:left="0" w:firstLine="567"/>
        <w:contextualSpacing w:val="false"/>
        <w:jc w:val="both"/>
        <w:rPr>
          <w:sz w:val="22"/>
          <w:szCs w:val="22"/>
        </w:rPr>
      </w:pPr>
      <w:r>
        <w:rPr>
          <w:sz w:val="22"/>
          <w:szCs w:val="22"/>
        </w:rPr>
        <w:t>Общая стоимость Продукции (далее – «Цена Договора») составляет _________</w:t>
      </w:r>
      <w:r>
        <w:rPr>
          <w:b/>
          <w:bCs/>
          <w:sz w:val="22"/>
          <w:szCs w:val="22"/>
        </w:rPr>
        <w:t xml:space="preserve"> (__________) рублей ___ копеек с НДС 22% (двадцать два процента)</w:t>
      </w:r>
      <w:r>
        <w:rPr>
          <w:sz w:val="22"/>
          <w:szCs w:val="22"/>
        </w:rPr>
        <w:t>.</w:t>
      </w:r>
    </w:p>
    <w:p>
      <w:pPr>
        <w:pStyle w:val="ListParagraph"/>
        <w:numPr>
          <w:ilvl w:val="1"/>
          <w:numId w:val="6"/>
        </w:numPr>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 xml:space="preserve">Цена Договора включает в себя </w:t>
      </w:r>
      <w:r>
        <w:rPr>
          <w:bCs/>
          <w:sz w:val="22"/>
          <w:szCs w:val="22"/>
        </w:rPr>
        <w:t xml:space="preserve">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2"/>
          <w:szCs w:val="22"/>
        </w:rPr>
        <w:t xml:space="preserve">подлежащие уплате налоги, сборы и пошлины (в т.ч. по таможенному оформлению, если применимо), </w:t>
      </w:r>
      <w:r>
        <w:rPr>
          <w:bCs/>
          <w:sz w:val="22"/>
          <w:szCs w:val="22"/>
        </w:rPr>
        <w:t xml:space="preserve">а также </w:t>
      </w:r>
      <w:r>
        <w:rPr>
          <w:sz w:val="22"/>
          <w:szCs w:val="22"/>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Цена единицы Продукции определена в Спецификации,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Стоимость единицы Продукции определяется в Спецификации (Приложение № 1).</w:t>
      </w:r>
    </w:p>
    <w:p>
      <w:pPr>
        <w:pStyle w:val="ListParagraph"/>
        <w:numPr>
          <w:ilvl w:val="1"/>
          <w:numId w:val="6"/>
        </w:numPr>
        <w:shd w:val="clear" w:color="auto" w:fill="FFFFFF"/>
        <w:tabs>
          <w:tab w:val="clear" w:pos="720"/>
          <w:tab w:val="left" w:pos="0" w:leader="none"/>
          <w:tab w:val="left" w:pos="851" w:leader="none"/>
          <w:tab w:val="left" w:pos="993" w:leader="none"/>
        </w:tabs>
        <w:spacing w:before="0" w:after="0"/>
        <w:ind w:left="0" w:firstLine="567"/>
        <w:contextualSpacing w:val="false"/>
        <w:jc w:val="both"/>
        <w:rPr>
          <w:sz w:val="22"/>
          <w:szCs w:val="22"/>
        </w:rPr>
      </w:pPr>
      <w:r>
        <w:rPr>
          <w:sz w:val="22"/>
          <w:szCs w:val="22"/>
        </w:rPr>
        <w:t>Оплата в соответствии с Договором осуществляется следующим образом:</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 xml:space="preserve">2.5.1. Платеж в размере 100% (сто процентов) стоимости поставленной партии Продукции производится Покупателем в срок, не превышающий 7 (семь) рабочих дней с даты подписания Товарной накладной по форме ТОРГ-12 или Универсального передаточного документа (УПД) на соответствующую Продукцию, при условии получения счета, выставленного Поставщиком с учетом п. 2.6. Договора. </w:t>
      </w:r>
    </w:p>
    <w:p>
      <w:pPr>
        <w:pStyle w:val="ListParagraph"/>
        <w:shd w:val="clear" w:color="auto" w:fill="FFFFFF"/>
        <w:tabs>
          <w:tab w:val="clear" w:pos="720"/>
          <w:tab w:val="left" w:pos="567" w:leader="none"/>
          <w:tab w:val="left" w:pos="1440" w:leader="none"/>
        </w:tabs>
        <w:ind w:left="0" w:firstLine="567"/>
        <w:jc w:val="both"/>
        <w:rPr>
          <w:sz w:val="22"/>
          <w:szCs w:val="22"/>
        </w:rPr>
      </w:pPr>
      <w:r>
        <w:rPr>
          <w:sz w:val="22"/>
          <w:szCs w:val="22"/>
        </w:rPr>
        <w:t>2.5.2.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Поставщиком Продукции.</w:t>
      </w:r>
    </w:p>
    <w:p>
      <w:pPr>
        <w:pStyle w:val="ListParagraph"/>
        <w:numPr>
          <w:ilvl w:val="1"/>
          <w:numId w:val="12"/>
        </w:numPr>
        <w:shd w:val="clear" w:color="auto" w:fill="FFFFFF"/>
        <w:tabs>
          <w:tab w:val="clear" w:pos="720"/>
          <w:tab w:val="left" w:pos="480" w:leader="none"/>
          <w:tab w:val="left" w:pos="851" w:leader="none"/>
          <w:tab w:val="left" w:pos="993" w:leader="none"/>
        </w:tabs>
        <w:spacing w:before="0" w:after="0"/>
        <w:ind w:left="0" w:firstLine="567"/>
        <w:contextualSpacing w:val="false"/>
        <w:jc w:val="both"/>
        <w:rPr>
          <w:sz w:val="22"/>
          <w:szCs w:val="22"/>
        </w:rPr>
      </w:pPr>
      <w:r>
        <w:rPr>
          <w:sz w:val="22"/>
          <w:szCs w:val="22"/>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14"/>
        </w:numPr>
        <w:shd w:val="clear" w:color="auto" w:fill="FFFFFF"/>
        <w:tabs>
          <w:tab w:val="clear" w:pos="720"/>
          <w:tab w:val="left" w:pos="1134" w:leader="none"/>
        </w:tabs>
        <w:spacing w:before="0" w:after="0"/>
        <w:ind w:left="0" w:firstLine="567"/>
        <w:contextualSpacing/>
        <w:jc w:val="both"/>
        <w:rPr>
          <w:sz w:val="22"/>
          <w:szCs w:val="22"/>
        </w:rPr>
      </w:pPr>
      <w:r>
        <w:rPr>
          <w:sz w:val="22"/>
          <w:szCs w:val="22"/>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widowControl w:val="false"/>
        <w:numPr>
          <w:ilvl w:val="1"/>
          <w:numId w:val="14"/>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14"/>
        </w:numPr>
        <w:shd w:val="clear" w:color="auto" w:fill="FFFFFF"/>
        <w:tabs>
          <w:tab w:val="clear" w:pos="720"/>
          <w:tab w:val="left" w:pos="1134" w:leader="none"/>
          <w:tab w:val="left" w:pos="1425" w:leader="none"/>
        </w:tabs>
        <w:spacing w:before="0" w:after="0"/>
        <w:ind w:left="0" w:firstLine="567"/>
        <w:contextualSpacing/>
        <w:jc w:val="both"/>
        <w:rPr>
          <w:sz w:val="22"/>
          <w:szCs w:val="22"/>
        </w:rPr>
      </w:pPr>
      <w:r>
        <w:rPr>
          <w:sz w:val="22"/>
          <w:szCs w:val="22"/>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счетов-фактур/УПД,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 w:val="left" w:pos="1134" w:leader="none"/>
        </w:tabs>
        <w:spacing w:before="0" w:after="0"/>
        <w:ind w:firstLine="567"/>
        <w:contextualSpacing/>
        <w:jc w:val="both"/>
        <w:rPr>
          <w:sz w:val="22"/>
          <w:szCs w:val="22"/>
        </w:rPr>
      </w:pPr>
      <w:r>
        <w:rPr>
          <w:sz w:val="22"/>
          <w:szCs w:val="22"/>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 w:val="left" w:pos="1134" w:leader="none"/>
        </w:tabs>
        <w:spacing w:before="0" w:after="0"/>
        <w:ind w:left="0" w:firstLine="567"/>
        <w:contextualSpacing/>
        <w:jc w:val="both"/>
        <w:rPr>
          <w:sz w:val="22"/>
          <w:szCs w:val="22"/>
        </w:rPr>
      </w:pPr>
      <w:r>
        <w:rPr>
          <w:sz w:val="22"/>
          <w:szCs w:val="22"/>
        </w:rPr>
        <w:t>обязательство Покупателя, по которому произошла задержка, не является денежным.</w:t>
      </w:r>
    </w:p>
    <w:p>
      <w:pPr>
        <w:pStyle w:val="ListParagraph"/>
        <w:numPr>
          <w:ilvl w:val="1"/>
          <w:numId w:val="14"/>
        </w:numPr>
        <w:tabs>
          <w:tab w:val="clear" w:pos="720"/>
          <w:tab w:val="left" w:pos="851" w:leader="none"/>
          <w:tab w:val="left" w:pos="993" w:leader="none"/>
          <w:tab w:val="left" w:pos="1134" w:leader="none"/>
        </w:tabs>
        <w:ind w:left="0" w:firstLine="567"/>
        <w:jc w:val="both"/>
        <w:rPr>
          <w:sz w:val="22"/>
          <w:szCs w:val="22"/>
        </w:rPr>
      </w:pPr>
      <w:r>
        <w:rPr>
          <w:sz w:val="22"/>
          <w:szCs w:val="22"/>
        </w:rPr>
        <w:t>Изменение стоимости Продукции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4"/>
        </w:numPr>
        <w:tabs>
          <w:tab w:val="clear" w:pos="720"/>
          <w:tab w:val="left" w:pos="851" w:leader="none"/>
          <w:tab w:val="left" w:pos="1134" w:leader="none"/>
        </w:tabs>
        <w:ind w:left="0" w:firstLine="567"/>
        <w:jc w:val="both"/>
        <w:rPr>
          <w:sz w:val="22"/>
          <w:szCs w:val="22"/>
        </w:rPr>
      </w:pPr>
      <w:r>
        <w:rPr>
          <w:sz w:val="22"/>
          <w:szCs w:val="22"/>
        </w:rPr>
        <w:t>Индексация Цены Договора не допускается.</w:t>
      </w:r>
    </w:p>
    <w:p>
      <w:pPr>
        <w:pStyle w:val="ListParagraph"/>
        <w:tabs>
          <w:tab w:val="clear" w:pos="720"/>
          <w:tab w:val="left" w:pos="851" w:leader="none"/>
          <w:tab w:val="left" w:pos="1425" w:leader="none"/>
        </w:tabs>
        <w:spacing w:before="0" w:after="0"/>
        <w:ind w:left="567" w:hanging="0"/>
        <w:contextualSpacing w:val="false"/>
        <w:jc w:val="both"/>
        <w:rPr>
          <w:sz w:val="22"/>
          <w:szCs w:val="22"/>
        </w:rPr>
      </w:pPr>
      <w:r>
        <w:rPr>
          <w:sz w:val="22"/>
          <w:szCs w:val="22"/>
        </w:rPr>
      </w:r>
    </w:p>
    <w:p>
      <w:pPr>
        <w:pStyle w:val="Normal"/>
        <w:widowControl w:val="false"/>
        <w:numPr>
          <w:ilvl w:val="0"/>
          <w:numId w:val="12"/>
        </w:numPr>
        <w:shd w:val="clear" w:color="auto" w:fill="FFFFFF"/>
        <w:ind w:left="0" w:hanging="0"/>
        <w:jc w:val="center"/>
        <w:rPr>
          <w:b/>
          <w:sz w:val="22"/>
          <w:szCs w:val="22"/>
        </w:rPr>
      </w:pPr>
      <w:r>
        <w:rPr>
          <w:b/>
          <w:sz w:val="22"/>
          <w:szCs w:val="22"/>
        </w:rPr>
        <w:t>Качество, количество и комплектность</w:t>
      </w:r>
    </w:p>
    <w:p>
      <w:pPr>
        <w:pStyle w:val="Normal"/>
        <w:widowControl w:val="false"/>
        <w:shd w:val="clear" w:color="auto" w:fill="FFFFFF"/>
        <w:ind w:left="567" w:hanging="0"/>
        <w:rPr>
          <w:b/>
          <w:sz w:val="22"/>
          <w:szCs w:val="22"/>
        </w:rPr>
      </w:pPr>
      <w:r>
        <w:rPr>
          <w:b/>
          <w:sz w:val="22"/>
          <w:szCs w:val="22"/>
        </w:rPr>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Сертификаты качества на материалы согласно чертежей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Паспорт на изделие со штампом отдела технического контроля (ОТК)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Инструкция по эксплуатации (монтажу и т.п.) на русском языке в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Упаковочный лист на Продукцию 2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0"/>
        <w:ind w:left="0" w:firstLine="567"/>
        <w:contextualSpacing/>
        <w:jc w:val="both"/>
        <w:rPr>
          <w:sz w:val="22"/>
          <w:szCs w:val="22"/>
        </w:rPr>
      </w:pPr>
      <w:r>
        <w:rPr>
          <w:sz w:val="22"/>
          <w:szCs w:val="22"/>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pPr>
        <w:pStyle w:val="Normal"/>
        <w:widowControl w:val="false"/>
        <w:numPr>
          <w:ilvl w:val="0"/>
          <w:numId w:val="5"/>
        </w:numPr>
        <w:shd w:val="clear" w:color="auto" w:fill="FFFFFF"/>
        <w:tabs>
          <w:tab w:val="left" w:pos="720" w:leader="none"/>
          <w:tab w:val="left" w:pos="1134" w:leader="none"/>
          <w:tab w:val="left" w:pos="1276" w:leader="none"/>
        </w:tabs>
        <w:spacing w:before="0" w:after="0"/>
        <w:ind w:left="0" w:firstLine="567"/>
        <w:contextualSpacing/>
        <w:jc w:val="both"/>
        <w:rPr>
          <w:sz w:val="22"/>
          <w:szCs w:val="22"/>
        </w:rPr>
      </w:pPr>
      <w:r>
        <w:rPr>
          <w:sz w:val="22"/>
          <w:szCs w:val="22"/>
        </w:rPr>
        <w:t>Товарную накладную по форме ТОРГ-12 или Универсальный передаточный документ (УПД) в 2 экз.</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В случае отсутствия указанных в п. 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2"/>
          <w:szCs w:val="22"/>
        </w:rPr>
        <w:t>товарно-транспортную накладную формы № 1-Т или Железнодорожную накладную (форма № ГУ-27).</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Поставщик обязан обеспечить присутствие во время приемки Продукцию и в месте поставки своего представителя, уполномоченного надлежащим образом оформленной доверенностью на передачу Продукции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Продукцию,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Оригинал доверенности представителя Поставщика подлежит передаче Покупателю.</w:t>
      </w:r>
    </w:p>
    <w:p>
      <w:pPr>
        <w:pStyle w:val="Normal"/>
        <w:widowControl w:val="false"/>
        <w:numPr>
          <w:ilvl w:val="1"/>
          <w:numId w:val="4"/>
        </w:numPr>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неявки представителя Поставщика и / или его отказа от подписания Акта рекламации при приемке Продукции,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2"/>
          <w:szCs w:val="22"/>
        </w:rPr>
        <w:t>товарно-транспортной накладной по форме № 1-Т) или Железнодорожной накладной (форма № ГУ-27)</w:t>
      </w:r>
      <w:r>
        <w:rPr>
          <w:sz w:val="22"/>
          <w:szCs w:val="22"/>
        </w:rPr>
        <w:t xml:space="preserve">. В случае отсутствия замечаний Покупатель подписывает </w:t>
      </w:r>
      <w:r>
        <w:rPr>
          <w:color w:val="000000"/>
          <w:sz w:val="22"/>
          <w:szCs w:val="22"/>
        </w:rPr>
        <w:t>товарную накладную унифицированной формы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невыполнении Поставщиком требований п.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случае, когда Продукция, комплектующие, принадлежности или документы, относящиеся к Продукции, не переданы Поставщиком в сроки, указанные в п. 3.4, 3.9 Договора, Покупатель вправе отказаться от Продукции, а Поставщик обязан не позднее 10 (Десяти) рабочих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rFonts w:eastAsia="Calibri"/>
          <w:sz w:val="22"/>
          <w:szCs w:val="22"/>
          <w:lang w:eastAsia="en-US"/>
        </w:rPr>
        <w:t>Поставщик обязан установить на продукцию</w:t>
      </w:r>
      <w:r>
        <w:rPr>
          <w:rFonts w:eastAsia="Calibri"/>
          <w:sz w:val="22"/>
          <w:szCs w:val="22"/>
          <w:shd w:fill="auto" w:val="clear"/>
          <w:lang w:eastAsia="en-US"/>
        </w:rPr>
        <w:t xml:space="preserve"> гарантийный срок 36 (Тридцать шесть) месяцев с подписания Сторонами соответствующей товарной накладной по форме ТОРГ-12 или Универса</w:t>
      </w:r>
      <w:r>
        <w:rPr>
          <w:rFonts w:eastAsia="Calibri"/>
          <w:sz w:val="22"/>
          <w:szCs w:val="22"/>
          <w:lang w:eastAsia="en-US"/>
        </w:rPr>
        <w:t>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r>
        <w:rPr>
          <w:sz w:val="22"/>
          <w:szCs w:val="22"/>
        </w:rPr>
        <w:t>.</w:t>
      </w:r>
    </w:p>
    <w:p>
      <w:pPr>
        <w:pStyle w:val="Normal"/>
        <w:tabs>
          <w:tab w:val="clear" w:pos="720"/>
          <w:tab w:val="left" w:pos="1134" w:leader="none"/>
          <w:tab w:val="left" w:pos="1276" w:leader="none"/>
        </w:tabs>
        <w:spacing w:before="0" w:after="0"/>
        <w:ind w:firstLine="567"/>
        <w:contextualSpacing/>
        <w:jc w:val="both"/>
        <w:rPr>
          <w:sz w:val="22"/>
          <w:szCs w:val="22"/>
        </w:rPr>
      </w:pPr>
      <w:r>
        <w:rPr>
          <w:sz w:val="22"/>
          <w:szCs w:val="22"/>
        </w:rPr>
        <w:t>Установленный в отношении Продукции Гарантийный срок распространяется на все составные части и комплектующие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2"/>
          <w:szCs w:val="22"/>
        </w:rPr>
        <w:t>Покупателем в соответствии с п. 3.17. Договора</w:t>
      </w:r>
      <w:bookmarkEnd w:id="2"/>
      <w:bookmarkEnd w:id="3"/>
      <w:r>
        <w:rPr>
          <w:sz w:val="22"/>
          <w:szCs w:val="22"/>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Если Поставщик не устранит недостатки в срок, установленный согласно п. 3.17.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3.15.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0"/>
        <w:ind w:left="0" w:firstLine="567"/>
        <w:contextualSpacing/>
        <w:jc w:val="both"/>
        <w:rPr>
          <w:sz w:val="22"/>
          <w:szCs w:val="22"/>
        </w:rPr>
      </w:pPr>
      <w:r>
        <w:rPr>
          <w:sz w:val="22"/>
          <w:szCs w:val="22"/>
        </w:rPr>
        <w:t>Устранение недостатков Продукции или возврат ее стоимости, в том числе в рамках срока, установленного в соответствии с п. 3.13.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shd w:val="clear" w:color="auto" w:fill="FFFFFF"/>
        <w:tabs>
          <w:tab w:val="clear" w:pos="720"/>
          <w:tab w:val="left" w:pos="1134" w:leader="none"/>
          <w:tab w:val="left" w:pos="1276" w:leader="none"/>
        </w:tabs>
        <w:ind w:left="567" w:hanging="0"/>
        <w:jc w:val="both"/>
        <w:rPr>
          <w:sz w:val="22"/>
          <w:szCs w:val="22"/>
        </w:rPr>
      </w:pPr>
      <w:r>
        <w:rPr>
          <w:sz w:val="22"/>
          <w:szCs w:val="22"/>
        </w:rPr>
      </w:r>
    </w:p>
    <w:p>
      <w:pPr>
        <w:pStyle w:val="Normal"/>
        <w:widowControl w:val="false"/>
        <w:numPr>
          <w:ilvl w:val="0"/>
          <w:numId w:val="12"/>
        </w:numPr>
        <w:shd w:val="clear" w:color="auto" w:fill="FFFFFF"/>
        <w:ind w:left="0" w:hanging="0"/>
        <w:jc w:val="center"/>
        <w:rPr>
          <w:b/>
          <w:sz w:val="22"/>
          <w:szCs w:val="22"/>
        </w:rPr>
      </w:pPr>
      <w:r>
        <w:rPr>
          <w:b/>
          <w:sz w:val="22"/>
          <w:szCs w:val="22"/>
        </w:rPr>
        <w:t>Тара, упаковка, маркировка</w:t>
      </w:r>
    </w:p>
    <w:p>
      <w:pPr>
        <w:pStyle w:val="Normal"/>
        <w:widowControl w:val="false"/>
        <w:shd w:val="clear" w:color="auto" w:fill="FFFFFF"/>
        <w:rPr>
          <w:b/>
          <w:sz w:val="22"/>
          <w:szCs w:val="22"/>
        </w:rPr>
      </w:pPr>
      <w:r>
        <w:rPr>
          <w:b/>
          <w:sz w:val="22"/>
          <w:szCs w:val="22"/>
        </w:rPr>
      </w:r>
    </w:p>
    <w:p>
      <w:pPr>
        <w:pStyle w:val="ListParagraph"/>
        <w:numPr>
          <w:ilvl w:val="0"/>
          <w:numId w:val="4"/>
        </w:numPr>
        <w:shd w:val="clear" w:color="auto" w:fill="FFFFFF"/>
        <w:tabs>
          <w:tab w:val="clear" w:pos="720"/>
          <w:tab w:val="left" w:pos="993" w:leader="none"/>
          <w:tab w:val="left" w:pos="1418" w:leader="none"/>
        </w:tabs>
        <w:jc w:val="both"/>
        <w:rPr>
          <w:vanish/>
          <w:sz w:val="22"/>
          <w:szCs w:val="22"/>
        </w:rPr>
      </w:pPr>
      <w:r>
        <w:rPr>
          <w:vanish/>
          <w:sz w:val="22"/>
          <w:szCs w:val="22"/>
        </w:rPr>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4.1 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4.2 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4.3 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 брутто/нетто каждого места;</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наименование Продукции;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номера мест и их общее количество;</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весогабаритные характеристики мест;</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центр тяжести;</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условия хранения;</w:t>
      </w:r>
    </w:p>
    <w:p>
      <w:pPr>
        <w:pStyle w:val="Normal"/>
        <w:widowControl w:val="false"/>
        <w:numPr>
          <w:ilvl w:val="0"/>
          <w:numId w:val="5"/>
        </w:numPr>
        <w:shd w:val="clear" w:color="auto" w:fill="FFFFFF"/>
        <w:tabs>
          <w:tab w:val="clear" w:pos="720"/>
          <w:tab w:val="left" w:pos="993" w:leader="none"/>
          <w:tab w:val="left" w:pos="1276" w:leader="none"/>
          <w:tab w:val="left" w:pos="1418" w:leader="none"/>
        </w:tabs>
        <w:spacing w:before="0" w:after="0"/>
        <w:ind w:left="0" w:firstLine="567"/>
        <w:contextualSpacing/>
        <w:jc w:val="both"/>
        <w:rPr>
          <w:sz w:val="22"/>
          <w:szCs w:val="22"/>
        </w:rPr>
      </w:pPr>
      <w:r>
        <w:rPr>
          <w:sz w:val="22"/>
          <w:szCs w:val="22"/>
        </w:rPr>
        <w:t>обозначения типа «не бросать» и другие обычно используемые обозначения.</w:t>
      </w:r>
    </w:p>
    <w:p>
      <w:pPr>
        <w:pStyle w:val="Normal"/>
        <w:widowControl w:val="false"/>
        <w:shd w:val="clear" w:color="auto" w:fill="FFFFFF"/>
        <w:tabs>
          <w:tab w:val="clear" w:pos="720"/>
          <w:tab w:val="left" w:pos="993" w:leader="none"/>
          <w:tab w:val="left" w:pos="1276" w:leader="none"/>
          <w:tab w:val="left" w:pos="1418" w:leader="none"/>
        </w:tabs>
        <w:spacing w:before="0" w:after="0"/>
        <w:contextualSpacing/>
        <w:jc w:val="both"/>
        <w:rPr>
          <w:sz w:val="22"/>
          <w:szCs w:val="22"/>
        </w:rPr>
      </w:pPr>
      <w:r>
        <w:rPr>
          <w:sz w:val="22"/>
          <w:szCs w:val="22"/>
        </w:rPr>
        <w:t xml:space="preserve">        </w:t>
      </w:r>
      <w:r>
        <w:rPr>
          <w:sz w:val="22"/>
          <w:szCs w:val="22"/>
        </w:rPr>
        <w:t>4.4 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ind w:firstLine="567"/>
        <w:jc w:val="both"/>
        <w:rPr>
          <w:sz w:val="22"/>
          <w:szCs w:val="22"/>
        </w:rPr>
      </w:pPr>
      <w:r>
        <w:rPr>
          <w:sz w:val="22"/>
          <w:szCs w:val="22"/>
        </w:rPr>
      </w:r>
    </w:p>
    <w:p>
      <w:pPr>
        <w:pStyle w:val="Normal"/>
        <w:widowControl w:val="false"/>
        <w:numPr>
          <w:ilvl w:val="0"/>
          <w:numId w:val="13"/>
        </w:numPr>
        <w:shd w:val="clear" w:color="auto" w:fill="FFFFFF"/>
        <w:jc w:val="center"/>
        <w:rPr>
          <w:b/>
          <w:sz w:val="22"/>
          <w:szCs w:val="22"/>
        </w:rPr>
      </w:pPr>
      <w:r>
        <w:rPr>
          <w:b/>
          <w:sz w:val="22"/>
          <w:szCs w:val="22"/>
        </w:rPr>
        <w:t>Сроки, порядок и условия поставки, переход права собственности</w:t>
      </w:r>
    </w:p>
    <w:p>
      <w:pPr>
        <w:pStyle w:val="Normal"/>
        <w:widowControl w:val="false"/>
        <w:shd w:val="clear" w:color="auto" w:fill="FFFFFF"/>
        <w:ind w:left="567" w:hanging="0"/>
        <w:rPr>
          <w:b/>
          <w:sz w:val="22"/>
          <w:szCs w:val="22"/>
        </w:rPr>
      </w:pPr>
      <w:r>
        <w:rPr>
          <w:b/>
          <w:sz w:val="22"/>
          <w:szCs w:val="22"/>
        </w:rPr>
      </w:r>
    </w:p>
    <w:p>
      <w:pPr>
        <w:pStyle w:val="ListParagraph"/>
        <w:numPr>
          <w:ilvl w:val="1"/>
          <w:numId w:val="13"/>
        </w:numPr>
        <w:tabs>
          <w:tab w:val="clear" w:pos="720"/>
          <w:tab w:val="left" w:pos="993" w:leader="none"/>
        </w:tabs>
        <w:spacing w:before="0" w:after="0"/>
        <w:ind w:left="0" w:firstLine="567"/>
        <w:contextualSpacing w:val="false"/>
        <w:jc w:val="both"/>
        <w:rPr>
          <w:shd w:fill="FFFFFF" w:val="clear"/>
        </w:rPr>
      </w:pPr>
      <w:r>
        <w:rPr>
          <w:sz w:val="22"/>
          <w:szCs w:val="22"/>
          <w:shd w:fill="FFFFFF" w:val="clear"/>
        </w:rPr>
        <w:t>Поставка Продукции по Договору осуществляется Поставщиком, согласно п. 1.2 Договора, в Место поставки согласно п. 1.4. Договора. Доставка Продукции осуществляется Поставщиком.</w:t>
      </w:r>
    </w:p>
    <w:p>
      <w:pPr>
        <w:pStyle w:val="Normal"/>
        <w:widowControl w:val="false"/>
        <w:numPr>
          <w:ilvl w:val="1"/>
          <w:numId w:val="13"/>
        </w:numPr>
        <w:shd w:val="clear" w:color="auto" w:fill="FFFFFF"/>
        <w:tabs>
          <w:tab w:val="clear" w:pos="720"/>
          <w:tab w:val="left" w:pos="993" w:leader="none"/>
        </w:tabs>
        <w:ind w:left="0" w:firstLine="567"/>
        <w:jc w:val="both"/>
        <w:rPr>
          <w:shd w:fill="FFFFFF" w:val="clear"/>
        </w:rPr>
      </w:pPr>
      <w:r>
        <w:rPr>
          <w:sz w:val="22"/>
          <w:szCs w:val="22"/>
          <w:shd w:fill="FFFFFF" w:val="clear"/>
        </w:rPr>
        <w:t>Поставщик обязан уведомить Покупателя о дате поставки Продукции не позднее, чем за 2 (Два) календарных дня до даты поставки.</w:t>
      </w:r>
    </w:p>
    <w:p>
      <w:pPr>
        <w:pStyle w:val="Normal"/>
        <w:widowControl w:val="false"/>
        <w:numPr>
          <w:ilvl w:val="1"/>
          <w:numId w:val="13"/>
        </w:numPr>
        <w:shd w:val="clear" w:color="auto" w:fill="FFFFFF"/>
        <w:tabs>
          <w:tab w:val="clear" w:pos="720"/>
          <w:tab w:val="left" w:pos="993" w:leader="none"/>
        </w:tabs>
        <w:ind w:left="0" w:firstLine="567"/>
        <w:jc w:val="both"/>
        <w:rPr>
          <w:shd w:fill="FFFFFF" w:val="clear"/>
        </w:rPr>
      </w:pPr>
      <w:r>
        <w:rPr>
          <w:sz w:val="22"/>
          <w:szCs w:val="22"/>
          <w:shd w:fill="FFFFFF" w:val="clear"/>
        </w:rPr>
        <w:t xml:space="preserve">Право собственности на Продукцию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и датой перехода риска случайной гибели или повреждения Продукции считается дата подписания Покупателем Товарной накладной по форме ТОРГ-12 или УПД. </w:t>
      </w:r>
    </w:p>
    <w:p>
      <w:pPr>
        <w:pStyle w:val="Normal"/>
        <w:widowControl w:val="false"/>
        <w:numPr>
          <w:ilvl w:val="1"/>
          <w:numId w:val="13"/>
        </w:numPr>
        <w:shd w:val="clear" w:color="auto" w:fill="FFFFFF"/>
        <w:tabs>
          <w:tab w:val="clear" w:pos="720"/>
          <w:tab w:val="left" w:pos="993" w:leader="none"/>
        </w:tabs>
        <w:ind w:left="0" w:firstLine="567"/>
        <w:jc w:val="both"/>
        <w:rPr>
          <w:sz w:val="22"/>
          <w:szCs w:val="22"/>
        </w:rPr>
      </w:pPr>
      <w:r>
        <w:rPr>
          <w:sz w:val="22"/>
          <w:szCs w:val="22"/>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13"/>
        </w:numPr>
        <w:shd w:val="clear" w:color="auto" w:fill="FFFFFF"/>
        <w:tabs>
          <w:tab w:val="clear" w:pos="720"/>
          <w:tab w:val="left" w:pos="993" w:leader="none"/>
        </w:tabs>
        <w:ind w:left="0" w:firstLine="567"/>
        <w:jc w:val="both"/>
        <w:rPr>
          <w:sz w:val="22"/>
          <w:szCs w:val="22"/>
        </w:rPr>
      </w:pPr>
      <w:r>
        <w:rPr>
          <w:sz w:val="22"/>
          <w:szCs w:val="22"/>
        </w:rPr>
        <w:t xml:space="preserve">Поставщик несет ответственность за получение (если это необходимо) разрешений и лицензий властей на транспортировку Продукции в Место поставки и иных необходимых документов. </w:t>
      </w:r>
    </w:p>
    <w:p>
      <w:pPr>
        <w:pStyle w:val="Normal"/>
        <w:widowControl w:val="false"/>
        <w:shd w:val="clear" w:color="auto" w:fill="FFFFFF"/>
        <w:tabs>
          <w:tab w:val="clear" w:pos="720"/>
          <w:tab w:val="left" w:pos="1276" w:leader="none"/>
        </w:tabs>
        <w:ind w:firstLine="567"/>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contextualSpacing/>
        <w:jc w:val="center"/>
        <w:rPr>
          <w:b/>
          <w:sz w:val="22"/>
          <w:szCs w:val="22"/>
        </w:rPr>
      </w:pPr>
      <w:r>
        <w:rPr>
          <w:b/>
          <w:sz w:val="22"/>
          <w:szCs w:val="22"/>
        </w:rPr>
        <w:t>Ответственность по Договору</w:t>
      </w:r>
    </w:p>
    <w:p>
      <w:pPr>
        <w:pStyle w:val="Normal"/>
        <w:widowControl w:val="false"/>
        <w:shd w:val="clear" w:color="auto" w:fill="FFFFFF"/>
        <w:tabs>
          <w:tab w:val="clear" w:pos="720"/>
          <w:tab w:val="left" w:pos="5321" w:leader="none"/>
        </w:tabs>
        <w:spacing w:before="0" w:after="0"/>
        <w:ind w:left="360" w:hanging="0"/>
        <w:contextualSpacing/>
        <w:rPr>
          <w:b/>
          <w:sz w:val="22"/>
          <w:szCs w:val="22"/>
        </w:rPr>
      </w:pPr>
      <w:r>
        <w:rPr>
          <w:b/>
          <w:sz w:val="22"/>
          <w:szCs w:val="22"/>
        </w:rPr>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w:t>
      </w:r>
    </w:p>
    <w:p>
      <w:pPr>
        <w:pStyle w:val="ListParagraph"/>
        <w:numPr>
          <w:ilvl w:val="1"/>
          <w:numId w:val="15"/>
        </w:numPr>
        <w:shd w:val="clear" w:color="auto" w:fill="FFFFFF"/>
        <w:tabs>
          <w:tab w:val="clear" w:pos="720"/>
          <w:tab w:val="left" w:pos="1276" w:leader="none"/>
        </w:tabs>
        <w:ind w:left="0" w:firstLine="567"/>
        <w:jc w:val="both"/>
        <w:rPr>
          <w:sz w:val="22"/>
          <w:szCs w:val="22"/>
        </w:rPr>
      </w:pPr>
      <w:r>
        <w:rPr>
          <w:sz w:val="22"/>
          <w:szCs w:val="22"/>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стоимости партии Продукции за каждый день просрочки поставки Продукции.</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 xml:space="preserve">     </w:t>
      </w:r>
      <w:r>
        <w:rPr>
          <w:sz w:val="22"/>
          <w:szCs w:val="22"/>
        </w:rPr>
        <w:t xml:space="preserve">В случае несвоевременного устранения Поставщиком выявленных недостатков Продукции, Покупатель вправе потребовать уплаты Поставщиком: </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 xml:space="preserve">           </w:t>
      </w:r>
      <w:r>
        <w:rPr>
          <w:sz w:val="22"/>
          <w:szCs w:val="22"/>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 </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 xml:space="preserve">          </w:t>
      </w:r>
      <w:r>
        <w:rPr>
          <w:sz w:val="22"/>
          <w:szCs w:val="22"/>
        </w:rPr>
        <w:t xml:space="preserve">неустойки в размере 0,1 (ноль целых и одна десятая) процента от стоимости партии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 </w:t>
      </w:r>
    </w:p>
    <w:p>
      <w:pPr>
        <w:pStyle w:val="ListParagraph"/>
        <w:numPr>
          <w:ilvl w:val="0"/>
          <w:numId w:val="0"/>
        </w:numPr>
        <w:shd w:val="clear" w:color="auto" w:fill="FFFFFF"/>
        <w:tabs>
          <w:tab w:val="clear" w:pos="720"/>
          <w:tab w:val="left" w:pos="1276" w:leader="none"/>
        </w:tabs>
        <w:ind w:left="0" w:hanging="0"/>
        <w:jc w:val="both"/>
        <w:rPr>
          <w:sz w:val="22"/>
          <w:szCs w:val="22"/>
        </w:rPr>
      </w:pPr>
      <w:r>
        <w:rPr>
          <w:sz w:val="22"/>
          <w:szCs w:val="22"/>
        </w:rPr>
        <w:t xml:space="preserve">      </w:t>
      </w:r>
      <w:r>
        <w:rPr>
          <w:sz w:val="22"/>
          <w:szCs w:val="22"/>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pPr>
        <w:pStyle w:val="ListParagraph"/>
        <w:numPr>
          <w:ilvl w:val="1"/>
          <w:numId w:val="15"/>
        </w:numPr>
        <w:shd w:val="clear" w:color="auto" w:fill="FFFFFF"/>
        <w:tabs>
          <w:tab w:val="clear" w:pos="720"/>
          <w:tab w:val="left" w:pos="993" w:leader="none"/>
        </w:tabs>
        <w:ind w:left="0" w:firstLine="567"/>
        <w:jc w:val="both"/>
        <w:rPr>
          <w:sz w:val="22"/>
          <w:szCs w:val="22"/>
        </w:rPr>
      </w:pPr>
      <w:r>
        <w:rPr>
          <w:sz w:val="22"/>
          <w:szCs w:val="22"/>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p>
    <w:p>
      <w:pPr>
        <w:pStyle w:val="ListParagraph"/>
        <w:numPr>
          <w:ilvl w:val="1"/>
          <w:numId w:val="15"/>
        </w:numPr>
        <w:shd w:val="clear" w:color="auto" w:fill="FFFFFF"/>
        <w:ind w:left="0" w:firstLine="567"/>
        <w:jc w:val="both"/>
        <w:rPr>
          <w:sz w:val="22"/>
          <w:szCs w:val="22"/>
        </w:rPr>
      </w:pPr>
      <w:r>
        <w:rPr>
          <w:sz w:val="22"/>
          <w:szCs w:val="22"/>
        </w:rPr>
        <w:t>Предусмотренная Договором неустойка является штрафной. Убытки подлежат возмещению в полной сумме сверх неустойки.</w:t>
      </w:r>
    </w:p>
    <w:p>
      <w:pPr>
        <w:pStyle w:val="Normal"/>
        <w:widowControl w:val="false"/>
        <w:numPr>
          <w:ilvl w:val="1"/>
          <w:numId w:val="15"/>
        </w:numPr>
        <w:shd w:val="clear" w:color="auto" w:fill="FFFFFF"/>
        <w:tabs>
          <w:tab w:val="clear" w:pos="720"/>
          <w:tab w:val="left" w:pos="567" w:leader="none"/>
        </w:tabs>
        <w:spacing w:before="0" w:after="0"/>
        <w:ind w:left="0" w:firstLine="560"/>
        <w:contextualSpacing/>
        <w:jc w:val="both"/>
        <w:rPr>
          <w:sz w:val="22"/>
          <w:szCs w:val="22"/>
        </w:rPr>
      </w:pPr>
      <w:r>
        <w:rPr>
          <w:sz w:val="22"/>
          <w:szCs w:val="22"/>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15"/>
        </w:numPr>
        <w:shd w:val="clear" w:color="auto" w:fill="FFFFFF"/>
        <w:tabs>
          <w:tab w:val="clear" w:pos="720"/>
          <w:tab w:val="left" w:pos="851" w:leader="none"/>
        </w:tabs>
        <w:spacing w:before="0" w:after="0"/>
        <w:ind w:left="0" w:firstLine="567"/>
        <w:contextualSpacing/>
        <w:jc w:val="both"/>
        <w:rPr>
          <w:sz w:val="22"/>
          <w:szCs w:val="22"/>
        </w:rPr>
      </w:pPr>
      <w:r>
        <w:rPr>
          <w:sz w:val="22"/>
          <w:szCs w:val="22"/>
        </w:rPr>
        <w:t>В случае, 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счета-фактуры/УПД,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ListParagraph"/>
        <w:widowControl/>
        <w:numPr>
          <w:ilvl w:val="1"/>
          <w:numId w:val="15"/>
        </w:numPr>
        <w:shd w:val="clear" w:color="auto" w:fill="FFFFFF"/>
        <w:tabs>
          <w:tab w:val="clear" w:pos="720"/>
          <w:tab w:val="left" w:pos="1134" w:leader="none"/>
        </w:tabs>
        <w:ind w:left="0" w:firstLine="567"/>
        <w:jc w:val="both"/>
        <w:rPr>
          <w:bCs/>
          <w:color w:val="000000"/>
          <w:sz w:val="22"/>
          <w:szCs w:val="22"/>
        </w:rPr>
      </w:pPr>
      <w:r>
        <w:rPr>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20"/>
          <w:tab w:val="left" w:pos="1134" w:leader="none"/>
        </w:tabs>
        <w:spacing w:before="0" w:after="0"/>
        <w:ind w:firstLine="567"/>
        <w:contextualSpacing/>
        <w:jc w:val="both"/>
        <w:rPr>
          <w:bCs/>
          <w:color w:val="000000"/>
          <w:sz w:val="22"/>
          <w:szCs w:val="22"/>
        </w:rPr>
      </w:pPr>
      <w:r>
        <w:rPr>
          <w:bCs/>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 w:val="left" w:pos="1134" w:leader="none"/>
        </w:tabs>
        <w:spacing w:before="0" w:after="0"/>
        <w:ind w:firstLine="567"/>
        <w:contextualSpacing/>
        <w:jc w:val="both"/>
        <w:rPr>
          <w:color w:val="000000"/>
          <w:sz w:val="22"/>
          <w:szCs w:val="22"/>
        </w:rPr>
      </w:pPr>
      <w:r>
        <w:rPr>
          <w:color w:val="000000"/>
          <w:sz w:val="22"/>
          <w:szCs w:val="22"/>
        </w:rPr>
        <w:t xml:space="preserve">Каналы связи Линия доверия Группы РусГидро: </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-Электронная почта: ld@rushydro.ru.</w:t>
      </w:r>
    </w:p>
    <w:p>
      <w:pPr>
        <w:pStyle w:val="ListParagraph"/>
        <w:shd w:val="clear" w:color="auto" w:fill="FFFFFF"/>
        <w:tabs>
          <w:tab w:val="clear" w:pos="720"/>
          <w:tab w:val="left" w:pos="567" w:leader="none"/>
          <w:tab w:val="left" w:pos="1134" w:leader="none"/>
        </w:tabs>
        <w:ind w:left="0" w:firstLine="567"/>
        <w:jc w:val="both"/>
        <w:rPr>
          <w:sz w:val="22"/>
          <w:szCs w:val="22"/>
        </w:rPr>
      </w:pPr>
      <w:r>
        <w:rPr>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1"/>
          <w:numId w:val="15"/>
        </w:numPr>
        <w:tabs>
          <w:tab w:val="clear" w:pos="720"/>
          <w:tab w:val="left" w:pos="1276" w:leader="none"/>
        </w:tabs>
        <w:ind w:left="0" w:firstLine="567"/>
        <w:jc w:val="both"/>
        <w:rPr>
          <w:bCs/>
          <w:sz w:val="22"/>
          <w:szCs w:val="22"/>
        </w:rPr>
      </w:pPr>
      <w:r>
        <w:rPr>
          <w:bCs/>
          <w:sz w:val="22"/>
          <w:szCs w:val="22"/>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bCs/>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Normal"/>
        <w:widowControl w:val="false"/>
        <w:shd w:val="clear" w:color="auto" w:fill="FFFFFF"/>
        <w:tabs>
          <w:tab w:val="clear" w:pos="720"/>
          <w:tab w:val="left" w:pos="2276" w:leader="none"/>
          <w:tab w:val="left" w:pos="5321" w:leader="none"/>
        </w:tabs>
        <w:spacing w:before="0" w:after="0"/>
        <w:ind w:firstLine="567"/>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1276" w:leader="none"/>
          <w:tab w:val="left" w:pos="5321" w:leader="none"/>
        </w:tabs>
        <w:spacing w:before="0" w:after="0"/>
        <w:ind w:left="0" w:hanging="0"/>
        <w:contextualSpacing/>
        <w:jc w:val="center"/>
        <w:rPr>
          <w:b/>
          <w:bCs/>
          <w:sz w:val="22"/>
          <w:szCs w:val="22"/>
        </w:rPr>
      </w:pPr>
      <w:r>
        <w:rPr>
          <w:b/>
          <w:bCs/>
          <w:sz w:val="22"/>
          <w:szCs w:val="22"/>
        </w:rPr>
        <w:t>Особые положения</w:t>
      </w:r>
    </w:p>
    <w:p>
      <w:pPr>
        <w:pStyle w:val="Normal"/>
        <w:widowControl w:val="false"/>
        <w:shd w:val="clear" w:color="auto" w:fill="FFFFFF"/>
        <w:tabs>
          <w:tab w:val="clear" w:pos="720"/>
          <w:tab w:val="left" w:pos="1276" w:leader="none"/>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2"/>
            <w:szCs w:val="22"/>
          </w:rPr>
          <w:t>№ 18162/09</w:t>
        </w:r>
      </w:hyperlink>
      <w:r>
        <w:rPr>
          <w:sz w:val="22"/>
          <w:szCs w:val="22"/>
        </w:rPr>
        <w:t xml:space="preserve"> и от 25.05.2010 </w:t>
      </w:r>
      <w:hyperlink r:id="rId3">
        <w:r>
          <w:rPr>
            <w:sz w:val="22"/>
            <w:szCs w:val="22"/>
          </w:rPr>
          <w:t>№ 15658/09</w:t>
        </w:r>
      </w:hyperlink>
      <w:r>
        <w:rPr>
          <w:sz w:val="22"/>
          <w:szCs w:val="22"/>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2"/>
            <w:szCs w:val="22"/>
          </w:rPr>
          <w:t>Критери</w:t>
        </w:r>
      </w:hyperlink>
      <w:r>
        <w:rPr>
          <w:sz w:val="22"/>
          <w:szCs w:val="22"/>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В случае нарушения Поставщиком обязательств, установленных в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7.1, 7.2 Договора, сверх суммы штрафа.</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15"/>
        </w:numPr>
        <w:shd w:val="clear" w:color="auto" w:fill="FFFFFF"/>
        <w:tabs>
          <w:tab w:val="clear" w:pos="720"/>
          <w:tab w:val="left" w:pos="993" w:leader="none"/>
        </w:tabs>
        <w:spacing w:before="0" w:after="0"/>
        <w:ind w:left="0" w:firstLine="567"/>
        <w:contextualSpacing/>
        <w:jc w:val="both"/>
        <w:rPr>
          <w:sz w:val="22"/>
          <w:szCs w:val="22"/>
        </w:rPr>
      </w:pPr>
      <w:r>
        <w:rPr>
          <w:sz w:val="22"/>
          <w:szCs w:val="22"/>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Независимо от других положений Договора, обязательства Поставщика по п. 7.3-7.5 Договора продолжают действовать в течение 4 (четырех) лет после окончания срока действия Договора.</w:t>
      </w:r>
    </w:p>
    <w:p>
      <w:pPr>
        <w:pStyle w:val="Normal"/>
        <w:widowControl w:val="false"/>
        <w:shd w:val="clear" w:color="auto" w:fill="FFFFFF"/>
        <w:tabs>
          <w:tab w:val="clear" w:pos="720"/>
          <w:tab w:val="left" w:pos="993" w:leader="none"/>
        </w:tabs>
        <w:spacing w:before="0" w:after="0"/>
        <w:ind w:firstLine="567"/>
        <w:contextualSpacing/>
        <w:jc w:val="both"/>
        <w:rPr>
          <w:sz w:val="22"/>
          <w:szCs w:val="22"/>
        </w:rPr>
      </w:pPr>
      <w:r>
        <w:rPr>
          <w:sz w:val="22"/>
          <w:szCs w:val="22"/>
        </w:rPr>
        <w:t xml:space="preserve"> </w:t>
      </w:r>
    </w:p>
    <w:p>
      <w:pPr>
        <w:pStyle w:val="ListParagraph"/>
        <w:numPr>
          <w:ilvl w:val="0"/>
          <w:numId w:val="15"/>
        </w:numPr>
        <w:shd w:val="clear" w:color="auto" w:fill="FFFFFF"/>
        <w:tabs>
          <w:tab w:val="clear" w:pos="720"/>
          <w:tab w:val="left" w:pos="1276" w:leader="none"/>
        </w:tabs>
        <w:jc w:val="center"/>
        <w:rPr>
          <w:b/>
          <w:bCs/>
          <w:sz w:val="22"/>
          <w:szCs w:val="22"/>
        </w:rPr>
      </w:pPr>
      <w:r>
        <w:rPr>
          <w:b/>
          <w:sz w:val="22"/>
          <w:szCs w:val="22"/>
        </w:rPr>
        <w:t>Форс</w:t>
      </w:r>
      <w:r>
        <w:rPr>
          <w:b/>
          <w:bCs/>
          <w:sz w:val="22"/>
          <w:szCs w:val="22"/>
        </w:rPr>
        <w:t>-мажор</w:t>
      </w:r>
    </w:p>
    <w:p>
      <w:pPr>
        <w:pStyle w:val="ListParagraph"/>
        <w:shd w:val="clear" w:color="auto" w:fill="FFFFFF"/>
        <w:tabs>
          <w:tab w:val="clear" w:pos="720"/>
          <w:tab w:val="left" w:pos="1276" w:leader="none"/>
        </w:tabs>
        <w:ind w:left="360" w:hanging="0"/>
        <w:rPr>
          <w:b/>
          <w:bCs/>
          <w:sz w:val="22"/>
          <w:szCs w:val="22"/>
        </w:rPr>
      </w:pPr>
      <w:r>
        <w:rPr>
          <w:b/>
          <w:bCs/>
          <w:sz w:val="22"/>
          <w:szCs w:val="22"/>
        </w:rPr>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bCs/>
          <w:sz w:val="22"/>
          <w:szCs w:val="22"/>
        </w:rPr>
      </w:pPr>
      <w:r>
        <w:rPr>
          <w:b/>
          <w:sz w:val="22"/>
          <w:szCs w:val="22"/>
        </w:rPr>
        <w:t>Конфиденциальность</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 w:val="left" w:pos="1134" w:leader="none"/>
        </w:tabs>
        <w:spacing w:before="0" w:after="0"/>
        <w:ind w:left="0" w:firstLine="567"/>
        <w:contextualSpacing/>
        <w:jc w:val="both"/>
        <w:rPr>
          <w:bCs/>
          <w:sz w:val="22"/>
          <w:szCs w:val="22"/>
        </w:rPr>
      </w:pPr>
      <w:r>
        <w:rPr>
          <w:bCs/>
          <w:sz w:val="22"/>
          <w:szCs w:val="22"/>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финансовую отчетность;</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учетные регистры бухгалтерского учета;</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бизнес-планы;</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 w:val="left" w:pos="1134" w:leader="none"/>
        </w:tabs>
        <w:spacing w:before="0" w:after="0"/>
        <w:ind w:left="0" w:firstLine="567"/>
        <w:contextualSpacing/>
        <w:jc w:val="both"/>
        <w:rPr>
          <w:bCs/>
          <w:sz w:val="22"/>
          <w:szCs w:val="22"/>
        </w:rPr>
      </w:pPr>
      <w:r>
        <w:rPr>
          <w:bCs/>
          <w:sz w:val="22"/>
          <w:szCs w:val="22"/>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использовать Информацию исключительно для целей, для которых она была предоставлена;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15"/>
        </w:numPr>
        <w:shd w:val="clear" w:color="auto" w:fill="FFFFFF"/>
        <w:spacing w:before="0" w:after="0"/>
        <w:ind w:left="0" w:firstLine="567"/>
        <w:contextualSpacing/>
        <w:jc w:val="both"/>
        <w:rPr>
          <w:sz w:val="22"/>
          <w:szCs w:val="22"/>
        </w:rPr>
      </w:pPr>
      <w:r>
        <w:rPr>
          <w:sz w:val="22"/>
          <w:szCs w:val="22"/>
        </w:rPr>
        <w:t>не разглашать третьим лицам факта передачи или получения Информации.</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15"/>
        </w:numPr>
        <w:shd w:val="clear" w:color="auto" w:fill="FFFFFF"/>
        <w:tabs>
          <w:tab w:val="clear" w:pos="720"/>
          <w:tab w:val="left" w:pos="1425" w:leader="none"/>
        </w:tabs>
        <w:spacing w:before="0" w:after="0"/>
        <w:ind w:left="0" w:firstLine="567"/>
        <w:contextualSpacing/>
        <w:jc w:val="both"/>
        <w:rPr>
          <w:sz w:val="22"/>
          <w:szCs w:val="22"/>
        </w:rPr>
      </w:pPr>
      <w:r>
        <w:rPr>
          <w:sz w:val="22"/>
          <w:szCs w:val="22"/>
        </w:rPr>
        <w:t>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w:t>
      </w:r>
    </w:p>
    <w:p>
      <w:pPr>
        <w:pStyle w:val="Normal"/>
        <w:widowControl w:val="false"/>
        <w:shd w:val="clear" w:color="auto" w:fill="FFFFFF"/>
        <w:tabs>
          <w:tab w:val="clear" w:pos="720"/>
          <w:tab w:val="left" w:pos="1425" w:leader="none"/>
          <w:tab w:val="left" w:pos="1636" w:leader="none"/>
        </w:tabs>
        <w:spacing w:before="0" w:after="0"/>
        <w:ind w:left="567" w:hanging="0"/>
        <w:contextualSpacing/>
        <w:jc w:val="both"/>
        <w:rPr>
          <w:sz w:val="22"/>
          <w:szCs w:val="22"/>
        </w:rPr>
      </w:pPr>
      <w:r>
        <w:rPr>
          <w:sz w:val="22"/>
          <w:szCs w:val="22"/>
        </w:rPr>
        <w:t xml:space="preserve"> </w:t>
      </w:r>
    </w:p>
    <w:p>
      <w:pPr>
        <w:pStyle w:val="Normal"/>
        <w:widowControl w:val="false"/>
        <w:numPr>
          <w:ilvl w:val="0"/>
          <w:numId w:val="0"/>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sz w:val="22"/>
          <w:szCs w:val="22"/>
        </w:rPr>
      </w:pPr>
      <w:r>
        <w:rPr>
          <w:b/>
          <w:sz w:val="22"/>
          <w:szCs w:val="22"/>
        </w:rPr>
        <w:t>Разрешение споров</w:t>
      </w:r>
    </w:p>
    <w:p>
      <w:pPr>
        <w:pStyle w:val="Normal"/>
        <w:widowControl w:val="false"/>
        <w:shd w:val="clear" w:color="auto" w:fill="FFFFFF"/>
        <w:tabs>
          <w:tab w:val="clear" w:pos="720"/>
          <w:tab w:val="left" w:pos="5321" w:leader="none"/>
        </w:tabs>
        <w:spacing w:before="0" w:after="0"/>
        <w:contextualSpacing/>
        <w:rPr>
          <w:b/>
          <w:sz w:val="22"/>
          <w:szCs w:val="22"/>
        </w:rPr>
      </w:pPr>
      <w:r>
        <w:rPr>
          <w:b/>
          <w:sz w:val="22"/>
          <w:szCs w:val="22"/>
        </w:rPr>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В случае не достижения соглашения в ходе переговоров, указанных в п. 10.1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4" w:name="Par2"/>
      <w:bookmarkEnd w:id="4"/>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15"/>
        </w:numPr>
        <w:shd w:val="clear" w:color="auto" w:fill="FFFFFF"/>
        <w:tabs>
          <w:tab w:val="left" w:pos="720" w:leader="none"/>
        </w:tabs>
        <w:spacing w:before="0" w:after="0"/>
        <w:ind w:left="0" w:firstLine="567"/>
        <w:contextualSpacing/>
        <w:jc w:val="both"/>
        <w:rPr>
          <w:sz w:val="22"/>
          <w:szCs w:val="22"/>
        </w:rPr>
      </w:pPr>
      <w:r>
        <w:rPr>
          <w:sz w:val="22"/>
          <w:szCs w:val="22"/>
        </w:rPr>
        <w:t xml:space="preserve"> </w:t>
      </w:r>
      <w:r>
        <w:rPr>
          <w:sz w:val="22"/>
          <w:szCs w:val="22"/>
        </w:rPr>
        <w:t>В случае не урегулирования разногласий в претензионном порядке, а также в случае неполучения ответа на претензию в течение срока, указанного в п. 10.4. Договора, спор передается в Арбитражный суд г.Москвы.</w:t>
      </w:r>
    </w:p>
    <w:p>
      <w:pPr>
        <w:pStyle w:val="Normal"/>
        <w:widowControl w:val="false"/>
        <w:shd w:val="clear" w:color="auto" w:fill="FFFFFF"/>
        <w:tabs>
          <w:tab w:val="left" w:pos="720" w:leader="none"/>
        </w:tabs>
        <w:spacing w:before="0" w:after="0"/>
        <w:ind w:left="567" w:hanging="0"/>
        <w:contextualSpacing/>
        <w:jc w:val="both"/>
        <w:rPr>
          <w:sz w:val="22"/>
          <w:szCs w:val="22"/>
        </w:rPr>
      </w:pPr>
      <w:r>
        <w:rPr>
          <w:sz w:val="22"/>
          <w:szCs w:val="22"/>
        </w:rPr>
      </w:r>
    </w:p>
    <w:p>
      <w:pPr>
        <w:pStyle w:val="Normal"/>
        <w:widowControl w:val="false"/>
        <w:numPr>
          <w:ilvl w:val="0"/>
          <w:numId w:val="15"/>
        </w:numPr>
        <w:shd w:val="clear" w:color="auto" w:fill="FFFFFF"/>
        <w:tabs>
          <w:tab w:val="clear" w:pos="720"/>
          <w:tab w:val="left" w:pos="5321" w:leader="none"/>
        </w:tabs>
        <w:spacing w:before="0" w:after="0"/>
        <w:ind w:left="0" w:hanging="0"/>
        <w:contextualSpacing/>
        <w:jc w:val="center"/>
        <w:rPr>
          <w:b/>
          <w:bCs/>
          <w:sz w:val="22"/>
          <w:szCs w:val="22"/>
        </w:rPr>
      </w:pPr>
      <w:r>
        <w:rPr>
          <w:b/>
          <w:bCs/>
          <w:sz w:val="22"/>
          <w:szCs w:val="22"/>
        </w:rPr>
        <w:t>Прекращение (расторжение) Договора</w:t>
      </w:r>
    </w:p>
    <w:p>
      <w:pPr>
        <w:pStyle w:val="Normal"/>
        <w:widowControl w:val="false"/>
        <w:shd w:val="clear" w:color="auto" w:fill="FFFFFF"/>
        <w:tabs>
          <w:tab w:val="clear" w:pos="720"/>
          <w:tab w:val="left" w:pos="5321" w:leader="none"/>
        </w:tabs>
        <w:spacing w:before="0" w:after="0"/>
        <w:contextualSpacing/>
        <w:rPr>
          <w:b/>
          <w:bCs/>
          <w:sz w:val="22"/>
          <w:szCs w:val="22"/>
        </w:rPr>
      </w:pPr>
      <w:r>
        <w:rPr>
          <w:b/>
          <w:bCs/>
          <w:sz w:val="22"/>
          <w:szCs w:val="22"/>
        </w:rPr>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tabs>
          <w:tab w:val="clear" w:pos="720"/>
          <w:tab w:val="left" w:pos="1134" w:leader="none"/>
        </w:tabs>
        <w:spacing w:before="0" w:after="0"/>
        <w:ind w:firstLine="567"/>
        <w:contextualSpacing/>
        <w:jc w:val="both"/>
        <w:rPr>
          <w:sz w:val="22"/>
          <w:szCs w:val="22"/>
        </w:rPr>
      </w:pPr>
      <w:r>
        <w:rPr>
          <w:sz w:val="22"/>
          <w:szCs w:val="22"/>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Стороны установили, что существенным нарушением Договора Поставщиком является:</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15"/>
        </w:numPr>
        <w:shd w:val="clear" w:color="auto" w:fill="FFFFFF"/>
        <w:tabs>
          <w:tab w:val="clear" w:pos="720"/>
          <w:tab w:val="left" w:pos="1276" w:leader="none"/>
        </w:tabs>
        <w:spacing w:before="0" w:after="0"/>
        <w:ind w:left="0" w:firstLine="567"/>
        <w:contextualSpacing/>
        <w:jc w:val="both"/>
        <w:rPr>
          <w:sz w:val="22"/>
          <w:szCs w:val="22"/>
        </w:rPr>
      </w:pPr>
      <w:r>
        <w:rPr>
          <w:sz w:val="22"/>
          <w:szCs w:val="22"/>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В случае отказа Покупателя от Договора в случаях, предусмотренных пунктами 10.2., 11.3., 11.4 Договора,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 том числе направленного по электронной почте.</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Договор считается расторгнутым по основаниям, предусмотренным пунктом 11.1, с даты, указанной в уведомлении о расторжении Договора.</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С даты прекращения (расторжения) Договора Поставщик обязан прекратить поставку Продукции.</w:t>
      </w:r>
    </w:p>
    <w:p>
      <w:pPr>
        <w:pStyle w:val="Normal"/>
        <w:widowControl w:val="false"/>
        <w:numPr>
          <w:ilvl w:val="1"/>
          <w:numId w:val="15"/>
        </w:numPr>
        <w:shd w:val="clear" w:color="auto" w:fill="FFFFFF"/>
        <w:spacing w:before="0" w:after="0"/>
        <w:ind w:left="0" w:firstLine="567"/>
        <w:contextualSpacing/>
        <w:jc w:val="both"/>
        <w:rPr>
          <w:sz w:val="22"/>
          <w:szCs w:val="22"/>
        </w:rPr>
      </w:pPr>
      <w:r>
        <w:rPr>
          <w:sz w:val="22"/>
          <w:szCs w:val="22"/>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3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widowControl w:val="false"/>
        <w:shd w:val="clear" w:color="auto" w:fill="FFFFFF"/>
        <w:tabs>
          <w:tab w:val="clear" w:pos="720"/>
          <w:tab w:val="left" w:pos="1636" w:leader="none"/>
        </w:tabs>
        <w:spacing w:before="0" w:after="0"/>
        <w:ind w:left="567" w:hanging="0"/>
        <w:contextualSpacing/>
        <w:jc w:val="both"/>
        <w:rPr>
          <w:sz w:val="22"/>
          <w:szCs w:val="22"/>
        </w:rPr>
      </w:pPr>
      <w:r>
        <w:rPr>
          <w:sz w:val="22"/>
          <w:szCs w:val="22"/>
        </w:rPr>
      </w:r>
    </w:p>
    <w:p>
      <w:pPr>
        <w:pStyle w:val="ListParagraph"/>
        <w:shd w:val="clear" w:color="auto" w:fill="FFFFFF"/>
        <w:ind w:left="360" w:hanging="0"/>
        <w:jc w:val="center"/>
        <w:rPr>
          <w:b/>
          <w:sz w:val="22"/>
          <w:szCs w:val="22"/>
        </w:rPr>
      </w:pPr>
      <w:r>
        <w:rPr>
          <w:b/>
          <w:bCs/>
          <w:sz w:val="22"/>
          <w:szCs w:val="22"/>
        </w:rPr>
        <w:t>12. Заверения</w:t>
      </w:r>
      <w:r>
        <w:rPr>
          <w:b/>
          <w:sz w:val="22"/>
          <w:szCs w:val="22"/>
        </w:rPr>
        <w:t xml:space="preserve"> Сторон</w:t>
      </w:r>
    </w:p>
    <w:p>
      <w:pPr>
        <w:pStyle w:val="ListParagraph"/>
        <w:shd w:val="clear" w:color="auto" w:fill="FFFFFF"/>
        <w:ind w:left="360" w:hanging="0"/>
        <w:jc w:val="center"/>
        <w:rPr>
          <w:b/>
          <w:sz w:val="22"/>
          <w:szCs w:val="22"/>
        </w:rPr>
      </w:pPr>
      <w:r>
        <w:rPr>
          <w:b/>
          <w:sz w:val="22"/>
          <w:szCs w:val="22"/>
        </w:rPr>
      </w:r>
    </w:p>
    <w:p>
      <w:pPr>
        <w:pStyle w:val="Normal"/>
        <w:shd w:val="clear" w:color="auto" w:fill="FFFFFF"/>
        <w:tabs>
          <w:tab w:val="clear" w:pos="720"/>
          <w:tab w:val="left" w:pos="1134" w:leader="none"/>
        </w:tabs>
        <w:ind w:firstLine="567"/>
        <w:jc w:val="both"/>
        <w:rPr>
          <w:sz w:val="22"/>
          <w:szCs w:val="22"/>
        </w:rPr>
      </w:pPr>
      <w:r>
        <w:rPr>
          <w:bCs/>
          <w:sz w:val="22"/>
          <w:szCs w:val="22"/>
        </w:rPr>
        <w:t>12.1.  Каждая</w:t>
      </w:r>
      <w:r>
        <w:rPr>
          <w:sz w:val="22"/>
          <w:szCs w:val="22"/>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9"/>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Normal"/>
        <w:shd w:val="clear" w:color="auto" w:fill="FFFFFF"/>
        <w:tabs>
          <w:tab w:val="clear" w:pos="720"/>
          <w:tab w:val="left" w:pos="1134" w:leader="none"/>
        </w:tabs>
        <w:ind w:firstLine="567"/>
        <w:jc w:val="both"/>
        <w:rPr>
          <w:sz w:val="22"/>
          <w:szCs w:val="22"/>
        </w:rPr>
      </w:pPr>
      <w:r>
        <w:rPr>
          <w:sz w:val="22"/>
          <w:szCs w:val="22"/>
        </w:rPr>
        <w:t>12.2. Поставщик заявляет и заверяет Покупателя в том, что на момент заключения настоящего Договора:</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20"/>
          <w:tab w:val="left" w:pos="709" w:leader="none"/>
          <w:tab w:val="left" w:pos="1134" w:leader="none"/>
        </w:tabs>
        <w:ind w:left="0" w:firstLine="567"/>
        <w:jc w:val="both"/>
        <w:rPr>
          <w:sz w:val="22"/>
          <w:szCs w:val="22"/>
        </w:rPr>
      </w:pPr>
      <w:r>
        <w:rPr>
          <w:sz w:val="22"/>
          <w:szCs w:val="22"/>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20"/>
          <w:tab w:val="left" w:pos="567" w:leader="none"/>
          <w:tab w:val="left" w:pos="709" w:leader="none"/>
          <w:tab w:val="left" w:pos="1418" w:leader="none"/>
        </w:tabs>
        <w:ind w:left="0" w:firstLine="567"/>
        <w:jc w:val="both"/>
        <w:rPr>
          <w:sz w:val="22"/>
          <w:szCs w:val="22"/>
        </w:rPr>
      </w:pPr>
      <w:r>
        <w:rPr>
          <w:sz w:val="22"/>
          <w:szCs w:val="22"/>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Normal"/>
        <w:shd w:val="clear" w:color="auto" w:fill="FFFFFF"/>
        <w:tabs>
          <w:tab w:val="clear" w:pos="720"/>
          <w:tab w:val="left" w:pos="1134" w:leader="none"/>
        </w:tabs>
        <w:ind w:firstLine="567"/>
        <w:jc w:val="both"/>
        <w:rPr>
          <w:sz w:val="22"/>
          <w:szCs w:val="22"/>
        </w:rPr>
      </w:pPr>
      <w:r>
        <w:rPr>
          <w:sz w:val="22"/>
          <w:szCs w:val="22"/>
        </w:rPr>
        <w:t xml:space="preserve">12.3. 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Normal"/>
        <w:shd w:val="clear" w:color="auto" w:fill="FFFFFF"/>
        <w:tabs>
          <w:tab w:val="clear" w:pos="720"/>
          <w:tab w:val="left" w:pos="1134" w:leader="none"/>
        </w:tabs>
        <w:ind w:firstLine="567"/>
        <w:jc w:val="both"/>
        <w:rPr>
          <w:sz w:val="22"/>
          <w:szCs w:val="22"/>
        </w:rPr>
      </w:pPr>
      <w:r>
        <w:rPr>
          <w:sz w:val="22"/>
          <w:szCs w:val="22"/>
        </w:rPr>
        <w:t xml:space="preserve">12.4. В случае, если при заключении Договора Поставщик предоставил </w:t>
      </w:r>
      <w:r>
        <w:rPr>
          <w:bCs/>
          <w:sz w:val="22"/>
          <w:szCs w:val="22"/>
        </w:rPr>
        <w:t>Покупателю</w:t>
      </w:r>
      <w:r>
        <w:rPr>
          <w:sz w:val="22"/>
          <w:szCs w:val="22"/>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 xml:space="preserve">Поставщик </w:t>
      </w:r>
      <w:r>
        <w:rPr>
          <w:sz w:val="22"/>
          <w:szCs w:val="22"/>
        </w:rPr>
        <w:t xml:space="preserve">обязан по требованию </w:t>
      </w:r>
      <w:r>
        <w:rPr>
          <w:bCs/>
          <w:sz w:val="22"/>
          <w:szCs w:val="22"/>
        </w:rPr>
        <w:t>Покупателя</w:t>
      </w:r>
      <w:r>
        <w:rPr>
          <w:sz w:val="22"/>
          <w:szCs w:val="22"/>
        </w:rPr>
        <w:t xml:space="preserve"> уплатить последнему неустойку в размере 5 (пять) % от Цены Договора, указанной в пункте 2.1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20"/>
          <w:tab w:val="left" w:pos="1134" w:leader="none"/>
        </w:tabs>
        <w:spacing w:before="0" w:after="0"/>
        <w:ind w:firstLine="567"/>
        <w:contextualSpacing/>
        <w:jc w:val="both"/>
        <w:rPr>
          <w:sz w:val="22"/>
          <w:szCs w:val="22"/>
        </w:rPr>
      </w:pPr>
      <w:r>
        <w:rPr>
          <w:sz w:val="22"/>
          <w:szCs w:val="22"/>
        </w:rPr>
      </w:r>
    </w:p>
    <w:p>
      <w:pPr>
        <w:pStyle w:val="ListParagraph"/>
        <w:numPr>
          <w:ilvl w:val="0"/>
          <w:numId w:val="0"/>
        </w:numPr>
        <w:shd w:val="clear" w:color="auto" w:fill="FFFFFF"/>
        <w:ind w:left="480" w:hanging="0"/>
        <w:jc w:val="center"/>
        <w:rPr>
          <w:b/>
          <w:sz w:val="22"/>
          <w:szCs w:val="22"/>
        </w:rPr>
      </w:pPr>
      <w:r>
        <w:rPr>
          <w:b/>
          <w:sz w:val="22"/>
          <w:szCs w:val="22"/>
        </w:rPr>
        <w:t>13. Заключительные положения</w:t>
      </w:r>
    </w:p>
    <w:p>
      <w:pPr>
        <w:pStyle w:val="ListParagraph"/>
        <w:shd w:val="clear" w:color="auto" w:fill="FFFFFF"/>
        <w:ind w:left="480" w:hanging="0"/>
        <w:rPr>
          <w:b/>
          <w:sz w:val="22"/>
          <w:szCs w:val="22"/>
        </w:rPr>
      </w:pPr>
      <w:r>
        <w:rPr>
          <w:b/>
          <w:sz w:val="22"/>
          <w:szCs w:val="22"/>
        </w:rPr>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13.1. Договор вступает в силу с даты его подписания Сторонами и действует до полного исполнения ими принятых на себя обязательств.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13.2. 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13.6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13.3. Приложения, изменения и дополнения, оформленные надлежащим образом, являются неотъемлемой частью Договора.</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13.4 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13.5. 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13.6. 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13.7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bCs/>
          <w:sz w:val="22"/>
          <w:szCs w:val="22"/>
        </w:rPr>
      </w:pPr>
      <w:r>
        <w:rPr>
          <w:sz w:val="22"/>
          <w:szCs w:val="22"/>
        </w:rPr>
        <w:t xml:space="preserve">  </w:t>
      </w:r>
      <w:r>
        <w:rPr>
          <w:sz w:val="22"/>
          <w:szCs w:val="22"/>
        </w:rPr>
        <w:t>13.7. Документ</w:t>
      </w:r>
      <w:r>
        <w:rPr>
          <w:bCs/>
          <w:sz w:val="22"/>
          <w:szCs w:val="22"/>
        </w:rPr>
        <w:t xml:space="preserve"> будет считаться полученным:</w:t>
      </w:r>
    </w:p>
    <w:p>
      <w:pPr>
        <w:pStyle w:val="ListParagraph"/>
        <w:widowControl/>
        <w:numPr>
          <w:ilvl w:val="0"/>
          <w:numId w:val="0"/>
        </w:numPr>
        <w:shd w:val="clear" w:color="auto" w:fill="FFFFFF"/>
        <w:tabs>
          <w:tab w:val="clear" w:pos="720"/>
          <w:tab w:val="left" w:pos="1134" w:leader="none"/>
        </w:tabs>
        <w:ind w:left="0" w:hanging="0"/>
        <w:jc w:val="both"/>
        <w:rPr>
          <w:bCs/>
          <w:sz w:val="22"/>
          <w:szCs w:val="22"/>
        </w:rPr>
      </w:pPr>
      <w:r>
        <w:rPr>
          <w:bCs/>
          <w:sz w:val="22"/>
          <w:szCs w:val="22"/>
        </w:rPr>
        <w:t xml:space="preserve">    </w:t>
      </w:r>
      <w:r>
        <w:rPr>
          <w:bCs/>
          <w:sz w:val="22"/>
          <w:szCs w:val="22"/>
        </w:rPr>
        <w:t>13.7.1. 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0"/>
          <w:numId w:val="0"/>
        </w:numPr>
        <w:shd w:val="clear" w:color="auto" w:fill="FFFFFF"/>
        <w:tabs>
          <w:tab w:val="clear" w:pos="720"/>
          <w:tab w:val="left" w:pos="1134" w:leader="none"/>
        </w:tabs>
        <w:ind w:left="0" w:hanging="0"/>
        <w:jc w:val="both"/>
        <w:rPr>
          <w:bCs/>
          <w:sz w:val="22"/>
          <w:szCs w:val="22"/>
        </w:rPr>
      </w:pPr>
      <w:r>
        <w:rPr>
          <w:bCs/>
          <w:sz w:val="22"/>
          <w:szCs w:val="22"/>
        </w:rPr>
        <w:t xml:space="preserve">   </w:t>
      </w:r>
      <w:r>
        <w:rPr>
          <w:bCs/>
          <w:sz w:val="22"/>
          <w:szCs w:val="22"/>
        </w:rPr>
        <w:t xml:space="preserve">13.7.2. 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13.7.1 Договора.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13.8. 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sz w:val="22"/>
          <w:szCs w:val="22"/>
        </w:rPr>
      </w:pPr>
      <w:r>
        <w:rPr>
          <w:sz w:val="22"/>
          <w:szCs w:val="22"/>
        </w:rPr>
        <w:t xml:space="preserve"> </w:t>
      </w:r>
      <w:r>
        <w:rPr>
          <w:sz w:val="22"/>
          <w:szCs w:val="22"/>
        </w:rPr>
        <w:t xml:space="preserve">13.9. 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0"/>
          <w:numId w:val="0"/>
        </w:numPr>
        <w:shd w:val="clear" w:color="auto" w:fill="FFFFFF"/>
        <w:tabs>
          <w:tab w:val="left" w:pos="720" w:leader="none"/>
          <w:tab w:val="left" w:pos="1134" w:leader="none"/>
        </w:tabs>
        <w:spacing w:before="0" w:after="0"/>
        <w:ind w:left="0" w:hanging="0"/>
        <w:contextualSpacing/>
        <w:jc w:val="both"/>
        <w:rPr>
          <w:bCs/>
          <w:sz w:val="22"/>
          <w:szCs w:val="22"/>
        </w:rPr>
      </w:pPr>
      <w:r>
        <w:rPr>
          <w:sz w:val="22"/>
          <w:szCs w:val="22"/>
        </w:rPr>
        <w:t xml:space="preserve">   </w:t>
      </w:r>
      <w:r>
        <w:rPr>
          <w:sz w:val="22"/>
          <w:szCs w:val="22"/>
        </w:rPr>
        <w:t>13.10. Договор</w:t>
      </w:r>
      <w:r>
        <w:rPr>
          <w:bCs/>
          <w:sz w:val="22"/>
          <w:szCs w:val="22"/>
        </w:rPr>
        <w:t xml:space="preserve"> составлен в двух оригинальных экземплярах, по одному для каждой из Сторон.</w:t>
      </w:r>
    </w:p>
    <w:p>
      <w:pPr>
        <w:pStyle w:val="Normal"/>
        <w:widowControl w:val="false"/>
        <w:shd w:val="clear" w:color="auto" w:fill="FFFFFF"/>
        <w:tabs>
          <w:tab w:val="left" w:pos="720" w:leader="none"/>
        </w:tabs>
        <w:ind w:left="567" w:hanging="0"/>
        <w:jc w:val="both"/>
        <w:rPr>
          <w:bCs/>
          <w:sz w:val="22"/>
          <w:szCs w:val="22"/>
        </w:rPr>
      </w:pPr>
      <w:r>
        <w:rPr>
          <w:bCs/>
          <w:sz w:val="22"/>
          <w:szCs w:val="22"/>
        </w:rPr>
      </w:r>
    </w:p>
    <w:p>
      <w:pPr>
        <w:pStyle w:val="Normal"/>
        <w:widowControl w:val="false"/>
        <w:numPr>
          <w:ilvl w:val="0"/>
          <w:numId w:val="0"/>
        </w:numPr>
        <w:shd w:val="clear" w:color="auto" w:fill="FFFFFF"/>
        <w:ind w:left="360" w:hanging="0"/>
        <w:jc w:val="center"/>
        <w:rPr>
          <w:b/>
          <w:sz w:val="22"/>
          <w:szCs w:val="22"/>
        </w:rPr>
      </w:pPr>
      <w:r>
        <w:rPr>
          <w:b/>
          <w:sz w:val="22"/>
          <w:szCs w:val="22"/>
        </w:rPr>
        <w:t>14. Приложения к Договору</w:t>
      </w:r>
    </w:p>
    <w:p>
      <w:pPr>
        <w:pStyle w:val="Normal"/>
        <w:widowControl w:val="false"/>
        <w:shd w:val="clear" w:color="auto" w:fill="FFFFFF"/>
        <w:ind w:left="567" w:hanging="0"/>
        <w:rPr>
          <w:b/>
          <w:sz w:val="22"/>
          <w:szCs w:val="22"/>
        </w:rPr>
      </w:pPr>
      <w:r>
        <w:rPr>
          <w:b/>
          <w:sz w:val="22"/>
          <w:szCs w:val="22"/>
        </w:rPr>
      </w:r>
    </w:p>
    <w:p>
      <w:pPr>
        <w:pStyle w:val="Heading3"/>
        <w:keepNext w:val="false"/>
        <w:tabs>
          <w:tab w:val="clear" w:pos="0"/>
        </w:tabs>
        <w:ind w:firstLine="567"/>
        <w:jc w:val="both"/>
        <w:textAlignment w:val="baseline"/>
        <w:rPr>
          <w:b w:val="false"/>
          <w:sz w:val="22"/>
          <w:szCs w:val="22"/>
        </w:rPr>
      </w:pPr>
      <w:r>
        <w:rPr>
          <w:b w:val="false"/>
          <w:sz w:val="22"/>
          <w:szCs w:val="22"/>
        </w:rPr>
        <w:t>14.1. Приложение № 1 – Спецификация № 1.</w:t>
      </w:r>
    </w:p>
    <w:p>
      <w:pPr>
        <w:pStyle w:val="Heading3"/>
        <w:keepNext w:val="false"/>
        <w:tabs>
          <w:tab w:val="clear" w:pos="0"/>
        </w:tabs>
        <w:ind w:firstLine="567"/>
        <w:jc w:val="both"/>
        <w:textAlignment w:val="baseline"/>
        <w:rPr>
          <w:b w:val="false"/>
          <w:sz w:val="22"/>
          <w:szCs w:val="22"/>
        </w:rPr>
      </w:pPr>
      <w:r>
        <w:rPr>
          <w:b w:val="false"/>
          <w:sz w:val="22"/>
          <w:szCs w:val="22"/>
        </w:rPr>
        <w:t>14.2.  Приложение № 2 – Технические требования.</w:t>
      </w:r>
    </w:p>
    <w:p>
      <w:pPr>
        <w:pStyle w:val="Normal"/>
        <w:tabs>
          <w:tab w:val="clear" w:pos="720"/>
        </w:tabs>
        <w:ind w:firstLine="567"/>
        <w:jc w:val="both"/>
        <w:textAlignment w:val="baseline"/>
        <w:rPr>
          <w:b w:val="false"/>
          <w:sz w:val="22"/>
          <w:szCs w:val="22"/>
        </w:rPr>
      </w:pPr>
      <w:r>
        <w:rPr>
          <w:b w:val="false"/>
          <w:sz w:val="22"/>
          <w:szCs w:val="22"/>
        </w:rPr>
        <w:t>14.3. Приложение №3 — Календарный график.</w:t>
      </w:r>
    </w:p>
    <w:p>
      <w:pPr>
        <w:pStyle w:val="Normal"/>
        <w:ind w:firstLine="567"/>
        <w:rPr>
          <w:sz w:val="22"/>
          <w:szCs w:val="22"/>
        </w:rPr>
      </w:pPr>
      <w:r>
        <w:rPr>
          <w:sz w:val="22"/>
          <w:szCs w:val="22"/>
        </w:rPr>
      </w:r>
      <w:bookmarkStart w:id="5" w:name="sub_1"/>
      <w:bookmarkStart w:id="6" w:name="sub_1"/>
      <w:bookmarkEnd w:id="6"/>
    </w:p>
    <w:p>
      <w:pPr>
        <w:pStyle w:val="Normal"/>
        <w:widowControl w:val="false"/>
        <w:numPr>
          <w:ilvl w:val="0"/>
          <w:numId w:val="16"/>
        </w:numPr>
        <w:shd w:val="clear" w:color="auto" w:fill="FFFFFF"/>
        <w:ind w:left="0" w:hanging="0"/>
        <w:jc w:val="center"/>
        <w:rPr>
          <w:b/>
          <w:sz w:val="22"/>
          <w:szCs w:val="22"/>
        </w:rPr>
      </w:pPr>
      <w:r>
        <w:rPr>
          <w:b/>
          <w:sz w:val="22"/>
          <w:szCs w:val="22"/>
        </w:rPr>
        <w:t xml:space="preserve">Адреса, реквизиты и подписи Сторон </w:t>
      </w:r>
    </w:p>
    <w:p>
      <w:pPr>
        <w:pStyle w:val="Normal"/>
        <w:widowControl w:val="false"/>
        <w:shd w:val="clear" w:color="auto" w:fill="FFFFFF"/>
        <w:ind w:left="567" w:hanging="0"/>
        <w:rPr>
          <w:b/>
          <w:sz w:val="22"/>
          <w:szCs w:val="22"/>
        </w:rPr>
      </w:pPr>
      <w:r>
        <w:rPr>
          <w:b/>
          <w:sz w:val="22"/>
          <w:szCs w:val="22"/>
        </w:rPr>
      </w:r>
    </w:p>
    <w:tbl>
      <w:tblPr>
        <w:tblW w:w="9781"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78"/>
        <w:gridCol w:w="5102"/>
      </w:tblGrid>
      <w:tr>
        <w:trPr/>
        <w:tc>
          <w:tcPr>
            <w:tcW w:w="4678" w:type="dxa"/>
            <w:tcBorders/>
          </w:tcPr>
          <w:p>
            <w:pPr>
              <w:pStyle w:val="Normal"/>
              <w:widowControl w:val="false"/>
              <w:rPr>
                <w:b/>
                <w:sz w:val="22"/>
                <w:szCs w:val="22"/>
                <w:u w:val="single"/>
              </w:rPr>
            </w:pPr>
            <w:r>
              <w:rPr>
                <w:b/>
                <w:sz w:val="22"/>
                <w:szCs w:val="22"/>
                <w:u w:val="single"/>
              </w:rPr>
              <w:t>Покупатель:</w:t>
            </w:r>
          </w:p>
        </w:tc>
        <w:tc>
          <w:tcPr>
            <w:tcW w:w="5102" w:type="dxa"/>
            <w:tcBorders/>
          </w:tcPr>
          <w:p>
            <w:pPr>
              <w:pStyle w:val="Normal"/>
              <w:widowControl w:val="false"/>
              <w:rPr>
                <w:b/>
                <w:sz w:val="22"/>
                <w:szCs w:val="22"/>
                <w:u w:val="single"/>
              </w:rPr>
            </w:pPr>
            <w:r>
              <w:rPr>
                <w:b/>
                <w:sz w:val="22"/>
                <w:szCs w:val="22"/>
                <w:u w:val="single"/>
              </w:rPr>
              <w:t>Поставщик:</w:t>
            </w:r>
          </w:p>
        </w:tc>
      </w:tr>
      <w:tr>
        <w:trPr/>
        <w:tc>
          <w:tcPr>
            <w:tcW w:w="4678" w:type="dxa"/>
            <w:tcBorders/>
          </w:tcPr>
          <w:p>
            <w:pPr>
              <w:pStyle w:val="Normal"/>
              <w:widowControl w:val="false"/>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ind w:firstLine="567"/>
              <w:rPr>
                <w:b/>
                <w:sz w:val="22"/>
                <w:szCs w:val="22"/>
              </w:rPr>
            </w:pPr>
            <w:r>
              <w:rPr>
                <w:b/>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b/>
                <w:sz w:val="22"/>
                <w:szCs w:val="22"/>
              </w:rPr>
              <w:t>_______________</w:t>
            </w:r>
          </w:p>
        </w:tc>
        <w:tc>
          <w:tcPr>
            <w:tcW w:w="5102" w:type="dxa"/>
            <w:tcBorders/>
          </w:tcPr>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
                <w:bCs/>
                <w:sz w:val="22"/>
                <w:szCs w:val="22"/>
              </w:rPr>
            </w:pPr>
            <w:r>
              <w:rPr>
                <w:b/>
                <w:bCs/>
                <w:sz w:val="22"/>
                <w:szCs w:val="22"/>
              </w:rPr>
            </w:r>
          </w:p>
          <w:p>
            <w:pPr>
              <w:pStyle w:val="Normal"/>
              <w:widowControl w:val="false"/>
              <w:rPr>
                <w:bCs/>
                <w:sz w:val="22"/>
                <w:szCs w:val="22"/>
              </w:rPr>
            </w:pPr>
            <w:r>
              <w:rPr>
                <w:bCs/>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________________ </w:t>
            </w:r>
          </w:p>
          <w:p>
            <w:pPr>
              <w:pStyle w:val="Normal"/>
              <w:widowControl w:val="false"/>
              <w:rPr>
                <w:sz w:val="22"/>
                <w:szCs w:val="22"/>
              </w:rPr>
            </w:pPr>
            <w:r>
              <w:rPr>
                <w:sz w:val="22"/>
                <w:szCs w:val="22"/>
              </w:rPr>
              <w:t xml:space="preserve"> </w:t>
            </w:r>
          </w:p>
        </w:tc>
      </w:tr>
      <w:tr>
        <w:trPr>
          <w:trHeight w:val="80" w:hRule="atLeast"/>
        </w:trPr>
        <w:tc>
          <w:tcPr>
            <w:tcW w:w="4678" w:type="dxa"/>
            <w:tcBorders/>
          </w:tcPr>
          <w:p>
            <w:pPr>
              <w:pStyle w:val="Normal"/>
              <w:widowControl w:val="false"/>
              <w:ind w:firstLine="567"/>
              <w:rPr>
                <w:sz w:val="22"/>
                <w:szCs w:val="22"/>
              </w:rPr>
            </w:pPr>
            <w:r>
              <w:rPr>
                <w:sz w:val="22"/>
                <w:szCs w:val="22"/>
              </w:rPr>
            </w:r>
          </w:p>
        </w:tc>
        <w:tc>
          <w:tcPr>
            <w:tcW w:w="5102" w:type="dxa"/>
            <w:tcBorders/>
          </w:tcPr>
          <w:p>
            <w:pPr>
              <w:pStyle w:val="Normal"/>
              <w:widowControl w:val="false"/>
              <w:ind w:firstLine="567"/>
              <w:rPr>
                <w:sz w:val="22"/>
                <w:szCs w:val="22"/>
              </w:rPr>
            </w:pPr>
            <w:r>
              <w:rPr>
                <w:sz w:val="22"/>
                <w:szCs w:val="22"/>
              </w:rPr>
            </w:r>
          </w:p>
        </w:tc>
      </w:tr>
    </w:tbl>
    <w:p>
      <w:pPr>
        <w:sectPr>
          <w:headerReference w:type="default" r:id="rId5"/>
          <w:footerReference w:type="even" r:id="rId6"/>
          <w:footerReference w:type="default" r:id="rId7"/>
          <w:footerReference w:type="first" r:id="rId8"/>
          <w:type w:val="nextPage"/>
          <w:pgSz w:w="11906" w:h="16838"/>
          <w:pgMar w:left="1276" w:right="851" w:gutter="0" w:header="720" w:top="777" w:footer="720" w:bottom="777"/>
          <w:pgNumType w:fmt="decimal"/>
          <w:formProt w:val="false"/>
          <w:textDirection w:val="lrTb"/>
          <w:docGrid w:type="default" w:linePitch="272" w:charSpace="24576"/>
        </w:sectPr>
      </w:pPr>
    </w:p>
    <w:tbl>
      <w:tblPr>
        <w:tblpPr w:bottomFromText="0" w:horzAnchor="margin" w:leftFromText="180" w:rightFromText="180" w:tblpX="0" w:tblpY="225" w:topFromText="0" w:vertAnchor="text"/>
        <w:tblW w:w="98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069"/>
        <w:gridCol w:w="4786"/>
      </w:tblGrid>
      <w:tr>
        <w:trPr/>
        <w:tc>
          <w:tcPr>
            <w:tcW w:w="5069" w:type="dxa"/>
            <w:tcBorders/>
            <w:shd w:color="auto" w:fill="FFFFFF" w:themeFill="background1" w:val="clear"/>
          </w:tcPr>
          <w:p>
            <w:pPr>
              <w:pStyle w:val="Normal"/>
              <w:widowControl w:val="false"/>
              <w:rPr>
                <w:szCs w:val="22"/>
              </w:rPr>
            </w:pPr>
            <w:r>
              <w:rPr>
                <w:szCs w:val="22"/>
              </w:rPr>
            </w:r>
          </w:p>
        </w:tc>
        <w:tc>
          <w:tcPr>
            <w:tcW w:w="4786" w:type="dxa"/>
            <w:tcBorders/>
            <w:shd w:color="auto" w:fill="FFFFFF" w:themeFill="background1" w:val="clear"/>
          </w:tcPr>
          <w:p>
            <w:pPr>
              <w:pStyle w:val="Style17"/>
              <w:widowControl w:val="false"/>
              <w:spacing w:lineRule="auto" w:line="240" w:before="0" w:after="0"/>
              <w:jc w:val="left"/>
              <w:rPr>
                <w:rFonts w:ascii="Times New Roman" w:hAnsi="Times New Roman"/>
                <w:szCs w:val="22"/>
                <w:lang w:val="ru-RU"/>
              </w:rPr>
            </w:pPr>
            <w:r>
              <w:rPr>
                <w:rFonts w:ascii="Times New Roman" w:hAnsi="Times New Roman"/>
                <w:szCs w:val="22"/>
                <w:lang w:val="ru-RU"/>
              </w:rPr>
            </w:r>
          </w:p>
        </w:tc>
      </w:tr>
    </w:tbl>
    <w:p>
      <w:pPr>
        <w:pStyle w:val="BodyText"/>
        <w:numPr>
          <w:ilvl w:val="0"/>
          <w:numId w:val="0"/>
        </w:numPr>
        <w:ind w:left="0" w:firstLine="567"/>
        <w:jc w:val="right"/>
        <w:outlineLvl w:val="0"/>
        <w:rPr>
          <w:bCs/>
          <w:szCs w:val="22"/>
        </w:rPr>
      </w:pPr>
      <w:r>
        <w:rPr>
          <w:bCs/>
          <w:szCs w:val="22"/>
        </w:rPr>
      </w:r>
    </w:p>
    <w:p>
      <w:pPr>
        <w:pStyle w:val="BodyText"/>
        <w:numPr>
          <w:ilvl w:val="0"/>
          <w:numId w:val="0"/>
        </w:numPr>
        <w:ind w:left="0" w:firstLine="567"/>
        <w:jc w:val="right"/>
        <w:outlineLvl w:val="0"/>
        <w:rPr>
          <w:bCs/>
          <w:szCs w:val="22"/>
        </w:rPr>
      </w:pPr>
      <w:r>
        <w:rPr>
          <w:bCs/>
          <w:szCs w:val="22"/>
        </w:rPr>
        <w:t>Приложение № 1</w:t>
      </w:r>
    </w:p>
    <w:p>
      <w:pPr>
        <w:pStyle w:val="BodyText"/>
        <w:ind w:firstLine="567"/>
        <w:jc w:val="right"/>
        <w:rPr>
          <w:bCs/>
          <w:szCs w:val="22"/>
        </w:rPr>
      </w:pPr>
      <w:r>
        <w:rPr>
          <w:bCs/>
          <w:szCs w:val="22"/>
        </w:rPr>
        <w:t xml:space="preserve">к договору поставки </w:t>
      </w:r>
    </w:p>
    <w:p>
      <w:pPr>
        <w:pStyle w:val="BodyText"/>
        <w:ind w:firstLine="567"/>
        <w:jc w:val="right"/>
        <w:rPr>
          <w:bCs/>
          <w:szCs w:val="22"/>
        </w:rPr>
      </w:pPr>
      <w:r>
        <w:rPr>
          <w:bCs/>
          <w:szCs w:val="22"/>
        </w:rPr>
        <w:t xml:space="preserve">№ </w:t>
      </w:r>
      <w:r>
        <w:rPr>
          <w:bCs/>
          <w:szCs w:val="22"/>
        </w:rPr>
        <w:t>_______________________ от «____» ____________ 2026 г.</w:t>
      </w:r>
    </w:p>
    <w:p>
      <w:pPr>
        <w:pStyle w:val="Normal"/>
        <w:numPr>
          <w:ilvl w:val="0"/>
          <w:numId w:val="0"/>
        </w:numPr>
        <w:ind w:left="0" w:firstLine="567"/>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bookmarkStart w:id="7" w:name="_GoBack_Копия_1"/>
      <w:bookmarkEnd w:id="7"/>
      <w:r>
        <w:rPr>
          <w:b/>
          <w:sz w:val="22"/>
          <w:szCs w:val="22"/>
        </w:rPr>
        <w:t>Спецификация № 1</w:t>
      </w:r>
    </w:p>
    <w:p>
      <w:pPr>
        <w:pStyle w:val="Normal"/>
        <w:numPr>
          <w:ilvl w:val="0"/>
          <w:numId w:val="0"/>
        </w:numPr>
        <w:ind w:left="0" w:hanging="0"/>
        <w:jc w:val="center"/>
        <w:outlineLvl w:val="0"/>
        <w:rPr>
          <w:b/>
          <w:sz w:val="22"/>
          <w:szCs w:val="22"/>
        </w:rPr>
      </w:pPr>
      <w:r>
        <w:rPr>
          <w:b/>
          <w:sz w:val="22"/>
          <w:szCs w:val="22"/>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44"/>
        <w:gridCol w:w="1418"/>
        <w:gridCol w:w="1421"/>
        <w:gridCol w:w="1436"/>
        <w:gridCol w:w="1400"/>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44"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142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143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Цена одной единицы Продукции, руб., с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Итоговая стоимость позиции Продукции, руб. с НДС 22%</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5</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0"/>
              </w:numPr>
              <w:spacing w:before="0" w:after="0"/>
              <w:contextualSpacing/>
              <w:rPr>
                <w:rFonts w:eastAsia="Calibri"/>
                <w:sz w:val="22"/>
                <w:szCs w:val="22"/>
              </w:rPr>
            </w:pPr>
            <w:r>
              <w:rPr>
                <w:rFonts w:eastAsia="Calibri"/>
                <w:sz w:val="22"/>
                <w:szCs w:val="22"/>
              </w:rPr>
            </w:r>
          </w:p>
        </w:tc>
        <w:tc>
          <w:tcPr>
            <w:tcW w:w="3544"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14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Итого с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8500"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jc w:val="right"/>
              <w:rPr>
                <w:bCs/>
                <w:color w:val="000000"/>
                <w:sz w:val="22"/>
                <w:szCs w:val="22"/>
              </w:rPr>
            </w:pPr>
            <w:r>
              <w:rPr>
                <w:bCs/>
                <w:color w:val="000000"/>
                <w:sz w:val="22"/>
                <w:szCs w:val="22"/>
              </w:rPr>
              <w:t>В том числе НДС 22%</w:t>
            </w:r>
          </w:p>
        </w:tc>
        <w:tc>
          <w:tcPr>
            <w:tcW w:w="14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tabs>
          <w:tab w:val="clear" w:pos="720"/>
          <w:tab w:val="left" w:pos="0" w:leader="none"/>
        </w:tabs>
        <w:rPr>
          <w:sz w:val="22"/>
          <w:szCs w:val="22"/>
          <w:lang w:eastAsia="ar-SA"/>
        </w:rPr>
      </w:pPr>
      <w:r>
        <w:rPr>
          <w:sz w:val="22"/>
          <w:szCs w:val="22"/>
          <w:lang w:eastAsia="ar-SA"/>
        </w:rPr>
      </w:r>
    </w:p>
    <w:p>
      <w:pPr>
        <w:pStyle w:val="Normal"/>
        <w:ind w:firstLine="567"/>
        <w:jc w:val="both"/>
        <w:rPr>
          <w:bCs/>
          <w:sz w:val="22"/>
          <w:szCs w:val="22"/>
        </w:rPr>
      </w:pPr>
      <w:r>
        <w:rPr>
          <w:bCs/>
          <w:sz w:val="22"/>
          <w:szCs w:val="22"/>
        </w:rPr>
        <w:t>1. Общая сумма Спецификации № 1 составляет __________</w:t>
      </w:r>
      <w:r>
        <w:rPr>
          <w:sz w:val="22"/>
          <w:szCs w:val="22"/>
        </w:rPr>
        <w:t xml:space="preserve"> (_______________________) рублей 00 копеек с НДС 22%</w:t>
      </w:r>
      <w:r>
        <w:rPr>
          <w:bCs/>
          <w:sz w:val="22"/>
          <w:szCs w:val="22"/>
        </w:rPr>
        <w:t>.</w:t>
      </w:r>
    </w:p>
    <w:p>
      <w:pPr>
        <w:pStyle w:val="Normal"/>
        <w:ind w:firstLine="567"/>
        <w:jc w:val="both"/>
        <w:rPr>
          <w:bCs/>
          <w:sz w:val="22"/>
          <w:szCs w:val="22"/>
        </w:rPr>
      </w:pPr>
      <w:r>
        <w:rPr>
          <w:bCs/>
          <w:sz w:val="22"/>
          <w:szCs w:val="22"/>
        </w:rPr>
        <w:t xml:space="preserve">2. Страна производства по ОКСМ: </w:t>
      </w:r>
    </w:p>
    <w:p>
      <w:pPr>
        <w:pStyle w:val="Normal"/>
        <w:rPr>
          <w:sz w:val="22"/>
          <w:szCs w:val="22"/>
        </w:rPr>
      </w:pPr>
      <w:r>
        <w:rPr>
          <w:sz w:val="22"/>
          <w:szCs w:val="22"/>
        </w:rPr>
      </w:r>
    </w:p>
    <w:tbl>
      <w:tblPr>
        <w:tblpPr w:bottomFromText="0" w:horzAnchor="margin" w:leftFromText="180" w:rightFromText="180" w:tblpX="0" w:tblpY="225" w:topFromText="0" w:vertAnchor="text"/>
        <w:tblW w:w="10456"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354"/>
        <w:gridCol w:w="5101"/>
      </w:tblGrid>
      <w:tr>
        <w:trPr/>
        <w:tc>
          <w:tcPr>
            <w:tcW w:w="5354" w:type="dxa"/>
            <w:tcBorders/>
            <w:shd w:color="auto" w:fill="FFFFFF" w:themeFill="background1" w:val="clear"/>
          </w:tcPr>
          <w:p>
            <w:pPr>
              <w:pStyle w:val="Normal"/>
              <w:widowControl w:val="false"/>
              <w:rPr>
                <w:b/>
                <w:sz w:val="22"/>
                <w:szCs w:val="22"/>
                <w:u w:val="single"/>
              </w:rPr>
            </w:pPr>
            <w:r>
              <w:rPr>
                <w:b/>
                <w:sz w:val="22"/>
                <w:szCs w:val="22"/>
                <w:u w:val="single"/>
              </w:rPr>
              <w:t>Покупатель:</w:t>
            </w:r>
          </w:p>
          <w:p>
            <w:pPr>
              <w:pStyle w:val="Normal"/>
              <w:widowControl w:val="false"/>
              <w:rPr>
                <w:sz w:val="22"/>
                <w:szCs w:val="22"/>
              </w:rPr>
            </w:pPr>
            <w:r>
              <w:rPr>
                <w:sz w:val="22"/>
                <w:szCs w:val="22"/>
              </w:rPr>
            </w:r>
          </w:p>
          <w:p>
            <w:pPr>
              <w:pStyle w:val="Normal"/>
              <w:widowControl w:val="false"/>
              <w:rPr>
                <w:sz w:val="22"/>
                <w:szCs w:val="22"/>
                <w:u w:val="single"/>
              </w:rPr>
            </w:pPr>
            <w:r>
              <w:rPr>
                <w:sz w:val="22"/>
                <w:szCs w:val="22"/>
                <w:u w:val="single"/>
              </w:rPr>
            </w:r>
          </w:p>
          <w:p>
            <w:pPr>
              <w:pStyle w:val="Normal"/>
              <w:widowControl w:val="false"/>
              <w:rPr>
                <w:sz w:val="22"/>
                <w:szCs w:val="22"/>
                <w:u w:val="single"/>
              </w:rPr>
            </w:pPr>
            <w:r>
              <w:rPr>
                <w:sz w:val="22"/>
                <w:szCs w:val="22"/>
                <w:u w:val="single"/>
              </w:rPr>
            </w:r>
          </w:p>
        </w:tc>
        <w:tc>
          <w:tcPr>
            <w:tcW w:w="5101" w:type="dxa"/>
            <w:tcBorders/>
            <w:shd w:color="auto" w:fill="FFFFFF" w:themeFill="background1" w:val="clear"/>
          </w:tcPr>
          <w:p>
            <w:pPr>
              <w:pStyle w:val="Normal"/>
              <w:widowControl w:val="false"/>
              <w:rPr>
                <w:b/>
                <w:sz w:val="22"/>
                <w:szCs w:val="22"/>
                <w:u w:val="single"/>
              </w:rPr>
            </w:pPr>
            <w:r>
              <w:rPr>
                <w:b/>
                <w:sz w:val="22"/>
                <w:szCs w:val="22"/>
                <w:u w:val="single"/>
              </w:rPr>
              <w:t>Поставщик:</w:t>
            </w:r>
          </w:p>
          <w:p>
            <w:pPr>
              <w:pStyle w:val="Normal"/>
              <w:widowControl w:val="false"/>
              <w:rPr>
                <w:sz w:val="22"/>
                <w:szCs w:val="22"/>
              </w:rPr>
            </w:pPr>
            <w:r>
              <w:rPr>
                <w:sz w:val="22"/>
                <w:szCs w:val="22"/>
              </w:rPr>
            </w:r>
          </w:p>
        </w:tc>
      </w:tr>
      <w:tr>
        <w:trPr/>
        <w:tc>
          <w:tcPr>
            <w:tcW w:w="5354" w:type="dxa"/>
            <w:tcBorders/>
            <w:shd w:color="auto" w:fill="FFFFFF" w:themeFill="background1" w:val="clear"/>
          </w:tcPr>
          <w:p>
            <w:pPr>
              <w:pStyle w:val="Normal"/>
              <w:widowControl w:val="false"/>
              <w:rPr>
                <w:sz w:val="22"/>
                <w:szCs w:val="22"/>
              </w:rPr>
            </w:pPr>
            <w:r>
              <w:rPr>
                <w:sz w:val="22"/>
                <w:szCs w:val="22"/>
              </w:rPr>
              <w:t xml:space="preserve">_______________ </w:t>
            </w:r>
          </w:p>
          <w:p>
            <w:pPr>
              <w:pStyle w:val="Normal"/>
              <w:widowControl w:val="false"/>
              <w:rPr>
                <w:sz w:val="22"/>
                <w:szCs w:val="22"/>
              </w:rPr>
            </w:pPr>
            <w:r>
              <w:rPr>
                <w:sz w:val="22"/>
                <w:szCs w:val="22"/>
              </w:rPr>
              <w:t>м.п.</w:t>
            </w:r>
          </w:p>
        </w:tc>
        <w:tc>
          <w:tcPr>
            <w:tcW w:w="5101" w:type="dxa"/>
            <w:tcBorders/>
            <w:shd w:color="auto" w:fill="FFFFFF" w:themeFill="background1" w:val="clear"/>
          </w:tcPr>
          <w:p>
            <w:pPr>
              <w:pStyle w:val="Normal"/>
              <w:widowControl w:val="false"/>
              <w:rPr>
                <w:sz w:val="22"/>
                <w:szCs w:val="22"/>
              </w:rPr>
            </w:pPr>
            <w:r>
              <w:rPr>
                <w:sz w:val="22"/>
                <w:szCs w:val="22"/>
              </w:rPr>
              <w:t>_______________</w:t>
            </w:r>
          </w:p>
          <w:p>
            <w:pPr>
              <w:pStyle w:val="Normal"/>
              <w:widowControl w:val="false"/>
              <w:rPr>
                <w:sz w:val="22"/>
                <w:szCs w:val="22"/>
              </w:rPr>
            </w:pPr>
            <w:r>
              <w:rPr>
                <w:sz w:val="22"/>
                <w:szCs w:val="22"/>
              </w:rPr>
              <w:t>м.п.</w:t>
            </w:r>
          </w:p>
        </w:tc>
      </w:tr>
    </w:tbl>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center"/>
        <w:outlineLvl w:val="0"/>
        <w:rPr>
          <w:b/>
          <w:sz w:val="22"/>
          <w:szCs w:val="22"/>
        </w:rPr>
      </w:pPr>
      <w:r>
        <w:rPr>
          <w:b/>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2</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2026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b/>
          <w:sz w:val="24"/>
          <w:szCs w:val="24"/>
        </w:rPr>
        <w:t>Технические требования</w:t>
      </w:r>
    </w:p>
    <w:p>
      <w:pPr>
        <w:pStyle w:val="Normal"/>
        <w:widowControl w:val="false"/>
        <w:spacing w:lineRule="auto" w:line="264"/>
        <w:rPr>
          <w:sz w:val="24"/>
          <w:szCs w:val="24"/>
        </w:rPr>
      </w:pPr>
      <w:r>
        <w:rPr>
          <w:sz w:val="24"/>
          <w:szCs w:val="24"/>
        </w:rPr>
      </w:r>
    </w:p>
    <w:p>
      <w:pPr>
        <w:pStyle w:val="Heading4"/>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2007" w:hanging="0"/>
        <w:rPr/>
      </w:pPr>
      <w:r>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r>
    </w:p>
    <w:p>
      <w:pPr>
        <w:pStyle w:val="Normal"/>
        <w:numPr>
          <w:ilvl w:val="0"/>
          <w:numId w:val="0"/>
        </w:numPr>
        <w:ind w:left="0" w:hanging="0"/>
        <w:jc w:val="right"/>
        <w:outlineLvl w:val="0"/>
        <w:rPr>
          <w:sz w:val="22"/>
          <w:szCs w:val="22"/>
        </w:rPr>
      </w:pPr>
      <w:r>
        <w:rPr>
          <w:sz w:val="22"/>
          <w:szCs w:val="22"/>
        </w:rPr>
        <w:t>Приложение № 3</w:t>
      </w:r>
    </w:p>
    <w:p>
      <w:pPr>
        <w:pStyle w:val="Normal"/>
        <w:numPr>
          <w:ilvl w:val="0"/>
          <w:numId w:val="0"/>
        </w:numPr>
        <w:ind w:left="0" w:hanging="0"/>
        <w:jc w:val="right"/>
        <w:outlineLvl w:val="0"/>
        <w:rPr>
          <w:sz w:val="22"/>
          <w:szCs w:val="22"/>
        </w:rPr>
      </w:pPr>
      <w:r>
        <w:rPr>
          <w:sz w:val="22"/>
          <w:szCs w:val="22"/>
        </w:rPr>
        <w:t xml:space="preserve">к договору поставки </w:t>
      </w:r>
    </w:p>
    <w:p>
      <w:pPr>
        <w:pStyle w:val="Normal"/>
        <w:numPr>
          <w:ilvl w:val="0"/>
          <w:numId w:val="0"/>
        </w:numPr>
        <w:ind w:left="0" w:hanging="0"/>
        <w:jc w:val="right"/>
        <w:outlineLvl w:val="0"/>
        <w:rPr>
          <w:sz w:val="22"/>
          <w:szCs w:val="22"/>
        </w:rPr>
      </w:pPr>
      <w:r>
        <w:rPr>
          <w:sz w:val="22"/>
          <w:szCs w:val="22"/>
        </w:rPr>
        <w:t xml:space="preserve">№ </w:t>
      </w:r>
      <w:r>
        <w:rPr>
          <w:sz w:val="22"/>
          <w:szCs w:val="22"/>
        </w:rPr>
        <w:t>_______________________ от «____» ____________ 2026 г.</w:t>
      </w:r>
    </w:p>
    <w:p>
      <w:pPr>
        <w:pStyle w:val="Normal"/>
        <w:widowControl w:val="false"/>
        <w:spacing w:lineRule="auto" w:line="264"/>
        <w:rPr>
          <w:sz w:val="24"/>
          <w:szCs w:val="24"/>
        </w:rPr>
      </w:pPr>
      <w:r>
        <w:rPr>
          <w:sz w:val="24"/>
          <w:szCs w:val="24"/>
        </w:rPr>
      </w:r>
    </w:p>
    <w:p>
      <w:pPr>
        <w:pStyle w:val="Normal"/>
        <w:widowControl w:val="false"/>
        <w:spacing w:lineRule="auto" w:line="264"/>
        <w:jc w:val="center"/>
        <w:rPr>
          <w:sz w:val="24"/>
          <w:szCs w:val="24"/>
        </w:rPr>
      </w:pPr>
      <w:r>
        <w:rPr>
          <w:sz w:val="24"/>
          <w:szCs w:val="24"/>
        </w:rPr>
      </w:r>
    </w:p>
    <w:p>
      <w:pPr>
        <w:pStyle w:val="Normal"/>
        <w:widowControl w:val="false"/>
        <w:spacing w:lineRule="auto" w:line="264"/>
        <w:jc w:val="center"/>
        <w:rPr>
          <w:sz w:val="24"/>
          <w:szCs w:val="24"/>
        </w:rPr>
      </w:pPr>
      <w:r>
        <w:rPr>
          <w:sz w:val="24"/>
          <w:szCs w:val="24"/>
        </w:rPr>
      </w:r>
    </w:p>
    <w:p>
      <w:pPr>
        <w:pStyle w:val="Normal"/>
        <w:widowControl w:val="false"/>
        <w:spacing w:lineRule="auto" w:line="264"/>
        <w:jc w:val="center"/>
        <w:rPr>
          <w:sz w:val="24"/>
          <w:szCs w:val="24"/>
        </w:rPr>
      </w:pPr>
      <w:r>
        <w:rPr>
          <w:b/>
          <w:sz w:val="24"/>
          <w:szCs w:val="24"/>
        </w:rPr>
        <w:t>Календарный график поставки</w:t>
      </w:r>
    </w:p>
    <w:p>
      <w:pPr>
        <w:pStyle w:val="Normal"/>
        <w:widowControl w:val="false"/>
        <w:spacing w:lineRule="auto" w:line="264"/>
        <w:rPr>
          <w:sz w:val="24"/>
          <w:szCs w:val="24"/>
        </w:rPr>
      </w:pPr>
      <w:r>
        <w:rPr>
          <w:sz w:val="24"/>
          <w:szCs w:val="24"/>
        </w:rPr>
      </w:r>
    </w:p>
    <w:p>
      <w:pPr>
        <w:pStyle w:val="Normal"/>
        <w:widowControl w:val="false"/>
        <w:spacing w:lineRule="auto" w:line="264"/>
        <w:rPr>
          <w:sz w:val="24"/>
          <w:szCs w:val="24"/>
        </w:rPr>
      </w:pPr>
      <w:r>
        <w:rPr>
          <w:sz w:val="24"/>
          <w:szCs w:val="24"/>
        </w:rPr>
      </w:r>
    </w:p>
    <w:tbl>
      <w:tblPr>
        <w:tblW w:w="9901" w:type="dxa"/>
        <w:jc w:val="left"/>
        <w:tblInd w:w="-118" w:type="dxa"/>
        <w:tblLayout w:type="fixed"/>
        <w:tblCellMar>
          <w:top w:w="0" w:type="dxa"/>
          <w:left w:w="108" w:type="dxa"/>
          <w:bottom w:w="0" w:type="dxa"/>
          <w:right w:w="108" w:type="dxa"/>
        </w:tblCellMar>
        <w:tblLook w:val="04a0" w:noHBand="0" w:noVBand="1" w:firstColumn="1" w:lastRow="0" w:lastColumn="0" w:firstRow="1"/>
      </w:tblPr>
      <w:tblGrid>
        <w:gridCol w:w="681"/>
        <w:gridCol w:w="3526"/>
        <w:gridCol w:w="1418"/>
        <w:gridCol w:w="2157"/>
        <w:gridCol w:w="2119"/>
      </w:tblGrid>
      <w:tr>
        <w:trPr/>
        <w:tc>
          <w:tcPr>
            <w:tcW w:w="681"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w:t>
            </w:r>
          </w:p>
          <w:p>
            <w:pPr>
              <w:pStyle w:val="Normal"/>
              <w:keepNext w:val="true"/>
              <w:widowControl w:val="false"/>
              <w:jc w:val="center"/>
              <w:rPr>
                <w:sz w:val="22"/>
                <w:szCs w:val="22"/>
              </w:rPr>
            </w:pPr>
            <w:r>
              <w:rPr>
                <w:sz w:val="22"/>
                <w:szCs w:val="22"/>
              </w:rPr>
              <w:t>п/п</w:t>
            </w:r>
          </w:p>
        </w:tc>
        <w:tc>
          <w:tcPr>
            <w:tcW w:w="3526"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Наименование Продукции</w:t>
            </w:r>
          </w:p>
        </w:tc>
        <w:tc>
          <w:tcPr>
            <w:tcW w:w="1418"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Единица измерения</w:t>
            </w:r>
          </w:p>
        </w:tc>
        <w:tc>
          <w:tcPr>
            <w:tcW w:w="2157"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Количество</w:t>
            </w:r>
          </w:p>
        </w:tc>
        <w:tc>
          <w:tcPr>
            <w:tcW w:w="2119"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center"/>
              <w:rPr>
                <w:sz w:val="22"/>
                <w:szCs w:val="22"/>
              </w:rPr>
            </w:pPr>
            <w:r>
              <w:rPr>
                <w:sz w:val="22"/>
                <w:szCs w:val="22"/>
              </w:rPr>
              <w:t>Срок поставки</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1</w:t>
            </w:r>
          </w:p>
        </w:tc>
        <w:tc>
          <w:tcPr>
            <w:tcW w:w="35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2</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3</w:t>
            </w:r>
          </w:p>
        </w:tc>
        <w:tc>
          <w:tcPr>
            <w:tcW w:w="2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4</w:t>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2"/>
                <w:szCs w:val="22"/>
              </w:rPr>
            </w:pPr>
            <w:r>
              <w:rPr>
                <w:b/>
                <w:sz w:val="22"/>
                <w:szCs w:val="22"/>
              </w:rPr>
              <w:t>6</w:t>
            </w:r>
          </w:p>
        </w:tc>
      </w:tr>
      <w:tr>
        <w:trPr/>
        <w:tc>
          <w:tcPr>
            <w:tcW w:w="68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1"/>
              </w:numPr>
              <w:spacing w:before="0" w:after="0"/>
              <w:contextualSpacing/>
              <w:rPr>
                <w:rFonts w:eastAsia="Calibri"/>
                <w:sz w:val="22"/>
                <w:szCs w:val="22"/>
              </w:rPr>
            </w:pPr>
            <w:r>
              <w:rPr>
                <w:rFonts w:eastAsia="Calibri"/>
                <w:sz w:val="22"/>
                <w:szCs w:val="22"/>
              </w:rPr>
            </w:r>
          </w:p>
        </w:tc>
        <w:tc>
          <w:tcPr>
            <w:tcW w:w="3526" w:type="dxa"/>
            <w:tcBorders>
              <w:top w:val="single" w:sz="4" w:space="0" w:color="000000"/>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681" w:type="dxa"/>
            <w:tcBorders>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2.</w:t>
            </w:r>
          </w:p>
        </w:tc>
        <w:tc>
          <w:tcPr>
            <w:tcW w:w="3526" w:type="dxa"/>
            <w:tcBorders>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7"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r>
        <w:trPr/>
        <w:tc>
          <w:tcPr>
            <w:tcW w:w="681" w:type="dxa"/>
            <w:tcBorders>
              <w:left w:val="single" w:sz="4" w:space="0" w:color="000000"/>
              <w:bottom w:val="single" w:sz="4" w:space="0" w:color="000000"/>
              <w:right w:val="single" w:sz="4" w:space="0" w:color="000000"/>
            </w:tcBorders>
          </w:tcPr>
          <w:p>
            <w:pPr>
              <w:pStyle w:val="Normal"/>
              <w:widowControl w:val="false"/>
              <w:spacing w:before="0" w:after="0"/>
              <w:contextualSpacing/>
              <w:rPr>
                <w:rFonts w:eastAsia="Calibri"/>
                <w:sz w:val="22"/>
                <w:szCs w:val="22"/>
              </w:rPr>
            </w:pPr>
            <w:r>
              <w:rPr>
                <w:rFonts w:eastAsia="Calibri"/>
                <w:sz w:val="22"/>
                <w:szCs w:val="22"/>
              </w:rPr>
              <w:t>...</w:t>
            </w:r>
          </w:p>
        </w:tc>
        <w:tc>
          <w:tcPr>
            <w:tcW w:w="3526" w:type="dxa"/>
            <w:tcBorders>
              <w:left w:val="single" w:sz="4" w:space="0" w:color="000000"/>
              <w:bottom w:val="single" w:sz="4" w:space="0" w:color="000000"/>
              <w:right w:val="single" w:sz="4" w:space="0" w:color="000000"/>
            </w:tcBorders>
          </w:tcPr>
          <w:p>
            <w:pPr>
              <w:pStyle w:val="Normal"/>
              <w:widowControl w:val="false"/>
              <w:rPr>
                <w:bCs/>
                <w:color w:val="000000"/>
                <w:sz w:val="22"/>
                <w:szCs w:val="22"/>
                <w:lang w:val="en-US"/>
              </w:rPr>
            </w:pPr>
            <w:r>
              <w:rPr>
                <w:bCs/>
                <w:color w:val="000000"/>
                <w:sz w:val="22"/>
                <w:szCs w:val="22"/>
                <w:lang w:val="en-US"/>
              </w:rPr>
            </w:r>
          </w:p>
        </w:tc>
        <w:tc>
          <w:tcPr>
            <w:tcW w:w="1418"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eastAsia="en-US"/>
              </w:rPr>
            </w:pPr>
            <w:r>
              <w:rPr>
                <w:bCs/>
                <w:color w:val="000000"/>
                <w:sz w:val="22"/>
                <w:szCs w:val="22"/>
                <w:lang w:eastAsia="en-US"/>
              </w:rPr>
            </w:r>
          </w:p>
        </w:tc>
        <w:tc>
          <w:tcPr>
            <w:tcW w:w="2157"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lang w:val="en-US"/>
              </w:rPr>
            </w:pPr>
            <w:r>
              <w:rPr>
                <w:bCs/>
                <w:color w:val="000000"/>
                <w:sz w:val="22"/>
                <w:szCs w:val="22"/>
                <w:lang w:val="en-US"/>
              </w:rPr>
            </w:r>
          </w:p>
        </w:tc>
        <w:tc>
          <w:tcPr>
            <w:tcW w:w="2119" w:type="dxa"/>
            <w:tcBorders>
              <w:left w:val="single" w:sz="4" w:space="0" w:color="000000"/>
              <w:bottom w:val="single" w:sz="4" w:space="0" w:color="000000"/>
              <w:right w:val="single" w:sz="4" w:space="0" w:color="000000"/>
            </w:tcBorders>
          </w:tcPr>
          <w:p>
            <w:pPr>
              <w:pStyle w:val="Normal"/>
              <w:widowControl w:val="false"/>
              <w:jc w:val="center"/>
              <w:rPr>
                <w:bCs/>
                <w:color w:val="000000"/>
                <w:sz w:val="22"/>
                <w:szCs w:val="22"/>
              </w:rPr>
            </w:pPr>
            <w:r>
              <w:rPr>
                <w:bCs/>
                <w:color w:val="000000"/>
                <w:sz w:val="22"/>
                <w:szCs w:val="22"/>
              </w:rPr>
            </w:r>
          </w:p>
        </w:tc>
      </w:tr>
    </w:tbl>
    <w:p>
      <w:pPr>
        <w:pStyle w:val="Normal"/>
        <w:rPr/>
      </w:pPr>
      <w:r>
        <w:rPr/>
      </w:r>
    </w:p>
    <w:sectPr>
      <w:headerReference w:type="default" r:id="rId9"/>
      <w:headerReference w:type="first" r:id="rId10"/>
      <w:footerReference w:type="default" r:id="rId11"/>
      <w:footerReference w:type="first" r:id="rId12"/>
      <w:type w:val="nextPage"/>
      <w:pgSz w:w="11906" w:h="16838"/>
      <w:pgMar w:left="1134" w:right="1022" w:gutter="0" w:header="720" w:top="851" w:footer="720"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2"/>
      <w:numFmt w:val="decimal"/>
      <w:lvlText w:val="%1."/>
      <w:lvlJc w:val="left"/>
      <w:pPr>
        <w:tabs>
          <w:tab w:val="num" w:pos="360"/>
        </w:tabs>
        <w:ind w:left="360" w:hanging="360"/>
      </w:pPr>
      <w:rPr/>
    </w:lvl>
    <w:lvl w:ilvl="1">
      <w:start w:val="6"/>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3">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4">
    <w:lvl w:ilvl="0">
      <w:start w:val="2"/>
      <w:numFmt w:val="decimal"/>
      <w:lvlText w:val="%1."/>
      <w:lvlJc w:val="left"/>
      <w:pPr>
        <w:tabs>
          <w:tab w:val="num" w:pos="0"/>
        </w:tabs>
        <w:ind w:left="360" w:hanging="360"/>
      </w:pPr>
      <w:rPr/>
    </w:lvl>
    <w:lvl w:ilvl="1">
      <w:start w:val="7"/>
      <w:numFmt w:val="decimal"/>
      <w:lvlText w:val="%1.%2."/>
      <w:lvlJc w:val="left"/>
      <w:pPr>
        <w:tabs>
          <w:tab w:val="num" w:pos="0"/>
        </w:tabs>
        <w:ind w:left="927" w:hanging="360"/>
      </w:pPr>
      <w:rPr/>
    </w:lvl>
    <w:lvl w:ilvl="2">
      <w:start w:val="1"/>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5">
    <w:lvl w:ilvl="0">
      <w:start w:val="6"/>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16">
    <w:lvl w:ilvl="0">
      <w:start w:val="1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7">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8">
    <w:lvl w:ilvl="0">
      <w:start w:val="5"/>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2"/>
        <w:szCs w:val="22"/>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1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13"/>
    <w:lvlOverride w:ilvl="0">
      <w:startOverride w:val="1"/>
    </w:lvlOverride>
  </w:num>
  <w:num w:numId="21">
    <w:abstractNumId w:val="13"/>
    <w:lvlOverride w:ilvl="0">
      <w:startOverride w:val="1"/>
    </w:lvlOverride>
  </w:num>
</w:numbering>
</file>

<file path=word/settings.xml><?xml version="1.0" encoding="utf-8"?>
<w:settings xmlns:w="http://schemas.openxmlformats.org/wordprocessingml/2006/main">
  <w:zoom w:percent="90"/>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docVars>
    <w:docVar w:name="OUR_BANK_SNAME_R" w:val="Банка ГПБ (АО)"/>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94793"/>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nhideWhenUsed/>
    <w:rsid w:val="002b6da9"/>
    <w:rPr>
      <w:color w:val="0000FF" w:themeColor="hyperlink"/>
      <w:u w:val="single"/>
    </w:rPr>
  </w:style>
  <w:style w:type="character" w:styleId="Style12" w:customStyle="1">
    <w:name w:val="Абзац списка Знак"/>
    <w:link w:val="ListParagraph"/>
    <w:uiPriority w:val="34"/>
    <w:qFormat/>
    <w:locked/>
    <w:rsid w:val="00a560b3"/>
    <w:rPr/>
  </w:style>
  <w:style w:type="paragraph" w:styleId="Style13">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4">
    <w:name w:val="Указатель"/>
    <w:basedOn w:val="Normal"/>
    <w:qFormat/>
    <w:pPr>
      <w:suppressLineNumbers/>
    </w:pPr>
    <w:rPr>
      <w:rFonts w:cs="Arial Unicode MS"/>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5"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6"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7"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8"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19"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Default" w:customStyle="1">
    <w:name w:val="Default"/>
    <w:qFormat/>
    <w:rsid w:val="007d008c"/>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Style20" w:customStyle="1">
    <w:name w:val="Содержимое врезки"/>
    <w:basedOn w:val="Normal"/>
    <w:qFormat/>
    <w:pPr/>
    <w:rPr/>
  </w:style>
  <w:style w:type="paragraph" w:styleId="11" w:customStyle="1">
    <w:name w:val="Основной текст1"/>
    <w:basedOn w:val="Normal"/>
    <w:qFormat/>
    <w:pPr>
      <w:widowControl w:val="false"/>
      <w:shd w:val="clear" w:color="auto" w:fill="FFFFFF"/>
      <w:spacing w:lineRule="exact" w:line="302"/>
    </w:pPr>
    <w:rPr>
      <w:sz w:val="28"/>
      <w:szCs w:val="28"/>
    </w:rPr>
  </w:style>
  <w:style w:type="paragraph" w:styleId="Style21" w:customStyle="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a">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99990-333F-4F89-9841-5C5AD9838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Application>AlterOffice/3.4.0.9$Linux_X86_64 LibreOffice_project/b8daf9e823b1a5463a2f48435ddc2e8696e7d4fc</Application>
  <AppVersion>15.0000</AppVersion>
  <Pages>16</Pages>
  <Words>6384</Words>
  <Characters>45160</Characters>
  <CharactersWithSpaces>51296</CharactersWithSpaces>
  <Paragraphs>277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2023-10-17T12:22:00Z</dcterms:created>
  <dc:creator>Света &amp; Алла (Twix)</dc:creator>
  <dc:description/>
  <dc:language>ru-RU</dc:language>
  <cp:lastModifiedBy>korolevkv@corp.gidroogk.com</cp:lastModifiedBy>
  <cp:lastPrinted>2025-01-24T15:27:00Z</cp:lastPrinted>
  <dcterms:modified xsi:type="dcterms:W3CDTF">2026-08-31T15:11:11Z</dcterms:modified>
  <cp:revision>131</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