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</w:t>
      </w:r>
      <w:r>
        <w:rPr>
          <w:b w:val="false"/>
          <w:bCs w:val="false"/>
          <w:sz w:val="24"/>
          <w:szCs w:val="24"/>
          <w:lang w:eastAsia="en-US"/>
        </w:rPr>
        <w:t xml:space="preserve">  </w:t>
      </w:r>
      <w:r>
        <w:rPr>
          <w:b w:val="false"/>
          <w:bCs w:val="false"/>
          <w:sz w:val="24"/>
          <w:szCs w:val="24"/>
          <w:lang w:eastAsia="en-US"/>
        </w:rPr>
        <w:t>Приложение №1</w:t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lang w:eastAsia="en-US"/>
        </w:rPr>
        <w:t xml:space="preserve">                                                                                               </w:t>
      </w:r>
      <w:r>
        <w:rPr>
          <w:b w:val="false"/>
          <w:bCs w:val="false"/>
          <w:sz w:val="24"/>
          <w:szCs w:val="24"/>
          <w:lang w:eastAsia="en-US"/>
        </w:rPr>
        <w:t>к документации по запросу предложений</w:t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</w:t>
      </w:r>
      <w:r>
        <w:rPr>
          <w:b w:val="false"/>
          <w:bCs w:val="false"/>
          <w:sz w:val="24"/>
          <w:szCs w:val="24"/>
          <w:lang w:eastAsia="en-US"/>
        </w:rPr>
        <w:t>в электронной форме</w:t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>
        <w:rPr>
          <w:b w:val="false"/>
          <w:bCs w:val="false"/>
          <w:sz w:val="24"/>
          <w:szCs w:val="24"/>
          <w:lang w:eastAsia="en-US"/>
        </w:rPr>
        <w:t>Лот 51</w:t>
      </w:r>
      <w:r>
        <w:rPr>
          <w:b w:val="false"/>
          <w:bCs w:val="false"/>
          <w:sz w:val="24"/>
          <w:szCs w:val="24"/>
          <w:lang w:eastAsia="en-US"/>
        </w:rPr>
        <w:t>30</w:t>
      </w:r>
      <w:r>
        <w:rPr>
          <w:b w:val="false"/>
          <w:bCs w:val="false"/>
          <w:sz w:val="24"/>
          <w:szCs w:val="24"/>
          <w:lang w:eastAsia="en-US"/>
        </w:rPr>
        <w:t>-</w:t>
      </w:r>
      <w:r>
        <w:rPr>
          <w:b w:val="false"/>
          <w:bCs w:val="false"/>
          <w:sz w:val="24"/>
          <w:szCs w:val="24"/>
          <w:lang w:eastAsia="en-US"/>
        </w:rPr>
        <w:t xml:space="preserve">ТО </w:t>
      </w:r>
      <w:r>
        <w:rPr>
          <w:b w:val="false"/>
          <w:bCs w:val="false"/>
          <w:sz w:val="24"/>
          <w:szCs w:val="24"/>
          <w:lang w:eastAsia="en-US"/>
        </w:rPr>
        <w:t>ПРОД-202</w:t>
      </w:r>
      <w:r>
        <w:rPr>
          <w:b w:val="false"/>
          <w:bCs w:val="false"/>
          <w:sz w:val="24"/>
          <w:szCs w:val="24"/>
          <w:lang w:eastAsia="en-US"/>
        </w:rPr>
        <w:t>7</w:t>
      </w:r>
      <w:r>
        <w:rPr>
          <w:b w:val="false"/>
          <w:bCs w:val="false"/>
          <w:sz w:val="24"/>
          <w:szCs w:val="24"/>
          <w:lang w:eastAsia="en-US"/>
        </w:rPr>
        <w:t>-ТК-ПриволФ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Технические требования на оказание услуг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 xml:space="preserve">ОКПД2:45.20.30.000 </w:t>
      </w:r>
      <w:r>
        <w:rPr>
          <w:rFonts w:eastAsia="Calibri"/>
          <w:b/>
          <w:bCs/>
          <w:sz w:val="24"/>
          <w:szCs w:val="24"/>
          <w:lang w:eastAsia="en-US"/>
        </w:rPr>
        <w:t>Услуги мойки грузовых</w:t>
      </w:r>
      <w:r>
        <w:rPr>
          <w:rFonts w:eastAsia="Calibri"/>
          <w:b/>
          <w:bCs/>
          <w:vanish w:val="false"/>
          <w:sz w:val="24"/>
          <w:szCs w:val="24"/>
          <w:lang w:eastAsia="en-US"/>
        </w:rPr>
        <w:t xml:space="preserve"> транспортных средств</w:t>
      </w:r>
      <w:r>
        <w:rPr>
          <w:rFonts w:eastAsia="Calibri"/>
          <w:b/>
          <w:bCs/>
          <w:sz w:val="24"/>
          <w:szCs w:val="24"/>
          <w:lang w:eastAsia="en-US"/>
        </w:rPr>
        <w:t xml:space="preserve">, автобусов и спецтехники для нужд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Жигулевского транспортного участка 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szCs w:val="28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>Приволжского филиала АО «ТК РусГидро»</w:t>
      </w:r>
    </w:p>
    <w:p>
      <w:pPr>
        <w:pStyle w:val="Normal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en-US"/>
        </w:rPr>
        <w:t>Лот 5130-ТО ПРОД-2027-ТК-ПриволФ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rFonts w:eastAsia="Calibri"/>
          <w:b/>
          <w:b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Cs/>
          <w:i/>
          <w:i/>
          <w:color w:val="000000"/>
          <w:sz w:val="24"/>
          <w:szCs w:val="24"/>
          <w:lang w:eastAsia="en-US"/>
        </w:rPr>
      </w:pPr>
      <w:r>
        <w:rPr>
          <w:rFonts w:eastAsia="Calibri"/>
          <w:bCs/>
          <w:i/>
          <w:color w:val="000000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ind w:left="426" w:hanging="426"/>
        <w:rPr>
          <w:sz w:val="24"/>
          <w:szCs w:val="24"/>
        </w:rPr>
      </w:pPr>
      <w:r>
        <w:rPr>
          <w:b/>
          <w:sz w:val="24"/>
          <w:szCs w:val="24"/>
        </w:rPr>
        <w:t>Общие сведения ______________________________________________________________3</w:t>
      </w:r>
    </w:p>
    <w:p>
      <w:pPr>
        <w:pStyle w:val="Normal"/>
        <w:ind w:left="786" w:hanging="0"/>
        <w:rPr>
          <w:sz w:val="24"/>
          <w:szCs w:val="24"/>
        </w:rPr>
      </w:pPr>
      <w:r>
        <w:rPr>
          <w:sz w:val="24"/>
          <w:szCs w:val="24"/>
        </w:rPr>
        <w:t>1.1. Обозначения и сокращения_______________________________________________ 3</w:t>
      </w:r>
    </w:p>
    <w:p>
      <w:pPr>
        <w:pStyle w:val="Normal"/>
        <w:ind w:left="786" w:hanging="0"/>
        <w:rPr>
          <w:sz w:val="24"/>
          <w:szCs w:val="24"/>
        </w:rPr>
      </w:pPr>
      <w:r>
        <w:rPr>
          <w:sz w:val="24"/>
          <w:szCs w:val="24"/>
        </w:rPr>
        <w:t>1.2. Наименование закупаемой продукции______________________________________3</w:t>
      </w:r>
    </w:p>
    <w:p>
      <w:pPr>
        <w:pStyle w:val="Normal"/>
        <w:ind w:left="786" w:hanging="0"/>
        <w:rPr>
          <w:sz w:val="24"/>
          <w:szCs w:val="24"/>
        </w:rPr>
      </w:pPr>
      <w:r>
        <w:rPr>
          <w:sz w:val="24"/>
          <w:szCs w:val="24"/>
        </w:rPr>
        <w:t>1.3. Цели оказания услуг_____________________________________________________3</w:t>
      </w:r>
    </w:p>
    <w:p>
      <w:pPr>
        <w:pStyle w:val="Normal"/>
        <w:ind w:left="786" w:hanging="0"/>
        <w:rPr>
          <w:sz w:val="24"/>
          <w:szCs w:val="24"/>
        </w:rPr>
      </w:pPr>
      <w:r>
        <w:rPr>
          <w:sz w:val="24"/>
          <w:szCs w:val="24"/>
        </w:rPr>
        <w:t xml:space="preserve">1.4. Существующее положение_______________________________________________ 3                                        </w:t>
      </w:r>
    </w:p>
    <w:p>
      <w:pPr>
        <w:pStyle w:val="Normal"/>
        <w:ind w:left="786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</w:t>
      </w:r>
      <w:r>
        <w:rPr>
          <w:sz w:val="24"/>
          <w:szCs w:val="24"/>
        </w:rPr>
        <w:t>_____________________________________3</w:t>
      </w:r>
    </w:p>
    <w:p>
      <w:pPr>
        <w:pStyle w:val="Normal"/>
        <w:numPr>
          <w:ilvl w:val="0"/>
          <w:numId w:val="2"/>
        </w:numPr>
        <w:ind w:left="426" w:hanging="426"/>
        <w:rPr>
          <w:sz w:val="24"/>
          <w:szCs w:val="24"/>
        </w:rPr>
      </w:pPr>
      <w:r>
        <w:rPr>
          <w:b/>
          <w:bCs/>
          <w:sz w:val="24"/>
          <w:szCs w:val="24"/>
        </w:rPr>
        <w:t>Требования к продукции______________________________________________________ 4</w:t>
      </w:r>
    </w:p>
    <w:p>
      <w:pPr>
        <w:pStyle w:val="Normal"/>
        <w:ind w:left="426" w:hanging="0"/>
        <w:rPr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2.1. </w:t>
      </w:r>
      <w:r>
        <w:rPr>
          <w:bCs/>
          <w:sz w:val="24"/>
          <w:szCs w:val="24"/>
        </w:rPr>
        <w:t>Требования к объемам и срокам оказания услуг_____________________________ 4</w:t>
      </w:r>
    </w:p>
    <w:p>
      <w:pPr>
        <w:pStyle w:val="Normal"/>
        <w:ind w:left="426" w:hanging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>
        <w:rPr>
          <w:bCs/>
          <w:sz w:val="24"/>
          <w:szCs w:val="24"/>
        </w:rPr>
        <w:t>2.1.1. Требования к перечню</w:t>
      </w:r>
      <w:r>
        <w:rPr>
          <w:sz w:val="24"/>
          <w:szCs w:val="24"/>
        </w:rPr>
        <w:t xml:space="preserve"> и объему услуг___________________________________ 4</w:t>
      </w:r>
    </w:p>
    <w:p>
      <w:pPr>
        <w:pStyle w:val="Normal"/>
        <w:ind w:left="426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2. Перечень и объем оказываемых услуг</w:t>
      </w:r>
      <w:r>
        <w:rPr>
          <w:sz w:val="24"/>
          <w:szCs w:val="24"/>
        </w:rPr>
        <w:t>________________________________4</w:t>
      </w:r>
    </w:p>
    <w:p>
      <w:pPr>
        <w:pStyle w:val="Normal"/>
        <w:ind w:left="426" w:hanging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2.1.2. Требования к срокам оказания услуг_____________________________________4</w:t>
      </w:r>
    </w:p>
    <w:p>
      <w:pPr>
        <w:pStyle w:val="Normal"/>
        <w:ind w:left="426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3. Требования к срокам оказания услуг</w:t>
      </w:r>
      <w:r>
        <w:rPr>
          <w:sz w:val="24"/>
          <w:szCs w:val="24"/>
        </w:rPr>
        <w:t>_________________________________4</w:t>
      </w:r>
    </w:p>
    <w:p>
      <w:pPr>
        <w:pStyle w:val="Normal"/>
        <w:ind w:left="426" w:hanging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2.2. Требования к качеству продукции_________________________________________5</w:t>
      </w:r>
    </w:p>
    <w:p>
      <w:pPr>
        <w:pStyle w:val="Normal"/>
        <w:ind w:left="426" w:hang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 4. Требования к качеству продукции_</w:t>
      </w:r>
      <w:r>
        <w:rPr>
          <w:sz w:val="24"/>
          <w:szCs w:val="24"/>
        </w:rPr>
        <w:t>__________________________________5</w:t>
      </w:r>
    </w:p>
    <w:p>
      <w:pPr>
        <w:pStyle w:val="Normal"/>
        <w:ind w:hang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  <w:tab/>
        <w:t>Требования к документации по ценообразованию на этапе закупки______________9</w:t>
      </w:r>
    </w:p>
    <w:p>
      <w:pPr>
        <w:pStyle w:val="NoSpacing"/>
        <w:numPr>
          <w:ilvl w:val="0"/>
          <w:numId w:val="0"/>
        </w:numPr>
        <w:tabs>
          <w:tab w:val="clear" w:pos="720"/>
          <w:tab w:val="left" w:pos="426" w:leader="none"/>
        </w:tabs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</w:t>
        <w:tab/>
        <w:tab/>
        <w:t>Требования к документации по ценообразованию на этапе заключения (исполнения) договора____________________________________________________________9</w:t>
      </w:r>
    </w:p>
    <w:p>
      <w:pPr>
        <w:pStyle w:val="NoSpacing"/>
        <w:numPr>
          <w:ilvl w:val="0"/>
          <w:numId w:val="0"/>
        </w:numPr>
        <w:tabs>
          <w:tab w:val="clear" w:pos="720"/>
          <w:tab w:val="left" w:pos="426" w:leader="none"/>
        </w:tabs>
        <w:spacing w:before="0" w:after="0"/>
        <w:ind w:left="0" w:hanging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№1 к Техническим требованиям Перечень услуг________________________10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cs="Times New Roman"/>
              <w:b w:val="false"/>
              <w:i/>
              <w:i/>
            </w:rPr>
          </w:pPr>
          <w:r>
            <w:rPr>
              <w:rFonts w:cs="Times New Roman"/>
              <w:b w:val="false"/>
              <w:i/>
            </w:rPr>
          </w:r>
        </w:p>
      </w:sdtContent>
    </w:sdt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4"/>
        </w:numPr>
        <w:spacing w:before="120" w:after="6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8"/>
          <w:szCs w:val="28"/>
        </w:rPr>
        <w:t>Общие сведения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hanging="432"/>
        <w:outlineLvl w:val="3"/>
        <w:rPr>
          <w:bCs/>
          <w:spacing w:val="-2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1.1.</w:t>
        <w:tab/>
        <w:tab/>
        <w:t>Обозначения и сокращения</w:t>
      </w:r>
    </w:p>
    <w:tbl>
      <w:tblPr>
        <w:tblW w:w="98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33"/>
        <w:gridCol w:w="7291"/>
      </w:tblGrid>
      <w:tr>
        <w:trPr>
          <w:cantSplit w:val="true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классификатор продукции по видам экономической деятельности</w:t>
            </w:r>
          </w:p>
        </w:tc>
      </w:tr>
      <w:tr>
        <w:trPr>
          <w:cantSplit w:val="true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ПДД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дорожного движения</w:t>
            </w:r>
          </w:p>
        </w:tc>
      </w:tr>
    </w:tbl>
    <w:p>
      <w:pPr>
        <w:pStyle w:val="Normal"/>
        <w:ind w:left="786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color w:val="000000"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1.2.</w:t>
        <w:tab/>
        <w:t>Наименование закупаемой продукции</w:t>
      </w:r>
    </w:p>
    <w:p>
      <w:pPr>
        <w:pStyle w:val="Heading1"/>
        <w:numPr>
          <w:ilvl w:val="0"/>
          <w:numId w:val="1"/>
        </w:numPr>
        <w:spacing w:lineRule="atLeast" w:line="11" w:before="0" w:after="0"/>
        <w:contextualSpacing/>
        <w:jc w:val="both"/>
        <w:rPr>
          <w:bCs/>
          <w:spacing w:val="-2"/>
          <w:sz w:val="24"/>
          <w:szCs w:val="24"/>
        </w:rPr>
      </w:pPr>
      <w:r>
        <w:rPr>
          <w:b w:val="false"/>
          <w:color w:val="000000"/>
          <w:spacing w:val="-2"/>
          <w:sz w:val="24"/>
          <w:szCs w:val="24"/>
        </w:rPr>
        <w:tab/>
        <w:t xml:space="preserve">ОКПД2:45.20.30.000 </w:t>
      </w:r>
      <w:r>
        <w:rPr>
          <w:rFonts w:eastAsia="Calibri"/>
          <w:b w:val="false"/>
          <w:bCs/>
          <w:color w:val="000000"/>
          <w:spacing w:val="-2"/>
          <w:sz w:val="24"/>
          <w:szCs w:val="24"/>
          <w:lang w:eastAsia="en-US"/>
        </w:rPr>
        <w:t>Услуги мойки грузовых транспортных средств, автобусов и спецтехники для нужд Жигулевского транспортного участка Приволжского филиала АО «ТК РусГидро»</w:t>
      </w:r>
      <w:r>
        <w:rPr>
          <w:rFonts w:eastAsia="Calibri"/>
          <w:b/>
          <w:bCs/>
          <w:color w:val="000000"/>
          <w:spacing w:val="-10"/>
          <w:sz w:val="24"/>
          <w:szCs w:val="24"/>
          <w:lang w:eastAsia="en-US"/>
        </w:rPr>
        <w:t>.</w:t>
      </w:r>
    </w:p>
    <w:p>
      <w:pPr>
        <w:pStyle w:val="Normal"/>
        <w:ind w:left="426" w:hanging="0"/>
        <w:jc w:val="both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8"/>
        <w:rPr>
          <w:bCs/>
          <w:sz w:val="24"/>
        </w:rPr>
      </w:pPr>
      <w:r>
        <w:rPr>
          <w:b/>
          <w:bCs/>
          <w:spacing w:val="-10"/>
          <w:sz w:val="24"/>
          <w:szCs w:val="24"/>
        </w:rPr>
        <w:t>1.3.</w:t>
        <w:tab/>
        <w:t>Цель оказания услуг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bCs/>
          <w:spacing w:val="-2"/>
          <w:sz w:val="24"/>
          <w:szCs w:val="24"/>
        </w:rPr>
      </w:pPr>
      <w:r>
        <w:rPr>
          <w:bCs/>
          <w:sz w:val="24"/>
        </w:rPr>
        <w:tab/>
        <w:t xml:space="preserve">Поддержание эстетического состояния транспортных средств Жигулевского транспортного участка, в соответствии с </w:t>
      </w:r>
      <w:r>
        <w:rPr>
          <w:bCs/>
          <w:spacing w:val="-2"/>
          <w:sz w:val="24"/>
          <w:szCs w:val="24"/>
        </w:rPr>
        <w:t>Постановлением Правительства РФ от 23.10.1993 N 1090 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редакции).</w:t>
      </w:r>
    </w:p>
    <w:p>
      <w:pPr>
        <w:pStyle w:val="Normal"/>
        <w:ind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ind w:hanging="0"/>
        <w:jc w:val="both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1.4.  </w:t>
        <w:tab/>
        <w:t>Существующее положение</w:t>
      </w:r>
    </w:p>
    <w:p>
      <w:pPr>
        <w:pStyle w:val="Normal"/>
        <w:ind w:left="36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</w:r>
    </w:p>
    <w:p>
      <w:pPr>
        <w:pStyle w:val="Normal"/>
        <w:ind w:left="36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Таблица 1. Перечень объектов заказчика</w:t>
      </w:r>
    </w:p>
    <w:p>
      <w:pPr>
        <w:pStyle w:val="Normal"/>
        <w:ind w:left="36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</w:r>
    </w:p>
    <w:tbl>
      <w:tblPr>
        <w:tblW w:w="9915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40"/>
        <w:gridCol w:w="2124"/>
        <w:gridCol w:w="2547"/>
        <w:gridCol w:w="170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основного средства </w:t>
              <w:b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Услуги мойки грузовых транспортных средств, автобусов и спецтехники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Самарская обл.,       г. Тольятти и г. Жигулевск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ПАЗ 4234-05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Приволжский филиал АО «ТК РусГидро»</w:t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>2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КАМАЗ 65115-N3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КАМАЗ 541150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iCs/>
                <w:color w:val="000000"/>
                <w:sz w:val="24"/>
                <w:szCs w:val="24"/>
                <w:lang w:val="en-US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680302 автомобиль с краном-манипулятором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АПТ 18.02 ГАЗ 3309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КС-65717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КС-45721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62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481230 (ПСС-131.22Э на шасси КАМАЗ 43253)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КАМАЗ 53213С (АВТОКРАН МКАТ-20.01)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Локомобиль 7093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КО-560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.37891000001002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Экскаватор-погрузчик Volvo BL71B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Универсальная дорожная машина"Кировец"К-702МВА-УДМ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Трактор БЕЛАРУС 82.1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НЕФАЗ-9334-10-01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2ПТС-6,5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2ПТС-6,5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ПАЗ VECTOR NEXT 320405-04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53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YUTONG ZK6122H9</w:t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contextualSpacing/>
        <w:jc w:val="left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  <w:tab/>
        <w:t>Требования к продукции.</w:t>
      </w:r>
    </w:p>
    <w:p>
      <w:pPr>
        <w:pStyle w:val="Normal"/>
        <w:spacing w:before="0" w:after="0"/>
        <w:ind w:left="360" w:hanging="36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2.1.</w:t>
        <w:tab/>
        <w:t>Требования к объемам и срокам оказания услуг</w:t>
      </w:r>
    </w:p>
    <w:p>
      <w:pPr>
        <w:pStyle w:val="Normal"/>
        <w:spacing w:before="0" w:after="0"/>
        <w:ind w:left="360" w:hanging="360"/>
        <w:contextualSpacing/>
        <w:rPr>
          <w:rFonts w:eastAsia="Calibri"/>
          <w:b/>
          <w:sz w:val="24"/>
          <w:szCs w:val="24"/>
        </w:rPr>
      </w:pPr>
      <w:r>
        <w:rPr>
          <w:bCs/>
          <w:sz w:val="24"/>
          <w:szCs w:val="24"/>
        </w:rPr>
        <w:t>2.1.1.</w:t>
        <w:tab/>
        <w:t>Требования к перечню</w:t>
      </w:r>
      <w:r>
        <w:rPr>
          <w:rFonts w:eastAsia="Calibri"/>
          <w:sz w:val="24"/>
          <w:szCs w:val="24"/>
        </w:rPr>
        <w:t xml:space="preserve"> и объему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Таблица 2. </w:t>
      </w:r>
      <w:r>
        <w:rPr>
          <w:b/>
          <w:bCs/>
          <w:sz w:val="24"/>
          <w:szCs w:val="24"/>
        </w:rPr>
        <w:t>Перечень и объем оказываемых услуг</w:t>
      </w:r>
    </w:p>
    <w:tbl>
      <w:tblPr>
        <w:tblStyle w:val="affff5"/>
        <w:tblW w:w="99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4537"/>
        <w:gridCol w:w="2237"/>
        <w:gridCol w:w="2291"/>
      </w:tblGrid>
      <w:tr>
        <w:trPr/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Наименование услуг/этапа услуг</w:t>
            </w:r>
          </w:p>
        </w:tc>
        <w:tc>
          <w:tcPr>
            <w:tcW w:w="22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Единица измерения</w:t>
            </w:r>
          </w:p>
        </w:tc>
        <w:tc>
          <w:tcPr>
            <w:tcW w:w="22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Количество*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kern w:val="0"/>
                <w:sz w:val="24"/>
                <w:szCs w:val="24"/>
                <w:lang w:val="ru-RU" w:eastAsia="en-US"/>
              </w:rPr>
              <w:t>Услуги мойки грузовых транспортных средств, автобусов и спецтехники</w:t>
            </w:r>
          </w:p>
        </w:tc>
        <w:tc>
          <w:tcPr>
            <w:tcW w:w="452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zh-CN"/>
              </w:rPr>
              <w:t>В соответствии с Перечнем услуг (Приложение № 1 к настоящим Техническим требованиям)</w:t>
            </w:r>
          </w:p>
        </w:tc>
      </w:tr>
    </w:tbl>
    <w:p>
      <w:pPr>
        <w:pStyle w:val="Normal"/>
        <w:ind w:left="36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*- объем оказываемых услуг является ориентировочным и Заказчик не несет ответственности за неполную выборку услуг на общую сумму договора.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2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2.1.2 Требования к срокам оказания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Таблица 3. </w:t>
      </w:r>
      <w:bookmarkStart w:id="0" w:name="_Hlk50465284"/>
      <w:r>
        <w:rPr>
          <w:rFonts w:eastAsia="Calibri"/>
          <w:b/>
          <w:bCs/>
          <w:sz w:val="24"/>
          <w:szCs w:val="24"/>
        </w:rPr>
        <w:t xml:space="preserve">Требования к срокам </w:t>
      </w:r>
      <w:bookmarkEnd w:id="0"/>
      <w:r>
        <w:rPr>
          <w:rFonts w:eastAsia="Calibri"/>
          <w:b/>
          <w:bCs/>
          <w:sz w:val="24"/>
          <w:szCs w:val="24"/>
        </w:rPr>
        <w:t>оказания услуг</w:t>
      </w:r>
    </w:p>
    <w:tbl>
      <w:tblPr>
        <w:tblW w:w="99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3"/>
        <w:gridCol w:w="3527"/>
        <w:gridCol w:w="2611"/>
        <w:gridCol w:w="2923"/>
      </w:tblGrid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Calibri"/>
                <w:b w:val="false"/>
                <w:bCs w:val="false"/>
                <w:kern w:val="0"/>
                <w:sz w:val="20"/>
                <w:szCs w:val="20"/>
                <w:lang w:val="ru-RU" w:eastAsia="en-US"/>
              </w:rPr>
              <w:t>Услуги мойки грузовых транспортных средств, автобусов и спецтехники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01.04.2027г.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27" w:right="113" w:hanging="0"/>
              <w:jc w:val="center"/>
              <w:rPr>
                <w:b/>
                <w:sz w:val="24"/>
                <w:szCs w:val="24"/>
              </w:rPr>
            </w:pPr>
            <w:r>
              <w:rPr/>
              <w:t>31.12.202</w:t>
            </w:r>
            <w:r>
              <w:rPr>
                <w:lang w:val="en-US"/>
              </w:rPr>
              <w:t>7</w:t>
            </w:r>
            <w:r>
              <w:rPr/>
              <w:t xml:space="preserve"> г.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215" w:right="716" w:gutter="0" w:header="0" w:top="960" w:footer="720" w:bottom="99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before="0" w:after="0"/>
        <w:contextualSpacing/>
        <w:jc w:val="both"/>
        <w:rPr>
          <w:bCs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</w:rPr>
        <w:t xml:space="preserve">2.2. </w:t>
        <w:tab/>
        <w:t xml:space="preserve">Требования к качеству </w:t>
      </w:r>
      <w:r>
        <w:rPr>
          <w:b/>
          <w:bCs/>
          <w:color w:val="000000"/>
          <w:sz w:val="24"/>
          <w:szCs w:val="24"/>
          <w:lang w:val="en-US"/>
        </w:rPr>
        <w:t>продукции</w:t>
      </w:r>
    </w:p>
    <w:p>
      <w:pPr>
        <w:pStyle w:val="Style18"/>
        <w:spacing w:before="60" w:after="120"/>
        <w:jc w:val="left"/>
        <w:rPr>
          <w:bCs/>
        </w:rPr>
      </w:pPr>
      <w:r>
        <w:rPr>
          <w:bCs/>
        </w:rPr>
        <w:t>Таблица 4. Требования к качеству продукции</w:t>
      </w:r>
    </w:p>
    <w:p>
      <w:pPr>
        <w:pStyle w:val="Style18"/>
        <w:spacing w:before="60" w:after="120"/>
        <w:jc w:val="both"/>
        <w:rPr>
          <w:bCs/>
        </w:rPr>
      </w:pPr>
      <w:r>
        <w:rPr>
          <w:bCs/>
        </w:rPr>
        <w:t xml:space="preserve">Наименование услуг/этапа услуг (позиция № 1 Таблицы 2): </w:t>
      </w:r>
      <w:r>
        <w:rPr>
          <w:b w:val="false"/>
          <w:bCs/>
          <w:color w:val="000000"/>
          <w:spacing w:val="-2"/>
          <w:sz w:val="24"/>
          <w:szCs w:val="24"/>
        </w:rPr>
        <w:t xml:space="preserve">ОКПД2:45.20.30.000 </w:t>
      </w:r>
      <w:r>
        <w:rPr>
          <w:rFonts w:eastAsia="Calibri"/>
          <w:b w:val="false"/>
          <w:bCs/>
          <w:color w:val="000000"/>
          <w:spacing w:val="-2"/>
          <w:sz w:val="24"/>
          <w:szCs w:val="24"/>
          <w:lang w:eastAsia="en-US"/>
        </w:rPr>
        <w:t>Услуги мойки грузовых транспортных средств, автобусов и спецтехники для нужд Жигулевского транспортного участка Приволжского филиала АО «ТК РусГидро»</w:t>
      </w:r>
    </w:p>
    <w:tbl>
      <w:tblPr>
        <w:tblW w:w="145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18"/>
        <w:gridCol w:w="2311"/>
        <w:gridCol w:w="45"/>
        <w:gridCol w:w="4651"/>
        <w:gridCol w:w="3000"/>
        <w:gridCol w:w="3210"/>
      </w:tblGrid>
      <w:tr>
        <w:trPr/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4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Требование заказчика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1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6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Требования к оказанию услуг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i/>
                <w:i/>
                <w:iCs/>
                <w:sz w:val="20"/>
                <w:szCs w:val="20"/>
                <w:lang w:eastAsia="ru-RU"/>
              </w:rPr>
            </w:pPr>
            <w:r>
              <w:rPr>
                <w:b/>
                <w:i/>
                <w:iCs/>
                <w:sz w:val="20"/>
                <w:szCs w:val="20"/>
                <w:lang w:eastAsia="ru-RU"/>
              </w:rPr>
              <w:t>-//-</w:t>
            </w:r>
          </w:p>
        </w:tc>
      </w:tr>
      <w:tr>
        <w:trPr/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70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Общие требования к оказанию услуг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right="283" w:hanging="0"/>
              <w:contextualSpacing/>
              <w:jc w:val="center"/>
              <w:rPr/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       </w:t>
            </w:r>
            <w:r>
              <w:rPr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Style w:val="Style3"/>
                <w:b w:val="false"/>
                <w:iCs/>
                <w:shd w:fill="auto" w:val="clear"/>
                <w:lang w:eastAsia="ru-RU"/>
              </w:rPr>
            </w:pPr>
            <w:r>
              <w:rPr>
                <w:b/>
                <w:i/>
                <w:iCs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both"/>
              <w:rPr>
                <w:rStyle w:val="Style3"/>
                <w:b w:val="false"/>
                <w:iCs/>
                <w:shd w:fill="auto" w:val="clear"/>
                <w:lang w:eastAsia="ru-RU"/>
              </w:rPr>
            </w:pPr>
            <w:r>
              <w:rPr>
                <w:rStyle w:val="Style3"/>
                <w:b w:val="false"/>
                <w:iCs/>
                <w:shd w:fill="auto" w:val="clear"/>
                <w:lang w:eastAsia="ru-RU"/>
              </w:rPr>
              <w:t>Услуги по мойке автотранспортных средств Жигулевского транспортного участка Приволжского филиала АО «ТК РусГидро»: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rStyle w:val="Style3"/>
                <w:b w:val="false"/>
                <w:iCs/>
                <w:shd w:fill="auto" w:val="clear"/>
                <w:lang w:eastAsia="ru-RU"/>
              </w:rPr>
            </w:pPr>
            <w:r>
              <w:rPr>
                <w:rStyle w:val="Style3"/>
                <w:b w:val="false"/>
                <w:iCs/>
                <w:shd w:fill="auto" w:val="clear"/>
                <w:lang w:eastAsia="ru-RU"/>
              </w:rPr>
              <w:t>- Бесконтактная мойка с использованием соответствующих поверхностно активных веществ и контактная мойка кузовов, двигателей, подкапотного пространства грузовых транспортных средств, автобусов и спецтехники.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65" w:leader="none"/>
              </w:tabs>
              <w:spacing w:before="60" w:after="0"/>
              <w:rPr/>
            </w:pPr>
            <w:r>
              <w:rPr>
                <w:rStyle w:val="Style3"/>
                <w:b w:val="false"/>
                <w:iCs/>
                <w:shd w:fill="auto" w:val="clear"/>
                <w:lang w:eastAsia="ru-RU"/>
              </w:rPr>
              <w:t>- Уборка салона и багажника с применением пылесоса и специальных средств очистки.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right="283" w:hanging="0"/>
              <w:contextualSpacing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1.1.2</w:t>
            </w:r>
          </w:p>
        </w:tc>
        <w:tc>
          <w:tcPr>
            <w:tcW w:w="70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При оказании услуг Исполнитель не должен допускать повреждения автомобиля, в том числе царапины, вмятины, поломки элементов кузова, салона, зеркал, фонарей, антенн, колес, стекол и другие механические повреждения, а также должен обеспечить сохранность лакокрасочного покрытия автомобиля. В зимнее время во избежание негативного воздействия на лакокрасочное покрытие мойка и сушка автомобилей должна осуществляться в отапливаемом помещении.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Исполнитель несет полную материальную ответственность за причинение ущерба имуществу Заказчика.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right="283" w:hanging="0"/>
              <w:contextualSpacing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1.1.3</w:t>
            </w:r>
          </w:p>
        </w:tc>
        <w:tc>
          <w:tcPr>
            <w:tcW w:w="70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Услуги оказываются на специализированной автомоечной станции. Исполнитель на все время оказания услуги обеспечивает возможность доступа представителя Заказчика в помещения Исполнителя для визуального контроля за процессом оказания услуг и за соответствием услуг условиям контракта.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Услуги по мойке автомобилей должны оказываться по мере возникновения у Заказчика необходимости.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Срок оказания услуг – в течение 1 (Одного) дня с момента обращения Заказчика.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Режим работы автомойки должен быть: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желательное требование: круглосуточный, без выходных дней;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обязательное требование: с 8:00 до 18:00 в рабочие дни.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Услуги должны оказываться в отапливаемом и освещаемом закрытом помещении, предназначенном для мойки транспортных средств, с высотой потолков и ворот, обеспечивающих въезд-выезд транспортных средств Заказчика.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Габаритные размеры моечного пункта должны составлять не менее: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- высота проёма для въезда 3,5 м;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- длина помещения для мойки 15,0 м;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- ширина проёма для въезда 3,5 м.</w:t>
            </w:r>
          </w:p>
          <w:p>
            <w:pPr>
              <w:pStyle w:val="Normal"/>
              <w:widowControl w:val="false"/>
              <w:spacing w:before="60" w:after="60"/>
              <w:rPr>
                <w:i/>
                <w:i/>
                <w:iCs/>
              </w:rPr>
            </w:pPr>
            <w:r>
              <w:rPr>
                <w:i/>
                <w:iCs/>
              </w:rPr>
              <w:t>Исполнитель должен обеспечивать возможность пребывания водителей Заказчика, передавших транспортные средства в мойку, в отапливаемой зоне ожидания на период оказания Услуг.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right="283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235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i/>
                <w:i/>
                <w:iCs/>
              </w:rPr>
            </w:pPr>
            <w:r>
              <w:rPr>
                <w:i/>
                <w:iCs/>
              </w:rPr>
              <w:t>Место оказания услуг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851" w:leader="none"/>
              </w:tabs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sz w:val="20"/>
                <w:szCs w:val="20"/>
              </w:rPr>
              <w:t>Исполнитель должен предоставлять услуги по мойке грузовых ТС, автобусов и спецтехники Жигулевского транспортного участка и иметь автомойку в радиусе 30 км от места стоянки ТС Заказчика, находящегося по адресу Самарская обл., г. Жигулевск, территория филиала ПАО «РусГидро»- «Жигулевская ГЭС».</w:t>
            </w:r>
          </w:p>
        </w:tc>
        <w:tc>
          <w:tcPr>
            <w:tcW w:w="3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bookmarkStart w:id="1" w:name="_Ref54012570"/>
            <w:bookmarkStart w:id="2" w:name="_Ref54012570_Копия_1"/>
            <w:bookmarkEnd w:id="1"/>
            <w:bookmarkEnd w:id="2"/>
            <w:r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0"/>
              <w:ind w:left="174" w:hanging="0"/>
              <w:contextualSpacing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0"/>
              <w:ind w:left="174" w:hanging="0"/>
              <w:contextualSpacing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i/>
                <w:i/>
                <w:iCs/>
                <w:lang w:eastAsia="ru-RU"/>
              </w:rPr>
            </w:pPr>
            <w:r>
              <w:rPr>
                <w:i/>
                <w:iCs/>
              </w:rPr>
              <w:t>Материалы, используемые при оказании услуг</w:t>
            </w:r>
          </w:p>
          <w:p>
            <w:pPr>
              <w:pStyle w:val="Style18"/>
              <w:widowControl w:val="false"/>
              <w:spacing w:before="0" w:after="0"/>
              <w:jc w:val="left"/>
              <w:rPr>
                <w:rFonts w:eastAsia="Times New Roman"/>
                <w:b w:val="false"/>
                <w:i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 w:val="false"/>
                <w:i/>
                <w:iCs/>
                <w:sz w:val="20"/>
                <w:szCs w:val="20"/>
                <w:lang w:eastAsia="ru-RU"/>
              </w:rPr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Исполнитель должен обладать всеми необходимыми для выполнения договора видами ресурсов: аппарат высокого давления, пенный экстрактор, моющий пылесос, компрессор, моющие средства, средства для полировки кузова, средства для чистки салона и стекол, средства для полировки хромированных деталей и колесных дисков, средства для очистки кузовных деталей от битума и других загрязнений, средства для очистки резинотехнических изделий, средства для удаления загрязнений от нефтепродуктов, обтирочный материал.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i/>
                <w:i/>
                <w:iCs/>
              </w:rPr>
            </w:pPr>
            <w:r>
              <w:rPr>
                <w:i/>
                <w:iCs/>
              </w:rPr>
              <w:t>Требования к используемым  материалам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При оказании услуг Исполнитель должен применять только сертифицированное оборудование, материалы и средства, обеспечивающие безопасность жизни и здоровья людей, и не причиняющие вреда автотранспорту (включая его конструктивные элементы, детали, узлы), в том числе не вызывающие коррозию, механические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и химические повреждения, нарушения лакокрасочного покрытия.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Используемые при оказании услуг средства и материалы должны соответствовать обязательным требованиям государственных стандартов, санитарным нормам и иным установленным законом требованиям и гарантировать при их использовании безопасность для жизни и здоровья людей и состояния окружающей среды.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i/>
                <w:i/>
                <w:i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Расходные материалы, используемые при мойке должны быть промышленного производства, иметь надлежащие сертификаты качества.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i/>
                <w:i/>
                <w:i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Все оборудование и расходные материалы, необходимые для оказания услуг предоставляются Исполнителем за свой счет.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Требования к результатам у</w:t>
            </w:r>
            <w:r>
              <w:rPr>
                <w:b/>
              </w:rPr>
              <w:t>слуг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>Общие требования к результатам услуг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i/>
                <w:i/>
                <w:iCs/>
              </w:rPr>
            </w:pPr>
            <w:r>
              <w:rPr>
                <w:i/>
                <w:iCs/>
              </w:rPr>
              <w:t>Требования к  результатам оказания услуг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После завершения мойки автомобиля не допускается наличие разводов на стеклах и кузове, наружных зеркалах, фарах; не должно быть песка на ковриках и порогах; пыли, масляных пятен и подтеков; салон должен быть сухим, без грязи и пятен, а также без грязи на дверных ручках, дворниках, замках, дверных проемах. Должна быть обеспечена сохранность лакокрасочного покрытия автомобиля, антенн, зеркал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Style w:val="Style3"/>
                <w:b w:val="false"/>
                <w:bCs/>
                <w:shd w:fill="auto" w:val="clear"/>
              </w:rPr>
            </w:pPr>
            <w:r>
              <w:rPr>
                <w:b/>
                <w:bCs/>
              </w:rPr>
              <w:t>Требования к приемке результата оказания у</w:t>
            </w:r>
            <w:r>
              <w:rPr>
                <w:b/>
              </w:rPr>
              <w:t>слуг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rPr>
                <w:i/>
                <w:i/>
                <w:iCs/>
              </w:rPr>
            </w:pPr>
            <w:r>
              <w:rPr>
                <w:i/>
                <w:iCs/>
              </w:rPr>
              <w:t>Осмотр ТС после оказании услуги.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После оказании услуги Заказчик проводит визуальный осмотр ТС на предмет соответствия качества оказанных услуг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>
                <w:b/>
              </w:rPr>
              <w:t>Требования к документации, описывающей результат оказания услуг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both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сдачи-приемки оказанных услуг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передает Заказчику акт сдачи-приемки оказанных услуг в двух экземплярах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Счет на оплату</w:t>
            </w:r>
          </w:p>
        </w:tc>
        <w:tc>
          <w:tcPr>
            <w:tcW w:w="4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передает счет на оплату после оказания услуги.</w:t>
            </w:r>
          </w:p>
        </w:tc>
        <w:tc>
          <w:tcPr>
            <w:tcW w:w="3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2.4.3.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Счет-фактура (если контрагент является плательщиком НДС)</w:t>
            </w:r>
          </w:p>
        </w:tc>
        <w:tc>
          <w:tcPr>
            <w:tcW w:w="4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передает счет фактуру или универсальный передаточный документ (если Исполнитель является плательщиком НДС)</w:t>
            </w:r>
          </w:p>
        </w:tc>
        <w:tc>
          <w:tcPr>
            <w:tcW w:w="3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hanging="0"/>
              <w:contextualSpacing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both"/>
              <w:rPr>
                <w:b/>
              </w:rPr>
            </w:pPr>
            <w:r>
              <w:rPr>
                <w:b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60"/>
              <w:ind w:left="312" w:hanging="0"/>
              <w:contextualSpacing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60"/>
              <w:ind w:left="312" w:hanging="0"/>
              <w:contextualSpacing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</w:rPr>
            </w:pPr>
            <w:r>
              <w:rPr>
                <w:i/>
                <w:iCs/>
              </w:rPr>
              <w:t>Требования к исполнителю</w:t>
            </w:r>
          </w:p>
        </w:tc>
        <w:tc>
          <w:tcPr>
            <w:tcW w:w="4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Участник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 и иметь соответствующие действующие лицензии на выполнение видов деятельности в рамках Договора). Участник не должен являться неплатежеспособным или банкротом, находится в процессе ликвидации, на имущество Участника в части, существенной для исполнения договора, не должен быть наложен арест, экономическая деятельность Участника не должна быть приостановлена.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</w:rPr>
            </w:pPr>
            <w:r>
              <w:rPr>
                <w:i/>
                <w:iCs/>
              </w:rPr>
              <w:t>Требования к соисполнителям, привлекаемым к оказанию услуг</w:t>
            </w:r>
          </w:p>
        </w:tc>
        <w:tc>
          <w:tcPr>
            <w:tcW w:w="4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Участник должен являться непосредственным исполнителем работ</w:t>
            </w:r>
          </w:p>
        </w:tc>
        <w:tc>
          <w:tcPr>
            <w:tcW w:w="3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1134" w:footer="72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spacing w:before="0" w:after="0"/>
        <w:ind w:hang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</w:t>
        <w:tab/>
        <w:t>Требования к документации по ценообразованию на этапе закупки</w:t>
      </w:r>
    </w:p>
    <w:p>
      <w:pPr>
        <w:pStyle w:val="NoSpacing"/>
        <w:spacing w:before="0" w:after="0"/>
        <w:ind w:left="360" w:hanging="0"/>
        <w:contextualSpacing/>
        <w:jc w:val="both"/>
        <w:rPr/>
      </w:pPr>
      <w:r>
        <w:rPr/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 </w:t>
        <w:tab/>
        <w:tab/>
        <w:t>В обоснование стоимости своей заявки Участник предоставляет Коммерческое предложение.</w:t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  <w:tab/>
        <w:tab/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закупке).</w:t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3.3. </w:t>
        <w:tab/>
        <w:tab/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/>
      </w:pPr>
      <w:r>
        <w:rPr/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4. </w:t>
        <w:tab/>
        <w:tab/>
        <w:t>Требования к документации по ценообразованию на этапе заключения (исполнения) договора</w:t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/>
      </w:pPr>
      <w:r>
        <w:rPr/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4.1. </w:t>
        <w:tab/>
        <w:tab/>
      </w:r>
      <w:r>
        <w:rPr>
          <w:rFonts w:cs="Times New Roman" w:ascii="Times New Roman" w:hAnsi="Times New Roman"/>
          <w:sz w:val="24"/>
        </w:rPr>
        <w:t xml:space="preserve">В итоговый расчет стоимости оказания услуг должны быть включены все налоги, сборы, пошлины и прочие обязательные платежи, возникающие в ходе исполнения обязательств по договору, а также стоимость расходных материалов, используемых в ходе проведения работ. </w:t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</w:t>
        <w:tab/>
        <w:tab/>
        <w:t>Стоимость 1 (одной) единицы услуг остается неизменной в течение всего срока действия договора.</w:t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p>
      <w:pPr>
        <w:pStyle w:val="NoSpacing"/>
        <w:tabs>
          <w:tab w:val="clear" w:pos="720"/>
          <w:tab w:val="left" w:pos="426" w:leader="none"/>
        </w:tabs>
        <w:spacing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contextualSpacing/>
        <w:jc w:val="righ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 </w:t>
      </w:r>
    </w:p>
    <w:p>
      <w:pPr>
        <w:pStyle w:val="Normal"/>
        <w:spacing w:before="0" w:after="0"/>
        <w:contextualSpacing/>
        <w:jc w:val="righ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Приложение № 1 к Техническим требованиям</w:t>
      </w:r>
    </w:p>
    <w:p>
      <w:pPr>
        <w:pStyle w:val="Normal"/>
        <w:spacing w:before="0" w:after="0"/>
        <w:contextualSpacing/>
        <w:jc w:val="righ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</w:r>
    </w:p>
    <w:p>
      <w:pPr>
        <w:pStyle w:val="Normal"/>
        <w:spacing w:before="0" w:after="0"/>
        <w:contextualSpacing/>
        <w:jc w:val="center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Перечень услуг</w:t>
      </w:r>
    </w:p>
    <w:p>
      <w:pPr>
        <w:pStyle w:val="Normal"/>
        <w:spacing w:before="0" w:after="0"/>
        <w:contextualSpacing/>
        <w:jc w:val="center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</w:r>
    </w:p>
    <w:tbl>
      <w:tblPr>
        <w:tblW w:w="997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474"/>
        <w:gridCol w:w="1587"/>
        <w:gridCol w:w="1588"/>
        <w:gridCol w:w="1856"/>
        <w:gridCol w:w="1305"/>
        <w:gridCol w:w="1425"/>
      </w:tblGrid>
      <w:tr>
        <w:trPr>
          <w:trHeight w:val="300" w:hRule="atLeast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Тип транспортного средство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Модель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Гос. номер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услуг(работ)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b/>
                <w:bCs/>
                <w:position w:val="0"/>
                <w:sz w:val="22"/>
                <w:sz w:val="22"/>
                <w:szCs w:val="22"/>
                <w:vertAlign w:val="baseline"/>
                <w:lang w:val="en-US"/>
              </w:rPr>
              <w:t>Единица измерения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</w:t>
            </w:r>
          </w:p>
        </w:tc>
      </w:tr>
      <w:tr>
        <w:trPr>
          <w:trHeight w:val="6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Автобус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ПАЗ 4234-05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Х 548 НА 163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6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Автобус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КАМАЗ 65115-N3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 502 ОМ 163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6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Грузовой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КАМАЗ 541150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 793 ЕМ 163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6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Грузовой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680302 автомобиль с краном-манипулятором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А 026 УТ 163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6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Гидроподъемник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АПТ 18.02 ГАЗ 3309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А 648 ТЕ 34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Автокран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КС-65717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Х 439 НА 163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Автокран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КС-45721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 169 ВЕ 163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Гидроподъемник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481230 (ПСС-131.22Э на шасси КАМАЗ 43253)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 172 ВЕ 163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Автокран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КАМАЗ 53213С (АВТОКРАН МКАТ-20.01)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 795 ЕМ 163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Грузовой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Локомобиль 7093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У 898 ХЕ 163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Грузовой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КО-560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 568 АВ 763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Грузовой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.37891000001002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Х 991 АН 63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Экскаватор-погрузчик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Экскаватор-погрузчик Volvo BL71B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63 ОТ 8000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трактор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"Кировец"К-702МВА-УДМ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63 СВ 8326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трактор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Трактор БЕЛАРУС 82.1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63 АМ 5588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п/прицеп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НЕФАЗ-9334-10-01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63 АС 1067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Прицеп тракторный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2ПТС-6,5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63 СВ 8316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Прицеп тракторный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2ПТС-6,5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63 ОТ 4621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Автобус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ПАЗ VECTOR NEXT 320405-04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Е 488 ХО 763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74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Автобус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YUTONG ZK6122H9</w:t>
            </w:r>
          </w:p>
        </w:tc>
        <w:tc>
          <w:tcPr>
            <w:tcW w:w="1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М 882 ОХ 763</w:t>
            </w:r>
          </w:p>
        </w:tc>
        <w:tc>
          <w:tcPr>
            <w:tcW w:w="1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Мойка кабины, кузова и рамы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услуга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</w:t>
            </w:r>
          </w:p>
        </w:tc>
      </w:tr>
    </w:tbl>
    <w:p>
      <w:pPr>
        <w:pStyle w:val="Normal"/>
        <w:spacing w:before="0" w:after="0"/>
        <w:contextualSpacing/>
        <w:jc w:val="center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215" w:right="716" w:gutter="0" w:header="0" w:top="960" w:footer="72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900" w:hanging="540"/>
      </w:pPr>
      <w:rPr/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b/>
        <w:bCs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Sans" w:hAnsi="PT Sans" w:eastAsia="Noto Serif CJK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20"/>
        <w:tab w:val="left" w:pos="0" w:leader="none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tabs>
        <w:tab w:val="clear" w:pos="720"/>
        <w:tab w:val="left" w:pos="0" w:leader="none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tabs>
        <w:tab w:val="clear" w:pos="720"/>
        <w:tab w:val="left" w:pos="0" w:leader="none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 w:val="true"/>
      <w:keepLines/>
      <w:tabs>
        <w:tab w:val="clear" w:pos="720"/>
        <w:tab w:val="left" w:pos="0" w:leader="none"/>
      </w:tabs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qFormat/>
    <w:pPr>
      <w:keepNext w:val="true"/>
      <w:keepLines/>
      <w:tabs>
        <w:tab w:val="clear" w:pos="720"/>
        <w:tab w:val="left" w:pos="0" w:leader="none"/>
      </w:tabs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qFormat/>
    <w:pPr>
      <w:keepNext w:val="true"/>
      <w:keepLines/>
      <w:tabs>
        <w:tab w:val="clear" w:pos="720"/>
        <w:tab w:val="left" w:pos="0" w:leader="none"/>
      </w:tabs>
      <w:spacing w:before="200" w:after="0"/>
      <w:outlineLvl w:val="7"/>
    </w:pPr>
    <w:rPr>
      <w:rFonts w:ascii="Cambria" w:hAnsi="Cambria" w:cs="Cambria"/>
      <w:color w:val="4F81BD"/>
    </w:rPr>
  </w:style>
  <w:style w:type="paragraph" w:styleId="Heading9">
    <w:name w:val="Heading 9"/>
    <w:basedOn w:val="Normal"/>
    <w:next w:val="Normal"/>
    <w:qFormat/>
    <w:pPr>
      <w:tabs>
        <w:tab w:val="clear" w:pos="720"/>
        <w:tab w:val="left" w:pos="0" w:leader="none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b/>
      <w:bCs/>
    </w:rPr>
  </w:style>
  <w:style w:type="character" w:styleId="WW8Num7z0" w:customStyle="1">
    <w:name w:val="WW8Num7z0"/>
    <w:qFormat/>
    <w:rPr>
      <w:rFonts w:ascii="Times New Roman" w:hAnsi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4z0" w:customStyle="1">
    <w:name w:val="WW8Num4z0"/>
    <w:qFormat/>
    <w:rPr/>
  </w:style>
  <w:style w:type="character" w:styleId="WW8Num8z0" w:customStyle="1">
    <w:name w:val="WW8Num8z0"/>
    <w:qFormat/>
    <w:rPr>
      <w:b/>
      <w:bCs/>
    </w:rPr>
  </w:style>
  <w:style w:type="character" w:styleId="WW8Num9z0" w:customStyle="1">
    <w:name w:val="WW8Num9z0"/>
    <w:qFormat/>
    <w:rPr>
      <w:rFonts w:ascii="Times New Roman" w:hAnsi="Times New Roman" w:cs="Times New Roman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2z0" w:customStyle="1">
    <w:name w:val="WW8Num2z0"/>
    <w:qFormat/>
    <w:rPr/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1z0" w:customStyle="1">
    <w:name w:val="WW8Num1z0"/>
    <w:qFormat/>
    <w:rPr/>
  </w:style>
  <w:style w:type="character" w:styleId="WW8Num10z0" w:customStyle="1">
    <w:name w:val="WW8Num10z0"/>
    <w:qFormat/>
    <w:rPr/>
  </w:style>
  <w:style w:type="character" w:styleId="Normal1" w:customStyle="1">
    <w:name w:val="Normal1 Знак"/>
    <w:qFormat/>
    <w:rPr>
      <w:rFonts w:eastAsia="Calibri"/>
      <w:lang w:val="ru-RU" w:bidi="ar-SA"/>
    </w:rPr>
  </w:style>
  <w:style w:type="character" w:styleId="Style" w:customStyle="1">
    <w:name w:val="Текст сноски Знак"/>
    <w:basedOn w:val="DefaultParagraphFont"/>
    <w:qFormat/>
    <w:rPr/>
  </w:style>
  <w:style w:type="character" w:styleId="Style1" w:customStyle="1">
    <w:name w:val="Символ сноски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2" w:customStyle="1">
    <w:name w:val="Абзац списка Знак"/>
    <w:qFormat/>
    <w:rPr/>
  </w:style>
  <w:style w:type="character" w:styleId="Style3" w:customStyle="1">
    <w:name w:val="комментарий"/>
    <w:qFormat/>
    <w:rPr>
      <w:b/>
      <w:i/>
      <w:shd w:fill="FFFF99" w:val="clear"/>
    </w:rPr>
  </w:style>
  <w:style w:type="character" w:styleId="Style4" w:customStyle="1">
    <w:name w:val="Верхний колонтитул Знак"/>
    <w:basedOn w:val="DefaultParagraphFont"/>
    <w:qFormat/>
    <w:rPr/>
  </w:style>
  <w:style w:type="character" w:styleId="Style5" w:customStyle="1">
    <w:name w:val="Нижний колонтитул Знак"/>
    <w:basedOn w:val="DefaultParagraphFont"/>
    <w:qFormat/>
    <w:rPr/>
  </w:style>
  <w:style w:type="character" w:styleId="3" w:customStyle="1">
    <w:name w:val="Основной текст с отступом 3 Знак"/>
    <w:qFormat/>
    <w:rPr>
      <w:sz w:val="16"/>
      <w:szCs w:val="16"/>
    </w:rPr>
  </w:style>
  <w:style w:type="character" w:styleId="1" w:customStyle="1">
    <w:name w:val="Неразрешенное упоминание1"/>
    <w:qFormat/>
    <w:rPr>
      <w:color w:val="605E5C"/>
      <w:shd w:fill="E1DFDD" w:val="clear"/>
    </w:rPr>
  </w:style>
  <w:style w:type="character" w:styleId="11" w:customStyle="1">
    <w:name w:val="УРОВЕНЬ_1. Знак"/>
    <w:qFormat/>
    <w:rPr>
      <w:rFonts w:eastAsia="Calibri"/>
      <w:caps/>
      <w:sz w:val="28"/>
      <w:szCs w:val="28"/>
    </w:rPr>
  </w:style>
  <w:style w:type="character" w:styleId="2" w:customStyle="1">
    <w:name w:val="Пункт2 Знак"/>
    <w:qFormat/>
    <w:rPr>
      <w:b/>
      <w:sz w:val="28"/>
    </w:rPr>
  </w:style>
  <w:style w:type="character" w:styleId="Style6" w:customStyle="1">
    <w:name w:val="Символ концевой сноски"/>
    <w:qFormat/>
    <w:rPr>
      <w:vertAlign w:val="superscript"/>
    </w:rPr>
  </w:style>
  <w:style w:type="character" w:styleId="Style7" w:customStyle="1">
    <w:name w:val="Текст концевой сноски Знак"/>
    <w:basedOn w:val="DefaultParagraphFont"/>
    <w:qFormat/>
    <w:rPr/>
  </w:style>
  <w:style w:type="character" w:styleId="Style8" w:customStyle="1">
    <w:name w:val="Текст примечания Знак"/>
    <w:qFormat/>
    <w:rPr/>
  </w:style>
  <w:style w:type="character" w:styleId="31" w:customStyle="1">
    <w:name w:val="УРОВЕНЬ_Абзац_тип3 Знак"/>
    <w:qFormat/>
    <w:rPr>
      <w:rFonts w:eastAsia="Calibri"/>
      <w:sz w:val="26"/>
      <w:szCs w:val="28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Blk" w:customStyle="1">
    <w:name w:val="blk"/>
    <w:qFormat/>
    <w:rPr/>
  </w:style>
  <w:style w:type="character" w:styleId="Style10" w:customStyle="1">
    <w:name w:val="Основной текст Знак"/>
    <w:qFormat/>
    <w:rPr>
      <w:sz w:val="28"/>
      <w:szCs w:val="28"/>
    </w:rPr>
  </w:style>
  <w:style w:type="character" w:styleId="12" w:customStyle="1">
    <w:name w:val="Подпункт Знак1"/>
    <w:qFormat/>
    <w:rPr>
      <w:sz w:val="28"/>
    </w:rPr>
  </w:style>
  <w:style w:type="character" w:styleId="Style11" w:customStyle="1">
    <w:name w:val="Электронная подпись Знак"/>
    <w:qFormat/>
    <w:rPr>
      <w:rFonts w:eastAsia="Calibri"/>
      <w:sz w:val="24"/>
      <w:szCs w:val="24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12" w:customStyle="1">
    <w:name w:val="Выделенная цитата Знак"/>
    <w:qFormat/>
    <w:rPr>
      <w:rFonts w:ascii="Calibri" w:hAnsi="Calibri" w:eastAsia="Calibri" w:cs="Calibri"/>
      <w:b/>
      <w:bCs/>
      <w:i/>
      <w:iCs/>
      <w:color w:val="4F81BD"/>
      <w:lang w:val="ru-RU"/>
    </w:rPr>
  </w:style>
  <w:style w:type="character" w:styleId="21" w:customStyle="1">
    <w:name w:val="Цитата 2 Знак"/>
    <w:qFormat/>
    <w:rPr>
      <w:rFonts w:ascii="Calibri" w:hAnsi="Calibri" w:eastAsia="Calibri" w:cs="Calibri"/>
      <w:i/>
      <w:iCs/>
      <w:color w:val="000000"/>
      <w:lang w:val="ru-RU"/>
    </w:rPr>
  </w:style>
  <w:style w:type="character" w:styleId="Emphasis">
    <w:name w:val="Emphasis"/>
    <w:qFormat/>
    <w:rPr>
      <w:i/>
      <w:iCs/>
    </w:rPr>
  </w:style>
  <w:style w:type="character" w:styleId="Style13" w:customStyle="1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character" w:styleId="Style14" w:customStyle="1">
    <w:name w:val="Название Знак"/>
    <w:qFormat/>
    <w:rPr>
      <w:sz w:val="28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32" w:customStyle="1">
    <w:name w:val="Заголовок 3 Знак"/>
    <w:qFormat/>
    <w:rPr>
      <w:rFonts w:eastAsia="Calibri"/>
      <w:b/>
      <w:sz w:val="24"/>
      <w:szCs w:val="24"/>
      <w:lang w:val="ru-RU"/>
    </w:rPr>
  </w:style>
  <w:style w:type="character" w:styleId="22" w:customStyle="1">
    <w:name w:val="Заголовок 2 Знак"/>
    <w:qFormat/>
    <w:rPr>
      <w:rFonts w:eastAsia="Calibri"/>
      <w:b/>
      <w:bCs/>
      <w:sz w:val="24"/>
      <w:szCs w:val="24"/>
      <w:lang w:val="ru-RU"/>
    </w:rPr>
  </w:style>
  <w:style w:type="character" w:styleId="13" w:customStyle="1">
    <w:name w:val="Заголовок 1 Знак"/>
    <w:qFormat/>
    <w:rPr>
      <w:rFonts w:eastAsia="Calibri"/>
      <w:b/>
      <w:sz w:val="28"/>
      <w:szCs w:val="28"/>
      <w:lang w:val="ru-RU"/>
    </w:rPr>
  </w:style>
  <w:style w:type="character" w:styleId="8" w:customStyle="1">
    <w:name w:val="Заголовок 8 Знак"/>
    <w:qFormat/>
    <w:rPr>
      <w:rFonts w:ascii="Cambria" w:hAnsi="Cambria" w:cs="Cambria"/>
      <w:color w:val="4F81BD"/>
      <w:lang w:val="ru-RU"/>
    </w:rPr>
  </w:style>
  <w:style w:type="character" w:styleId="7" w:customStyle="1">
    <w:name w:val="Заголовок 7 Знак"/>
    <w:qFormat/>
    <w:rPr>
      <w:rFonts w:ascii="Cambria" w:hAnsi="Cambria" w:cs="Cambria"/>
      <w:i/>
      <w:iCs/>
      <w:color w:val="404040"/>
      <w:lang w:val="ru-RU"/>
    </w:rPr>
  </w:style>
  <w:style w:type="character" w:styleId="6" w:customStyle="1">
    <w:name w:val="Заголовок 6 Знак"/>
    <w:qFormat/>
    <w:rPr>
      <w:rFonts w:ascii="Cambria" w:hAnsi="Cambria" w:cs="Cambria"/>
      <w:i/>
      <w:iCs/>
      <w:color w:val="243F60"/>
      <w:lang w:val="ru-RU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Pagenumber">
    <w:name w:val="page number"/>
    <w:basedOn w:val="DefaultParagraphFont"/>
    <w:qFormat/>
    <w:rPr/>
  </w:style>
  <w:style w:type="character" w:styleId="WW8Num21z1" w:customStyle="1">
    <w:name w:val="WW8Num21z1"/>
    <w:qFormat/>
    <w:rPr>
      <w:rFonts w:cs="Times New Roman"/>
    </w:rPr>
  </w:style>
  <w:style w:type="character" w:styleId="WW8Num21z0" w:customStyle="1">
    <w:name w:val="WW8Num21z0"/>
    <w:qFormat/>
    <w:rPr>
      <w:rFonts w:cs="Times New Roman"/>
      <w:color w:val="595959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0" w:customStyle="1">
    <w:name w:val="WW8Num20z0"/>
    <w:qFormat/>
    <w:rPr>
      <w:rFonts w:ascii="Symbol" w:hAnsi="Symbol" w:cs="Symbol"/>
    </w:rPr>
  </w:style>
  <w:style w:type="character" w:styleId="WW8Num19z0" w:customStyle="1">
    <w:name w:val="WW8Num19z0"/>
    <w:qFormat/>
    <w:rPr/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5z0" w:customStyle="1">
    <w:name w:val="WW8Num15z0"/>
    <w:qFormat/>
    <w:rPr/>
  </w:style>
  <w:style w:type="character" w:styleId="WW8Num14z0" w:customStyle="1">
    <w:name w:val="WW8Num14z0"/>
    <w:qFormat/>
    <w:rPr/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Times New Roman" w:hAnsi="Times New Roman" w:cs="Times New Roman"/>
      <w:sz w:val="28"/>
    </w:rPr>
  </w:style>
  <w:style w:type="character" w:styleId="WW8Num11z0" w:customStyle="1">
    <w:name w:val="WW8Num11z0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>
      <w:b/>
      <w:bCs/>
      <w:i w:val="false"/>
      <w:iCs/>
      <w:sz w:val="24"/>
      <w:szCs w:val="24"/>
    </w:rPr>
  </w:style>
  <w:style w:type="character" w:styleId="WW8Num4z4" w:customStyle="1">
    <w:name w:val="WW8Num4z4"/>
    <w:qFormat/>
    <w:rPr>
      <w:rFonts w:ascii="Times New Roman" w:hAnsi="Times New Roman" w:cs="Times New Roman"/>
    </w:rPr>
  </w:style>
  <w:style w:type="character" w:styleId="WW8Num3z2" w:customStyle="1">
    <w:name w:val="WW8Num3z2"/>
    <w:qFormat/>
    <w:rPr>
      <w:sz w:val="24"/>
      <w:szCs w:val="24"/>
    </w:rPr>
  </w:style>
  <w:style w:type="character" w:styleId="WW8Num3z1" w:customStyle="1">
    <w:name w:val="WW8Num3z1"/>
    <w:qFormat/>
    <w:rPr>
      <w:b w:val="false"/>
      <w:bCs/>
      <w:sz w:val="20"/>
      <w:szCs w:val="20"/>
    </w:rPr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>
      <w:b/>
      <w:bCs/>
      <w:i w:val="false"/>
      <w:iCs/>
      <w:sz w:val="24"/>
      <w:szCs w:val="24"/>
    </w:rPr>
  </w:style>
  <w:style w:type="character" w:styleId="WW8Num3z4" w:customStyle="1">
    <w:name w:val="WW8Num3z4"/>
    <w:qFormat/>
    <w:rPr>
      <w:rFonts w:ascii="Times New Roman" w:hAnsi="Times New Roman" w:cs="Times New Roman"/>
    </w:rPr>
  </w:style>
  <w:style w:type="character" w:styleId="WW8Num2z2" w:customStyle="1">
    <w:name w:val="WW8Num2z2"/>
    <w:qFormat/>
    <w:rPr>
      <w:sz w:val="24"/>
      <w:szCs w:val="24"/>
    </w:rPr>
  </w:style>
  <w:style w:type="character" w:styleId="WW8Num2z1" w:customStyle="1">
    <w:name w:val="WW8Num2z1"/>
    <w:qFormat/>
    <w:rPr>
      <w:b w:val="false"/>
      <w:bCs/>
      <w:sz w:val="20"/>
      <w:szCs w:val="20"/>
    </w:rPr>
  </w:style>
  <w:style w:type="character" w:styleId="Strong1" w:customStyle="1">
    <w:name w:val="Strong1"/>
    <w:qFormat/>
    <w:rPr>
      <w:b/>
      <w:bCs/>
    </w:rPr>
  </w:style>
  <w:style w:type="character" w:styleId="Strong11" w:customStyle="1">
    <w:name w:val="Strong11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jc w:val="center"/>
    </w:pPr>
    <w:rPr>
      <w:b/>
      <w:sz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>
      <w:suppressLineNumbers/>
    </w:pPr>
    <w:rPr>
      <w:bCs/>
      <w:sz w:val="32"/>
      <w:szCs w:val="32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;Calib"/>
      <w:b/>
      <w:bCs/>
      <w:sz w:val="24"/>
      <w:szCs w:val="24"/>
    </w:rPr>
  </w:style>
  <w:style w:type="paragraph" w:styleId="TOC3">
    <w:name w:val="TOC 3"/>
    <w:basedOn w:val="Normal"/>
    <w:next w:val="Normal"/>
    <w:pPr>
      <w:ind w:left="280" w:hanging="0"/>
    </w:pPr>
    <w:rPr>
      <w:rFonts w:cs="Calibri"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hanging="0"/>
    </w:pPr>
    <w:rPr>
      <w:rFonts w:cs="Calibr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1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/>
    </w:rPr>
  </w:style>
  <w:style w:type="paragraph" w:styleId="Style1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19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 w:customStyle="1">
    <w:name w:val="[РГ] Текст"/>
    <w:basedOn w:val="Normal"/>
    <w:qFormat/>
    <w:pPr>
      <w:spacing w:before="120" w:after="0"/>
      <w:jc w:val="both"/>
    </w:pPr>
    <w:rPr>
      <w:rFonts w:cs="Times New Roman (???????? ?????"/>
      <w:color w:val="000000"/>
      <w:sz w:val="26"/>
      <w:szCs w:val="24"/>
    </w:rPr>
  </w:style>
  <w:style w:type="paragraph" w:styleId="TOC8">
    <w:name w:val="TOC 8"/>
    <w:basedOn w:val="Normal"/>
    <w:next w:val="Normal"/>
    <w:pPr>
      <w:ind w:left="1680" w:hanging="0"/>
    </w:pPr>
    <w:rPr>
      <w:rFonts w:ascii="Calibri" w:hAnsi="Calibri" w:cs="Calibri"/>
    </w:rPr>
  </w:style>
  <w:style w:type="paragraph" w:styleId="TOC7">
    <w:name w:val="TOC 7"/>
    <w:basedOn w:val="Normal"/>
    <w:next w:val="Normal"/>
    <w:pPr>
      <w:ind w:left="1400" w:hanging="0"/>
    </w:pPr>
    <w:rPr>
      <w:rFonts w:ascii="Calibri" w:hAnsi="Calibri" w:cs="Calibri"/>
    </w:rPr>
  </w:style>
  <w:style w:type="paragraph" w:styleId="TOC6">
    <w:name w:val="TOC 6"/>
    <w:basedOn w:val="Normal"/>
    <w:next w:val="Normal"/>
    <w:pPr>
      <w:ind w:left="1120" w:hanging="0"/>
    </w:pPr>
    <w:rPr>
      <w:rFonts w:ascii="Calibri" w:hAnsi="Calibri" w:cs="Calibri"/>
    </w:rPr>
  </w:style>
  <w:style w:type="paragraph" w:styleId="14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Style23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23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</w:rPr>
  </w:style>
  <w:style w:type="paragraph" w:styleId="EndnoteText">
    <w:name w:val="Endnote Text"/>
    <w:basedOn w:val="Normal"/>
    <w:pPr/>
    <w:rPr/>
  </w:style>
  <w:style w:type="paragraph" w:styleId="15" w:customStyle="1">
    <w:name w:val="Стиль Заголовок 1 + по ширине"/>
    <w:basedOn w:val="Heading1"/>
    <w:qFormat/>
    <w:pPr>
      <w:keepLines/>
      <w:numPr>
        <w:ilvl w:val="0"/>
        <w:numId w:val="0"/>
      </w:numPr>
      <w:spacing w:before="480" w:after="240"/>
      <w:ind w:left="567" w:hanging="567"/>
      <w:jc w:val="both"/>
    </w:pPr>
    <w:rPr>
      <w:rFonts w:ascii="Arial" w:hAnsi="Arial" w:cs="Arial"/>
      <w:bCs/>
      <w:kern w:val="2"/>
      <w:sz w:val="40"/>
    </w:rPr>
  </w:style>
  <w:style w:type="paragraph" w:styleId="Style24" w:customStyle="1">
    <w:name w:val="УРОВЕНЬ_Подпись"/>
    <w:basedOn w:val="ListParagraph"/>
    <w:qFormat/>
    <w:pPr>
      <w:keepNext w:val="true"/>
      <w:numPr>
        <w:ilvl w:val="0"/>
        <w:numId w:val="2"/>
      </w:numPr>
      <w:spacing w:lineRule="exact" w:line="360" w:before="120" w:after="120"/>
      <w:contextualSpacing/>
      <w:jc w:val="right"/>
      <w:outlineLvl w:val="3"/>
    </w:pPr>
    <w:rPr>
      <w:sz w:val="26"/>
      <w:szCs w:val="28"/>
    </w:rPr>
  </w:style>
  <w:style w:type="paragraph" w:styleId="33" w:customStyle="1">
    <w:name w:val="УРОВЕНЬ_Абзац_тип3"/>
    <w:basedOn w:val="ListParagraph"/>
    <w:qFormat/>
    <w:pPr>
      <w:tabs>
        <w:tab w:val="clear" w:pos="720"/>
        <w:tab w:val="left" w:pos="0" w:leader="none"/>
      </w:tabs>
      <w:spacing w:lineRule="exact" w:line="360" w:before="120" w:after="0"/>
      <w:ind w:left="720" w:hanging="360"/>
      <w:contextualSpacing/>
      <w:jc w:val="both"/>
    </w:pPr>
    <w:rPr>
      <w:sz w:val="26"/>
      <w:szCs w:val="28"/>
    </w:rPr>
  </w:style>
  <w:style w:type="paragraph" w:styleId="24" w:customStyle="1">
    <w:name w:val="УРОВЕНЬ_Абзац_тип2"/>
    <w:basedOn w:val="ListParagraph"/>
    <w:qFormat/>
    <w:pPr>
      <w:tabs>
        <w:tab w:val="clear" w:pos="720"/>
        <w:tab w:val="left" w:pos="0" w:leader="none"/>
      </w:tabs>
      <w:spacing w:lineRule="exact" w:line="360" w:before="120" w:after="0"/>
      <w:ind w:left="720" w:hanging="360"/>
      <w:contextualSpacing/>
      <w:jc w:val="both"/>
    </w:pPr>
    <w:rPr>
      <w:sz w:val="26"/>
      <w:szCs w:val="28"/>
    </w:rPr>
  </w:style>
  <w:style w:type="paragraph" w:styleId="-" w:customStyle="1">
    <w:name w:val="УРОВЕНЬ_-"/>
    <w:basedOn w:val="ListParagraph"/>
    <w:qFormat/>
    <w:pPr>
      <w:tabs>
        <w:tab w:val="clear" w:pos="720"/>
        <w:tab w:val="left" w:pos="0" w:leader="none"/>
      </w:tabs>
      <w:spacing w:lineRule="exact" w:line="360" w:before="120" w:after="0"/>
      <w:ind w:left="720" w:hanging="360"/>
      <w:contextualSpacing/>
      <w:jc w:val="both"/>
      <w:outlineLvl w:val="4"/>
    </w:pPr>
    <w:rPr>
      <w:sz w:val="26"/>
      <w:szCs w:val="28"/>
    </w:rPr>
  </w:style>
  <w:style w:type="paragraph" w:styleId="Style25" w:customStyle="1">
    <w:name w:val="УРОВЕНЬ_(а)"/>
    <w:basedOn w:val="ListParagraph"/>
    <w:qFormat/>
    <w:pPr>
      <w:tabs>
        <w:tab w:val="clear" w:pos="720"/>
        <w:tab w:val="left" w:pos="0" w:leader="none"/>
      </w:tabs>
      <w:spacing w:lineRule="exact" w:line="360" w:before="120" w:after="0"/>
      <w:ind w:left="720" w:hanging="360"/>
      <w:contextualSpacing/>
      <w:jc w:val="both"/>
      <w:outlineLvl w:val="3"/>
    </w:pPr>
    <w:rPr>
      <w:sz w:val="26"/>
      <w:szCs w:val="28"/>
    </w:rPr>
  </w:style>
  <w:style w:type="paragraph" w:styleId="Style26" w:customStyle="1">
    <w:name w:val="Подпункт"/>
    <w:basedOn w:val="Normal"/>
    <w:qFormat/>
    <w:pPr>
      <w:snapToGrid w:val="false"/>
      <w:spacing w:lineRule="auto" w:line="360"/>
      <w:ind w:left="1134" w:hanging="1134"/>
      <w:jc w:val="both"/>
    </w:pPr>
    <w:rPr/>
  </w:style>
  <w:style w:type="paragraph" w:styleId="Style27" w:customStyle="1">
    <w:name w:val="Подподпункт"/>
    <w:basedOn w:val="Style26"/>
    <w:qFormat/>
    <w:pPr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16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29" w:customStyle="1">
    <w:name w:val="Пункт"/>
    <w:basedOn w:val="Normal"/>
    <w:qFormat/>
    <w:pPr>
      <w:widowControl w:val="false"/>
      <w:spacing w:lineRule="auto" w:line="360" w:before="120" w:after="0"/>
      <w:ind w:left="1134" w:right="800" w:hanging="1134"/>
      <w:jc w:val="both"/>
    </w:pPr>
    <w:rPr>
      <w:rFonts w:ascii="Arial" w:hAnsi="Arial" w:cs="Arial"/>
      <w:b/>
      <w:i/>
    </w:rPr>
  </w:style>
  <w:style w:type="paragraph" w:styleId="34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25" w:customStyle="1">
    <w:name w:val="Нумерованный список ур2"/>
    <w:basedOn w:val="Normal"/>
    <w:qFormat/>
    <w:pPr>
      <w:numPr>
        <w:ilvl w:val="0"/>
        <w:numId w:val="6"/>
      </w:numPr>
      <w:spacing w:before="120" w:after="0"/>
      <w:jc w:val="both"/>
    </w:pPr>
    <w:rPr>
      <w:rFonts w:ascii="Garamond" w:hAnsi="Garamond" w:cs="Garamond"/>
      <w:sz w:val="24"/>
    </w:rPr>
  </w:style>
  <w:style w:type="paragraph" w:styleId="ListBullet4">
    <w:name w:val="List Bullet 4"/>
    <w:basedOn w:val="Normal"/>
    <w:qFormat/>
    <w:pPr>
      <w:tabs>
        <w:tab w:val="clear" w:pos="720"/>
        <w:tab w:val="left" w:pos="0" w:leader="none"/>
      </w:tabs>
      <w:spacing w:before="120" w:after="0"/>
      <w:ind w:left="207" w:hanging="360"/>
      <w:jc w:val="both"/>
    </w:pPr>
    <w:rPr>
      <w:rFonts w:ascii="Garamond" w:hAnsi="Garamond" w:cs="Garamond"/>
      <w:sz w:val="24"/>
    </w:rPr>
  </w:style>
  <w:style w:type="paragraph" w:styleId="35" w:customStyle="1">
    <w:name w:val="Нумерованный список ур3"/>
    <w:basedOn w:val="Normal"/>
    <w:qFormat/>
    <w:pPr>
      <w:tabs>
        <w:tab w:val="clear" w:pos="720"/>
        <w:tab w:val="left" w:pos="0" w:leader="none"/>
      </w:tabs>
      <w:ind w:left="207" w:hanging="360"/>
      <w:jc w:val="both"/>
    </w:pPr>
    <w:rPr>
      <w:rFonts w:ascii="Garamond" w:hAnsi="Garamond" w:cs="Garamond"/>
      <w:sz w:val="24"/>
    </w:rPr>
  </w:style>
  <w:style w:type="paragraph" w:styleId="Style30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tabs>
        <w:tab w:val="left" w:pos="0" w:leader="none"/>
        <w:tab w:val="left" w:pos="6521" w:leader="none"/>
        <w:tab w:val="left" w:pos="6946" w:leader="none"/>
      </w:tabs>
      <w:spacing w:before="480" w:after="60"/>
      <w:ind w:left="720" w:hanging="360"/>
      <w:outlineLvl w:val="9"/>
    </w:pPr>
    <w:rPr>
      <w:rFonts w:ascii="Cambria" w:hAnsi="Cambria" w:cs="Cambria"/>
      <w:bCs/>
      <w:color w:val="365F91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 w:cs="Calibri"/>
      <w:i/>
      <w:iCs/>
      <w:color w:val="000000"/>
    </w:rPr>
  </w:style>
  <w:style w:type="paragraph" w:styleId="Subtitle">
    <w:name w:val="Subtitle"/>
    <w:basedOn w:val="Normal"/>
    <w:next w:val="Normal"/>
    <w:qFormat/>
    <w:pPr>
      <w:ind w:left="1066" w:firstLine="709"/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26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TOC5">
    <w:name w:val="TOC 5"/>
    <w:basedOn w:val="Normal"/>
    <w:next w:val="Normal"/>
    <w:pPr>
      <w:ind w:left="840" w:hanging="0"/>
    </w:pPr>
    <w:rPr>
      <w:rFonts w:ascii="Calibri" w:hAnsi="Calibri" w:cs="Calibri"/>
    </w:rPr>
  </w:style>
  <w:style w:type="paragraph" w:styleId="TOC9">
    <w:name w:val="TOC 9"/>
    <w:basedOn w:val="Normal"/>
    <w:next w:val="Normal"/>
    <w:pPr>
      <w:ind w:left="1960" w:hanging="0"/>
    </w:pPr>
    <w:rPr>
      <w:rFonts w:ascii="Calibri" w:hAnsi="Calibri" w:cs="Calibri"/>
    </w:rPr>
  </w:style>
  <w:style w:type="paragraph" w:styleId="17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TOC2">
    <w:name w:val="TOC 2"/>
    <w:basedOn w:val="Normal"/>
    <w:next w:val="Normal"/>
    <w:pPr>
      <w:spacing w:before="240" w:after="0"/>
    </w:pPr>
    <w:rPr>
      <w:rFonts w:cs="Calibri"/>
      <w:b/>
      <w:bCs/>
    </w:rPr>
  </w:style>
  <w:style w:type="paragraph" w:styleId="Style31" w:customStyle="1">
    <w:name w:val="Приложение к регламенту"/>
    <w:basedOn w:val="Normal"/>
    <w:qFormat/>
    <w:pPr>
      <w:jc w:val="right"/>
    </w:pPr>
    <w:rPr/>
  </w:style>
  <w:style w:type="paragraph" w:styleId="Style32" w:customStyle="1">
    <w:name w:val="Раздел регламента"/>
    <w:basedOn w:val="Normal"/>
    <w:qFormat/>
    <w:pPr/>
    <w:rPr/>
  </w:style>
  <w:style w:type="paragraph" w:styleId="27" w:customStyle="1">
    <w:name w:val="Пункт2"/>
    <w:basedOn w:val="Normal"/>
    <w:qFormat/>
    <w:pPr>
      <w:keepNext w:val="true"/>
      <w:snapToGrid w:val="false"/>
      <w:spacing w:before="240" w:after="120"/>
      <w:ind w:left="1134" w:hanging="1134"/>
      <w:outlineLvl w:val="2"/>
    </w:pPr>
    <w:rPr>
      <w:b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18" w:customStyle="1">
    <w:name w:val="Название1"/>
    <w:basedOn w:val="Normal"/>
    <w:qFormat/>
    <w:pPr>
      <w:jc w:val="center"/>
    </w:pPr>
    <w:rPr/>
  </w:style>
  <w:style w:type="paragraph" w:styleId="36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8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19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Style33" w:customStyle="1">
    <w:name w:val="Подраздел раздела положения"/>
    <w:basedOn w:val="Normal"/>
    <w:qFormat/>
    <w:pPr>
      <w:numPr>
        <w:ilvl w:val="0"/>
        <w:numId w:val="3"/>
      </w:numPr>
      <w:spacing w:before="80" w:after="80"/>
      <w:jc w:val="both"/>
    </w:pPr>
    <w:rPr/>
  </w:style>
  <w:style w:type="paragraph" w:styleId="Style34" w:customStyle="1">
    <w:name w:val="Раздел положения"/>
    <w:basedOn w:val="Normal"/>
    <w:qFormat/>
    <w:pPr>
      <w:tabs>
        <w:tab w:val="clear" w:pos="720"/>
        <w:tab w:val="left" w:pos="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5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Caption2" w:customStyle="1">
    <w:name w:val="Caption2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Caption3" w:customStyle="1">
    <w:name w:val="Caption3"/>
    <w:basedOn w:val="Normal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styleId="Style36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3"/>
    <w:uiPriority w:val="39"/>
    <w:rsid w:val="00ce6b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Application>AlterOffice/2025.3.1.0$Linux_X86_64 LibreOffice_project/6648c49ab2ca125dff246c75ec00a85a64baa8dd</Application>
  <AppVersion>15.0000</AppVersion>
  <Pages>10</Pages>
  <Words>1803</Words>
  <Characters>12212</Characters>
  <CharactersWithSpaces>14473</CharactersWithSpaces>
  <Paragraphs>385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2023-01-12T08:46:00Z</dcterms:created>
  <dc:creator>Архив</dc:creator>
  <dc:description/>
  <dc:language>ru-RU</dc:language>
  <cp:lastModifiedBy>shcherbakovav@corp.gidroogk.com</cp:lastModifiedBy>
  <cp:lastPrinted>2026-08-31T11:42:37Z</cp:lastPrinted>
  <dcterms:modified xsi:type="dcterms:W3CDTF">2026-08-31T16:46:36Z</dcterms:modified>
  <cp:revision>55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