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oter8.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outlineLvl w:val="0"/>
        <w:rPr>
          <w:sz w:val="24"/>
        </w:rPr>
      </w:pPr>
      <w:r>
        <w:rPr>
          <w:sz w:val="24"/>
        </w:rPr>
        <w:t>Договор поставки № _______</w:t>
      </w:r>
    </w:p>
    <w:p>
      <w:pPr>
        <w:pStyle w:val="Normal"/>
        <w:shd w:val="clear" w:color="auto" w:fill="FFFFFF"/>
        <w:spacing w:before="0" w:after="120"/>
        <w:rPr>
          <w:sz w:val="24"/>
          <w:szCs w:val="24"/>
        </w:rPr>
      </w:pPr>
      <w:r>
        <w:rPr>
          <w:sz w:val="24"/>
          <w:szCs w:val="24"/>
        </w:rPr>
        <w:t>г. Н.Новгород</w:t>
        <w:tab/>
        <w:tab/>
        <w:t xml:space="preserve">                      </w:t>
        <w:tab/>
        <w:tab/>
        <w:tab/>
        <w:tab/>
        <w:t xml:space="preserve"> </w:t>
        <w:tab/>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___________________________________, действующего на основании доверенности №___ от ______, с одной стороны, и</w:t>
      </w:r>
    </w:p>
    <w:p>
      <w:pPr>
        <w:pStyle w:val="Normal"/>
        <w:spacing w:before="0" w:after="120"/>
        <w:ind w:firstLine="567"/>
        <w:jc w:val="both"/>
        <w:rPr>
          <w:sz w:val="24"/>
          <w:szCs w:val="24"/>
        </w:rPr>
      </w:pPr>
      <w:r>
        <w:rPr>
          <w:b/>
          <w:sz w:val="24"/>
          <w:szCs w:val="24"/>
        </w:rPr>
        <w:t>___________________________________ (________________),</w:t>
      </w:r>
      <w:r>
        <w:rPr>
          <w:sz w:val="24"/>
          <w:szCs w:val="24"/>
        </w:rPr>
        <w:t xml:space="preserve"> именуемое в дальнейшем «</w:t>
      </w:r>
      <w:r>
        <w:rPr>
          <w:b/>
          <w:sz w:val="24"/>
          <w:szCs w:val="24"/>
        </w:rPr>
        <w:t>Поставщик</w:t>
      </w:r>
      <w:r>
        <w:rPr>
          <w:sz w:val="24"/>
          <w:szCs w:val="24"/>
        </w:rPr>
        <w:t xml:space="preserve">», в лице ___________________________, действующего на основании Устава,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 xml:space="preserve">по результатам проведенного ……………. на право заключения договора (лот № ,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5"/>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5"/>
        </w:numPr>
        <w:tabs>
          <w:tab w:val="clear" w:pos="720"/>
          <w:tab w:val="left" w:pos="567" w:leader="none"/>
        </w:tabs>
        <w:spacing w:before="0" w:after="120"/>
        <w:ind w:left="0" w:firstLine="567"/>
        <w:jc w:val="both"/>
        <w:rPr>
          <w:b w:val="false"/>
          <w:sz w:val="24"/>
        </w:rPr>
      </w:pPr>
      <w:r>
        <w:rPr>
          <w:b w:val="false"/>
          <w:sz w:val="24"/>
        </w:rPr>
        <w:t>Поставщик обязуется передать Покупателю охранные и пожарные устройства Болид</w:t>
      </w:r>
      <w:bookmarkStart w:id="0" w:name="_GoBack"/>
      <w:bookmarkEnd w:id="0"/>
      <w:r>
        <w:rPr>
          <w:b w:val="false"/>
          <w:sz w:val="24"/>
        </w:rPr>
        <w:t xml:space="preserve"> для Новосибирской ГЭС</w:t>
      </w:r>
      <w:r>
        <w:rPr>
          <w:sz w:val="24"/>
        </w:rPr>
        <w:t xml:space="preserve">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и техническими требованиями (</w:t>
      </w:r>
      <w:r>
        <w:rPr>
          <w:sz w:val="24"/>
        </w:rPr>
        <w:t>Приложение № 2</w:t>
      </w:r>
      <w:r>
        <w:rPr>
          <w:b w:val="false"/>
          <w:sz w:val="24"/>
        </w:rPr>
        <w:t>), а Покупатель обязуется принять и оплатить Продукцию в установленном Договором порядке.</w:t>
      </w:r>
    </w:p>
    <w:p>
      <w:pPr>
        <w:pStyle w:val="Title"/>
        <w:numPr>
          <w:ilvl w:val="1"/>
          <w:numId w:val="5"/>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5"/>
        </w:numPr>
        <w:shd w:val="clear" w:color="auto" w:fill="FFFFFF"/>
        <w:tabs>
          <w:tab w:val="clear" w:pos="720"/>
          <w:tab w:val="left" w:pos="709" w:leader="none"/>
        </w:tabs>
        <w:spacing w:before="0" w:after="120"/>
        <w:ind w:left="1425" w:hanging="858"/>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п.Черемушки.</w:t>
      </w:r>
    </w:p>
    <w:p>
      <w:pPr>
        <w:pStyle w:val="ListParagraph"/>
        <w:numPr>
          <w:ilvl w:val="1"/>
          <w:numId w:val="5"/>
        </w:numPr>
        <w:shd w:val="clear" w:color="auto" w:fill="FFFFFF"/>
        <w:tabs>
          <w:tab w:val="clear" w:pos="720"/>
          <w:tab w:val="left" w:pos="540" w:leader="none"/>
          <w:tab w:val="left" w:pos="567" w:leader="none"/>
        </w:tabs>
        <w:spacing w:before="0" w:after="120"/>
        <w:ind w:left="0" w:firstLine="567"/>
        <w:contextualSpacing w:val="false"/>
        <w:jc w:val="both"/>
        <w:rPr>
          <w:sz w:val="24"/>
          <w:szCs w:val="24"/>
        </w:rPr>
      </w:pPr>
      <w:r>
        <w:rPr>
          <w:sz w:val="24"/>
          <w:szCs w:val="24"/>
        </w:rPr>
        <w:t xml:space="preserve">Место </w:t>
      </w:r>
      <w:r>
        <w:rPr>
          <w:color w:val="000000"/>
          <w:sz w:val="24"/>
          <w:szCs w:val="24"/>
          <w:lang w:bidi="ru-RU"/>
        </w:rPr>
        <w:t xml:space="preserve">поставки: </w:t>
      </w:r>
      <w:r>
        <w:rPr>
          <w:color w:val="000000"/>
          <w:sz w:val="24"/>
          <w:szCs w:val="24"/>
          <w:lang w:bidi="ru-RU"/>
        </w:rPr>
        <w:t>Якутская ГРЭС</w:t>
      </w:r>
      <w:r>
        <w:rPr>
          <w:sz w:val="24"/>
          <w:szCs w:val="24"/>
        </w:rPr>
        <w:t>.</w:t>
      </w:r>
    </w:p>
    <w:p>
      <w:pPr>
        <w:pStyle w:val="ListParagraph"/>
        <w:numPr>
          <w:ilvl w:val="1"/>
          <w:numId w:val="5"/>
        </w:numPr>
        <w:shd w:val="clear" w:color="auto" w:fill="FFFFFF"/>
        <w:tabs>
          <w:tab w:val="clear" w:pos="720"/>
          <w:tab w:val="left" w:pos="540" w:leader="none"/>
        </w:tabs>
        <w:spacing w:before="0" w:after="120"/>
        <w:ind w:left="1425" w:hanging="858"/>
        <w:contextualSpacing w:val="false"/>
        <w:jc w:val="both"/>
        <w:rPr>
          <w:sz w:val="24"/>
          <w:szCs w:val="24"/>
        </w:rPr>
      </w:pPr>
      <w:r>
        <w:rPr>
          <w:sz w:val="24"/>
          <w:szCs w:val="24"/>
        </w:rPr>
        <w:t xml:space="preserve">Срок поставки Продукции по договору: </w:t>
      </w:r>
      <w:r>
        <w:rPr>
          <w:sz w:val="24"/>
          <w:szCs w:val="24"/>
        </w:rPr>
        <w:t>30.09.2026</w:t>
      </w:r>
      <w:r>
        <w:rPr>
          <w:sz w:val="24"/>
          <w:szCs w:val="24"/>
        </w:rPr>
        <w:t>.</w:t>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5"/>
        </w:numPr>
        <w:shd w:val="clear" w:color="auto" w:fill="FFFFFF"/>
        <w:tabs>
          <w:tab w:val="clear" w:pos="720"/>
          <w:tab w:val="left" w:pos="567"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является твердой и составляет ______ (________________) рубля 00 копеек без учета НДС, при этом НДС исчисляется дополнительно по ставке, установленной статьей 164 Налогового кодекса РФ (далее-НК РФ). </w:t>
      </w:r>
    </w:p>
    <w:p>
      <w:pPr>
        <w:pStyle w:val="ListParagraph"/>
        <w:numPr>
          <w:ilvl w:val="1"/>
          <w:numId w:val="5"/>
        </w:numPr>
        <w:shd w:val="clear" w:color="auto" w:fill="FFFFFF"/>
        <w:tabs>
          <w:tab w:val="clear" w:pos="720"/>
          <w:tab w:val="left" w:pos="851" w:leader="none"/>
        </w:tabs>
        <w:spacing w:before="0" w:after="120"/>
        <w:ind w:left="0" w:firstLine="567"/>
        <w:contextualSpacing w:val="false"/>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Авансовый платеж в размере 30% от стоимости Продукции выплачивается в течение 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Продукции</w:t>
      </w:r>
      <w:r>
        <w:rPr>
          <w:sz w:val="24"/>
          <w:szCs w:val="24"/>
          <w:lang w:eastAsia="en-US"/>
        </w:rPr>
        <w:t xml:space="preserve">, с учетом п. </w:t>
      </w:r>
      <w:r>
        <w:rPr>
          <w:sz w:val="24"/>
          <w:szCs w:val="24"/>
        </w:rPr>
        <w:t>2.6.</w:t>
      </w:r>
      <w:r>
        <w:rPr>
          <w:sz w:val="24"/>
          <w:szCs w:val="24"/>
          <w:lang w:eastAsia="en-US"/>
        </w:rPr>
        <w:t xml:space="preserve"> Договора. </w:t>
      </w:r>
    </w:p>
    <w:p>
      <w:pPr>
        <w:pStyle w:val="Normal"/>
        <w:shd w:val="clear" w:color="auto" w:fill="FFFFFF"/>
        <w:tabs>
          <w:tab w:val="clear" w:pos="720"/>
          <w:tab w:val="left" w:pos="426" w:leader="none"/>
        </w:tabs>
        <w:spacing w:before="0" w:after="120"/>
        <w:jc w:val="both"/>
        <w:rPr>
          <w:sz w:val="24"/>
          <w:szCs w:val="24"/>
        </w:rPr>
      </w:pPr>
      <w:r>
        <w:rPr>
          <w:sz w:val="24"/>
          <w:szCs w:val="24"/>
        </w:rPr>
        <w:tab/>
        <w:tab/>
        <w:t>2.5.2.  Платеж в размере 70% от стоимости Продукции, согласно Спецификации, производится Покупателем в срок не более 30 (тридцать) календарных дней/7 (семи) рабочих дней</w:t>
      </w:r>
      <w:r>
        <w:rPr>
          <w:rStyle w:val="FootnoteReference"/>
          <w:sz w:val="24"/>
          <w:szCs w:val="24"/>
        </w:rPr>
        <w:footnoteReference w:id="2"/>
      </w:r>
      <w:r>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5"/>
        </w:numPr>
        <w:shd w:val="clear" w:color="auto" w:fill="FFFFFF"/>
        <w:tabs>
          <w:tab w:val="clear" w:pos="720"/>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5"/>
        </w:numPr>
        <w:shd w:val="clear" w:color="auto" w:fill="FFFFFF"/>
        <w:tabs>
          <w:tab w:val="clear" w:pos="720"/>
          <w:tab w:val="left" w:pos="1283" w:leader="none"/>
        </w:tabs>
        <w:ind w:left="0" w:firstLine="567"/>
        <w:jc w:val="both"/>
        <w:rPr>
          <w:sz w:val="24"/>
          <w:szCs w:val="24"/>
        </w:rPr>
      </w:pPr>
      <w:r>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5"/>
        </w:numPr>
        <w:tabs>
          <w:tab w:val="clear" w:pos="720"/>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5"/>
        </w:numPr>
        <w:tabs>
          <w:tab w:val="clear" w:pos="720"/>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5"/>
        </w:numPr>
        <w:tabs>
          <w:tab w:val="clear" w:pos="720"/>
          <w:tab w:val="left" w:pos="142" w:leader="none"/>
          <w:tab w:val="left" w:pos="851" w:leader="none"/>
        </w:tabs>
        <w:spacing w:before="0" w:after="120"/>
        <w:ind w:left="142" w:firstLine="425"/>
        <w:contextualSpacing/>
        <w:jc w:val="both"/>
        <w:rPr>
          <w:sz w:val="24"/>
          <w:szCs w:val="24"/>
        </w:rPr>
      </w:pPr>
      <w:r>
        <w:rPr>
          <w:sz w:val="24"/>
          <w:szCs w:val="24"/>
        </w:rPr>
        <w:t xml:space="preserve"> </w:t>
      </w:r>
      <w:r>
        <w:rPr>
          <w:sz w:val="24"/>
          <w:szCs w:val="24"/>
        </w:rPr>
        <w:t>Изменение стоимости Продукции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tabs>
          <w:tab w:val="clear" w:pos="720"/>
          <w:tab w:val="left" w:pos="851" w:leader="none"/>
        </w:tabs>
        <w:spacing w:before="0" w:after="120"/>
        <w:ind w:left="0" w:firstLine="709"/>
        <w:contextualSpacing w:val="false"/>
        <w:jc w:val="both"/>
        <w:rPr>
          <w:sz w:val="24"/>
          <w:szCs w:val="24"/>
        </w:rPr>
      </w:pPr>
      <w:r>
        <w:rPr>
          <w:sz w:val="24"/>
          <w:szCs w:val="24"/>
        </w:rPr>
        <w:t>Индексация Цены Договора не допускается.</w:t>
      </w:r>
    </w:p>
    <w:p>
      <w:pPr>
        <w:pStyle w:val="Normal"/>
        <w:widowControl w:val="false"/>
        <w:numPr>
          <w:ilvl w:val="0"/>
          <w:numId w:val="15"/>
        </w:numPr>
        <w:shd w:val="clear" w:color="auto" w:fill="FFFFFF"/>
        <w:tabs>
          <w:tab w:val="clear" w:pos="720"/>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Поставщик обязан одновременно с передачей Продукции передать Покупателю относящиеся к ней документы, оформленные надлежащим образом: технические паспорта на русском языке, 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оборудования; товарную накладную унифицированной формы ТОРГ-12 (УПД) в 2 экз., товарно-транспортную накладную формы № 1-Т (для учета товарно-материальных ценностей и расчетов за их перевозку) или транспортную железнодорожную накладную ( форма № ГУ-27) и иные документы, предусмотренные п.3.3 Договора. </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r>
        <w:rPr>
          <w:sz w:val="24"/>
          <w:szCs w:val="24"/>
        </w:rPr>
        <w:t xml:space="preserve"> или Железнодорожную накладную (форма № ГУ-27)</w:t>
      </w:r>
      <w:r>
        <w:rPr>
          <w:color w:val="000000"/>
          <w:sz w:val="24"/>
          <w:szCs w:val="24"/>
        </w:rPr>
        <w:t>.</w:t>
      </w:r>
    </w:p>
    <w:p>
      <w:pPr>
        <w:pStyle w:val="Normal"/>
        <w:widowControl w:val="false"/>
        <w:numPr>
          <w:ilvl w:val="1"/>
          <w:numId w:val="3"/>
        </w:numPr>
        <w:tabs>
          <w:tab w:val="clear" w:pos="720"/>
          <w:tab w:val="left" w:pos="1134" w:leader="none"/>
          <w:tab w:val="left" w:pos="1276" w:leader="none"/>
        </w:tabs>
        <w:spacing w:before="0" w:after="120"/>
        <w:ind w:left="0" w:firstLine="567"/>
        <w:jc w:val="both"/>
        <w:rPr>
          <w:sz w:val="24"/>
          <w:szCs w:val="24"/>
        </w:rPr>
      </w:pPr>
      <w:r>
        <w:rPr>
          <w:sz w:val="24"/>
          <w:szCs w:val="24"/>
        </w:rPr>
        <w:t xml:space="preserve">Поставщик обязан обеспечить присутствие во время приемки Продукцию и в месте поставки своего представителя, уполномоченного надлежащим образом оформленной доверенностью на передачу Продукцию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Продукцию,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numPr>
          <w:ilvl w:val="1"/>
          <w:numId w:val="3"/>
        </w:numPr>
        <w:tabs>
          <w:tab w:val="clear" w:pos="720"/>
          <w:tab w:val="left" w:pos="1134" w:leader="none"/>
          <w:tab w:val="left" w:pos="1276" w:leader="none"/>
        </w:tabs>
        <w:spacing w:before="0" w:after="120"/>
        <w:ind w:left="0" w:firstLine="567"/>
        <w:jc w:val="both"/>
        <w:rPr>
          <w:sz w:val="24"/>
          <w:szCs w:val="24"/>
        </w:rPr>
      </w:pPr>
      <w:r>
        <w:rPr>
          <w:sz w:val="24"/>
          <w:szCs w:val="24"/>
        </w:rPr>
        <w:t>Оригинал доверенности представителя Поставщика подлежит передаче Покупателю.</w:t>
      </w:r>
    </w:p>
    <w:p>
      <w:pPr>
        <w:pStyle w:val="Normal"/>
        <w:widowControl w:val="false"/>
        <w:numPr>
          <w:ilvl w:val="1"/>
          <w:numId w:val="3"/>
        </w:numPr>
        <w:tabs>
          <w:tab w:val="clear" w:pos="720"/>
          <w:tab w:val="left" w:pos="1134" w:leader="none"/>
          <w:tab w:val="left" w:pos="1276" w:leader="none"/>
        </w:tabs>
        <w:spacing w:before="0" w:after="120"/>
        <w:ind w:left="0" w:firstLine="567"/>
        <w:jc w:val="both"/>
        <w:rPr>
          <w:sz w:val="24"/>
          <w:szCs w:val="24"/>
        </w:rPr>
      </w:pPr>
      <w:r>
        <w:rPr>
          <w:sz w:val="24"/>
          <w:szCs w:val="24"/>
        </w:rPr>
        <w:t>В случае неявки представителя Поставщика и / или его отказа от подписания Акта рекламации при приемке Продукцию,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Продукцию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Железнодорожной накладной (форма № ГУ-27). В случае отсутствия замечаний Покупатель подписывает </w:t>
      </w:r>
      <w:r>
        <w:rPr>
          <w:color w:val="000000"/>
          <w:sz w:val="24"/>
          <w:szCs w:val="24"/>
        </w:rPr>
        <w:t>товарную накладную унифицированной формы ТОРГ-12 или УПД.</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3.9 Договора, Покупатель вправе отказаться от Продукции, а Поставщик обязан не позднее 10 (десяти) рабочих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ListParagraph"/>
        <w:numPr>
          <w:ilvl w:val="1"/>
          <w:numId w:val="3"/>
        </w:numPr>
        <w:tabs>
          <w:tab w:val="clear" w:pos="720"/>
          <w:tab w:val="left" w:pos="1134" w:leader="none"/>
          <w:tab w:val="left" w:pos="1276" w:leader="none"/>
        </w:tabs>
        <w:spacing w:before="0" w:after="120"/>
        <w:ind w:left="0" w:firstLine="567"/>
        <w:contextualSpacing/>
        <w:jc w:val="both"/>
        <w:rPr>
          <w:sz w:val="24"/>
          <w:szCs w:val="24"/>
        </w:rPr>
      </w:pPr>
      <w:r>
        <w:rPr>
          <w:color w:val="000000"/>
          <w:sz w:val="24"/>
          <w:szCs w:val="24"/>
        </w:rPr>
        <w:t>На Продукцию устанавливается гарантийный срок, равный 36 (Тридцать шесть) месяцев, исчисляемый с даты ввода Продукции в эксплуатацию, но не более 42 (Сорок два) месяцев с даты подписания Сторонами товарной накладной по форме ТОРГ-12 или Универсального передаточного документа (УПД) и не менее гарантийного срока изготовителя (производителя) продукции</w:t>
      </w:r>
      <w:r>
        <w:rPr>
          <w:sz w:val="24"/>
          <w:szCs w:val="24"/>
        </w:rPr>
        <w:t>.</w:t>
      </w:r>
    </w:p>
    <w:p>
      <w:pPr>
        <w:pStyle w:val="Normal"/>
        <w:tabs>
          <w:tab w:val="clear" w:pos="720"/>
          <w:tab w:val="left" w:pos="1134" w:leader="none"/>
          <w:tab w:val="left" w:pos="1276" w:leader="none"/>
        </w:tabs>
        <w:spacing w:before="0" w:after="120"/>
        <w:jc w:val="both"/>
        <w:rPr>
          <w:sz w:val="24"/>
          <w:szCs w:val="24"/>
        </w:rPr>
      </w:pPr>
      <w:r>
        <w:rPr>
          <w:sz w:val="24"/>
          <w:szCs w:val="24"/>
        </w:rPr>
        <w:t>Установленный в отношении Продукции Гарантийный срок распространяется на все составные части и комплектующие Продукции.</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3.17.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3.15.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3"/>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3.13.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15"/>
        </w:numPr>
        <w:shd w:val="clear" w:color="auto" w:fill="FFFFFF"/>
        <w:tabs>
          <w:tab w:val="clear" w:pos="720"/>
          <w:tab w:val="left" w:pos="0"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16"/>
        </w:numPr>
        <w:shd w:val="clear" w:color="auto" w:fill="FFFFFF"/>
        <w:tabs>
          <w:tab w:val="clear" w:pos="720"/>
          <w:tab w:val="left" w:pos="993"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16"/>
        </w:numPr>
        <w:shd w:val="clear" w:color="auto" w:fill="FFFFFF"/>
        <w:tabs>
          <w:tab w:val="clear" w:pos="720"/>
          <w:tab w:val="left" w:pos="1276"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16"/>
        </w:numPr>
        <w:shd w:val="clear" w:color="auto" w:fill="FFFFFF"/>
        <w:tabs>
          <w:tab w:val="clear" w:pos="720"/>
          <w:tab w:val="left" w:pos="1276"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4"/>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16"/>
        </w:numPr>
        <w:shd w:val="clear" w:color="auto" w:fill="FFFFFF"/>
        <w:tabs>
          <w:tab w:val="clear" w:pos="720"/>
          <w:tab w:val="left" w:pos="1276"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16"/>
        </w:numPr>
        <w:shd w:val="clear" w:color="auto" w:fill="FFFFFF"/>
        <w:tabs>
          <w:tab w:val="clear" w:pos="720"/>
          <w:tab w:val="left" w:pos="0"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16"/>
        </w:numPr>
        <w:tabs>
          <w:tab w:val="clear" w:pos="720"/>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1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10 (Десять) календарных дня/дней до даты поставки.</w:t>
      </w:r>
    </w:p>
    <w:p>
      <w:pPr>
        <w:pStyle w:val="Normal"/>
        <w:widowControl w:val="false"/>
        <w:numPr>
          <w:ilvl w:val="1"/>
          <w:numId w:val="1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16"/>
        </w:numPr>
        <w:shd w:val="clear" w:color="auto" w:fill="FFFFFF"/>
        <w:tabs>
          <w:tab w:val="clear" w:pos="720"/>
          <w:tab w:val="left" w:pos="0"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1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shd w:val="clear" w:color="auto" w:fill="FFFFFF"/>
        <w:tabs>
          <w:tab w:val="clear" w:pos="720"/>
          <w:tab w:val="left" w:pos="1276" w:leader="none"/>
        </w:tabs>
        <w:spacing w:before="0" w:after="120"/>
        <w:ind w:firstLine="567"/>
        <w:jc w:val="both"/>
        <w:rPr>
          <w:sz w:val="24"/>
          <w:szCs w:val="24"/>
        </w:rPr>
      </w:pPr>
      <w:r>
        <w:rPr>
          <w:sz w:val="24"/>
          <w:szCs w:val="24"/>
        </w:rPr>
        <w:t>6.3.</w:t>
        <w:tab/>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17"/>
        </w:numPr>
        <w:shd w:val="clear" w:color="auto" w:fill="FFFFFF"/>
        <w:tabs>
          <w:tab w:val="clear" w:pos="720"/>
          <w:tab w:val="left" w:pos="851" w:leader="none"/>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сроков поставки, недопоставка), Покупатель вправе потребовать уплаты Поставщиком неустойки в размере 0,1% от Цены Договора за каждый день просрочки. 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w:t>
      </w:r>
      <w:r>
        <w:rPr>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w:t>
      </w:r>
      <w:r>
        <w:rPr>
          <w:sz w:val="24"/>
          <w:szCs w:val="24"/>
        </w:rPr>
        <w:tab/>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Предусмотренная Договором неустойка является штрафной. Убытки подлежат возмещению в полной сумме сверх неустойки</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7"/>
        </w:numPr>
        <w:shd w:val="clear" w:color="auto" w:fill="FFFFFF"/>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7"/>
        </w:numPr>
        <w:shd w:val="clear" w:color="auto" w:fill="FFFFFF"/>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7"/>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w:t>
      </w:r>
      <w:r>
        <w:rPr>
          <w:color w:val="FF0000"/>
          <w:sz w:val="24"/>
          <w:szCs w:val="24"/>
        </w:rPr>
        <w:t>.</w:t>
      </w:r>
      <w:r>
        <w:rPr>
          <w:sz w:val="24"/>
          <w:szCs w:val="24"/>
        </w:rPr>
        <w:t>14.7 Договора, представив заверенные копии документов, подтверждающие такие изменения, а именно:</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w:t>
      </w:r>
      <w:r>
        <w:rPr>
          <w:color w:val="FF0000"/>
          <w:sz w:val="24"/>
          <w:szCs w:val="24"/>
        </w:rPr>
        <w:t>.</w:t>
      </w:r>
      <w:r>
        <w:rPr>
          <w:sz w:val="24"/>
          <w:szCs w:val="24"/>
        </w:rPr>
        <w:t>13</w:t>
      </w:r>
      <w:r>
        <w:rPr>
          <w:color w:val="FF0000"/>
          <w:sz w:val="24"/>
          <w:szCs w:val="24"/>
        </w:rPr>
        <w:t xml:space="preserve"> </w:t>
      </w:r>
      <w:r>
        <w:rPr>
          <w:sz w:val="24"/>
          <w:szCs w:val="24"/>
        </w:rPr>
        <w:t>Договора, а также:</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7"/>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17"/>
        </w:numPr>
        <w:shd w:val="clear" w:color="auto" w:fill="FFFFFF"/>
        <w:tabs>
          <w:tab w:val="clear" w:pos="720"/>
          <w:tab w:val="left" w:pos="2276" w:leader="none"/>
        </w:tabs>
        <w:spacing w:before="0" w:after="120"/>
        <w:ind w:left="0" w:firstLine="567"/>
        <w:jc w:val="both"/>
        <w:rPr>
          <w:sz w:val="24"/>
          <w:szCs w:val="24"/>
        </w:rPr>
      </w:pPr>
      <w:r>
        <w:rPr>
          <w:sz w:val="24"/>
          <w:szCs w:val="24"/>
        </w:rPr>
        <w:t>Независимо от любых других положений Договора в случае не предоставления в установленный срок Поставщиком документов, указанных в п.6.13 Договора Покупатель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Поставщиком уведомления о расторжении Договора, но в любом случае – не позднее 10 (Десяти) рабочих дней с даты его отправки Покупателем.</w:t>
      </w:r>
    </w:p>
    <w:p>
      <w:pPr>
        <w:pStyle w:val="Normal"/>
        <w:widowControl w:val="false"/>
        <w:numPr>
          <w:ilvl w:val="1"/>
          <w:numId w:val="17"/>
        </w:numPr>
        <w:shd w:val="clear" w:color="auto" w:fill="FFFFFF"/>
        <w:tabs>
          <w:tab w:val="clear" w:pos="720"/>
          <w:tab w:val="left" w:pos="2276" w:leader="none"/>
        </w:tabs>
        <w:spacing w:before="0" w:after="120"/>
        <w:ind w:left="0" w:firstLine="567"/>
        <w:jc w:val="both"/>
        <w:rPr>
          <w:sz w:val="24"/>
          <w:szCs w:val="24"/>
        </w:rPr>
      </w:pPr>
      <w:r>
        <w:rPr>
          <w:sz w:val="24"/>
          <w:szCs w:val="24"/>
        </w:rPr>
        <w:t>Во избежание сомнений и независимо от иных положений Договора Поставщик настоящим также отказывается от любых прав требования возмещения убытков или ущерба, возникшего у Поставщика в связи с расторжением Договора по основаниям, указанным в п.6.14 Договора выше.</w:t>
      </w:r>
    </w:p>
    <w:p>
      <w:pPr>
        <w:pStyle w:val="ListParagraph"/>
        <w:widowControl/>
        <w:numPr>
          <w:ilvl w:val="1"/>
          <w:numId w:val="17"/>
        </w:numPr>
        <w:shd w:val="clear" w:color="auto" w:fill="FFFFFF"/>
        <w:tabs>
          <w:tab w:val="clear" w:pos="720"/>
          <w:tab w:val="left" w:pos="1134" w:leader="none"/>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20"/>
          <w:tab w:val="left" w:pos="1134" w:leader="none"/>
        </w:tabs>
        <w:ind w:firstLine="1134"/>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20"/>
          <w:tab w:val="left" w:pos="1134" w:leader="none"/>
        </w:tabs>
        <w:ind w:firstLine="1134"/>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20"/>
          <w:tab w:val="left" w:pos="1134" w:leader="none"/>
        </w:tabs>
        <w:ind w:firstLine="1134"/>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20"/>
          <w:tab w:val="left" w:pos="1134" w:leader="none"/>
        </w:tabs>
        <w:ind w:firstLine="1134"/>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20"/>
          <w:tab w:val="left" w:pos="1134" w:leader="none"/>
        </w:tabs>
        <w:ind w:firstLine="1134"/>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 w:val="left" w:pos="1134" w:leader="none"/>
        </w:tabs>
        <w:ind w:firstLine="1134"/>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1134" w:leader="none"/>
        </w:tabs>
        <w:ind w:left="1425" w:hanging="0"/>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1134" w:leader="none"/>
        </w:tabs>
        <w:ind w:left="1425" w:hanging="0"/>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spacing w:lineRule="auto" w:line="259" w:before="0" w:after="160"/>
        <w:ind w:left="1425" w:hanging="0"/>
        <w:contextualSpacing/>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20"/>
          <w:tab w:val="left" w:pos="1276" w:leader="none"/>
          <w:tab w:val="left" w:pos="1418" w:leader="none"/>
        </w:tabs>
        <w:ind w:firstLine="1276"/>
        <w:jc w:val="both"/>
        <w:rPr>
          <w:bCs/>
          <w:sz w:val="24"/>
          <w:szCs w:val="24"/>
        </w:rPr>
      </w:pPr>
      <w:r>
        <w:rPr>
          <w:bCs/>
          <w:sz w:val="24"/>
          <w:szCs w:val="24"/>
        </w:rPr>
        <w:t>6.17.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numPr>
          <w:ilvl w:val="0"/>
          <w:numId w:val="0"/>
        </w:numPr>
        <w:tabs>
          <w:tab w:val="clear" w:pos="720"/>
          <w:tab w:val="left" w:pos="567" w:leader="none"/>
        </w:tabs>
        <w:spacing w:before="0" w:after="120"/>
        <w:ind w:firstLine="1276"/>
        <w:jc w:val="both"/>
        <w:outlineLvl w:val="0"/>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numPr>
          <w:ilvl w:val="0"/>
          <w:numId w:val="0"/>
        </w:numPr>
        <w:tabs>
          <w:tab w:val="clear" w:pos="720"/>
          <w:tab w:val="left" w:pos="567" w:leader="none"/>
        </w:tabs>
        <w:spacing w:before="0" w:after="120"/>
        <w:ind w:firstLine="567"/>
        <w:jc w:val="both"/>
        <w:outlineLvl w:val="0"/>
        <w:rPr>
          <w:sz w:val="24"/>
          <w:szCs w:val="24"/>
        </w:rPr>
      </w:pPr>
      <w:r>
        <w:rPr>
          <w:bCs/>
          <w:sz w:val="24"/>
          <w:szCs w:val="24"/>
        </w:rPr>
        <w:t>6</w:t>
      </w:r>
      <w:r>
        <w:rPr>
          <w:sz w:val="24"/>
          <w:szCs w:val="24"/>
        </w:rPr>
        <w:t>.18.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pPr>
        <w:pStyle w:val="ListParagraph"/>
        <w:numPr>
          <w:ilvl w:val="0"/>
          <w:numId w:val="14"/>
        </w:numPr>
        <w:shd w:val="clear" w:color="auto" w:fill="FFFFFF"/>
        <w:tabs>
          <w:tab w:val="clear" w:pos="720"/>
          <w:tab w:val="left" w:pos="1276" w:leader="none"/>
        </w:tabs>
        <w:spacing w:before="0" w:after="120"/>
        <w:contextualSpacing/>
        <w:jc w:val="center"/>
        <w:rPr>
          <w:b/>
          <w:bCs/>
          <w:sz w:val="24"/>
          <w:szCs w:val="24"/>
        </w:rPr>
      </w:pPr>
      <w:r>
        <w:rPr>
          <w:b/>
          <w:bCs/>
          <w:sz w:val="24"/>
          <w:szCs w:val="24"/>
        </w:rPr>
        <w:t>Особые положения</w:t>
      </w:r>
    </w:p>
    <w:p>
      <w:pPr>
        <w:pStyle w:val="ListParagraph"/>
        <w:numPr>
          <w:ilvl w:val="1"/>
          <w:numId w:val="14"/>
        </w:numPr>
        <w:shd w:val="clear" w:color="auto" w:fill="FFFFFF"/>
        <w:spacing w:before="0" w:after="120"/>
        <w:ind w:left="0" w:firstLine="567"/>
        <w:contextualSpacing/>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15 (пятнадцати) календарных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4"/>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14"/>
        </w:numPr>
        <w:shd w:val="clear" w:color="auto" w:fill="FFFFFF"/>
        <w:spacing w:before="0" w:after="120"/>
        <w:jc w:val="center"/>
        <w:rPr>
          <w:b/>
          <w:bCs/>
          <w:sz w:val="24"/>
          <w:szCs w:val="24"/>
        </w:rPr>
      </w:pPr>
      <w:r>
        <w:rPr>
          <w:b/>
          <w:sz w:val="24"/>
          <w:szCs w:val="24"/>
        </w:rPr>
        <w:t>Форс</w:t>
      </w:r>
      <w:r>
        <w:rPr>
          <w:b/>
          <w:bCs/>
          <w:sz w:val="24"/>
          <w:szCs w:val="24"/>
        </w:rPr>
        <w:t>-мажор</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4"/>
        </w:numPr>
        <w:shd w:val="clear" w:color="auto" w:fill="FFFFFF"/>
        <w:spacing w:before="0" w:after="120"/>
        <w:jc w:val="center"/>
        <w:rPr>
          <w:b/>
          <w:bCs/>
          <w:sz w:val="24"/>
          <w:szCs w:val="24"/>
        </w:rPr>
      </w:pPr>
      <w:r>
        <w:rPr>
          <w:b/>
          <w:sz w:val="24"/>
          <w:szCs w:val="24"/>
        </w:rPr>
        <w:t>Конфиденциальность</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4"/>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4"/>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4"/>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4"/>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4"/>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4"/>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4"/>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4"/>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4"/>
        </w:numPr>
        <w:shd w:val="clear" w:color="auto" w:fill="FFFFFF"/>
        <w:spacing w:before="0" w:after="120"/>
        <w:jc w:val="center"/>
        <w:rPr>
          <w:b/>
          <w:sz w:val="24"/>
          <w:szCs w:val="24"/>
        </w:rPr>
      </w:pPr>
      <w:r>
        <w:rPr>
          <w:b/>
          <w:sz w:val="24"/>
          <w:szCs w:val="24"/>
        </w:rPr>
        <w:t>Инсайдерская оговорка</w:t>
      </w:r>
    </w:p>
    <w:p>
      <w:pPr>
        <w:pStyle w:val="Normal"/>
        <w:widowControl w:val="false"/>
        <w:numPr>
          <w:ilvl w:val="1"/>
          <w:numId w:val="14"/>
        </w:numPr>
        <w:shd w:val="clear" w:color="auto" w:fill="FFFFFF"/>
        <w:tabs>
          <w:tab w:val="clear" w:pos="720"/>
          <w:tab w:val="left" w:pos="1283" w:leader="none"/>
          <w:tab w:val="left" w:pos="1425"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14"/>
        </w:numPr>
        <w:shd w:val="clear" w:color="auto" w:fill="FFFFFF"/>
        <w:tabs>
          <w:tab w:val="clear" w:pos="720"/>
          <w:tab w:val="left" w:pos="1440"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4"/>
        </w:numPr>
        <w:shd w:val="clear" w:color="auto" w:fill="FFFFFF"/>
        <w:tabs>
          <w:tab w:val="clear" w:pos="720"/>
          <w:tab w:val="left" w:pos="1440"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14"/>
        </w:numPr>
        <w:shd w:val="clear" w:color="auto" w:fill="FFFFFF"/>
        <w:spacing w:before="0" w:after="120"/>
        <w:jc w:val="center"/>
        <w:rPr>
          <w:b/>
          <w:sz w:val="24"/>
          <w:szCs w:val="24"/>
        </w:rPr>
      </w:pPr>
      <w:r>
        <w:rPr>
          <w:b/>
          <w:sz w:val="24"/>
          <w:szCs w:val="24"/>
        </w:rPr>
        <w:t>Разрешение споров</w:t>
      </w:r>
    </w:p>
    <w:p>
      <w:pPr>
        <w:pStyle w:val="Normal"/>
        <w:widowControl w:val="false"/>
        <w:numPr>
          <w:ilvl w:val="1"/>
          <w:numId w:val="14"/>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4"/>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4"/>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14"/>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4"/>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 xml:space="preserve">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 в соответствии с действующим законодательством РФ </w:t>
      </w:r>
    </w:p>
    <w:p>
      <w:pPr>
        <w:pStyle w:val="Normal"/>
        <w:widowControl w:val="false"/>
        <w:numPr>
          <w:ilvl w:val="0"/>
          <w:numId w:val="14"/>
        </w:numPr>
        <w:shd w:val="clear" w:color="auto" w:fill="FFFFFF"/>
        <w:spacing w:before="0" w:after="120"/>
        <w:jc w:val="center"/>
        <w:rPr>
          <w:b/>
          <w:bCs/>
          <w:sz w:val="24"/>
          <w:szCs w:val="24"/>
        </w:rPr>
      </w:pPr>
      <w:r>
        <w:rPr>
          <w:b/>
          <w:bCs/>
          <w:sz w:val="24"/>
          <w:szCs w:val="24"/>
        </w:rPr>
        <w:t>Прекращение (расторжение) Договора</w:t>
      </w:r>
    </w:p>
    <w:p>
      <w:pPr>
        <w:pStyle w:val="Normal"/>
        <w:widowControl w:val="false"/>
        <w:numPr>
          <w:ilvl w:val="1"/>
          <w:numId w:val="14"/>
        </w:numPr>
        <w:shd w:val="clear" w:color="auto" w:fill="FFFFFF"/>
        <w:tabs>
          <w:tab w:val="clear" w:pos="720"/>
          <w:tab w:val="left" w:pos="1425"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15 (пятнадцати) календарных дней со дня его получения</w:t>
      </w:r>
      <w:r>
        <w:rPr/>
        <w:t>.</w:t>
      </w:r>
    </w:p>
    <w:p>
      <w:pPr>
        <w:pStyle w:val="Normal"/>
        <w:widowControl w:val="false"/>
        <w:numPr>
          <w:ilvl w:val="1"/>
          <w:numId w:val="14"/>
        </w:numPr>
        <w:shd w:val="clear" w:color="auto" w:fill="FFFFFF"/>
        <w:tabs>
          <w:tab w:val="clear" w:pos="720"/>
          <w:tab w:val="left" w:pos="1425" w:leader="none"/>
        </w:tabs>
        <w:spacing w:before="0" w:after="120"/>
        <w:ind w:left="0" w:firstLine="567"/>
        <w:jc w:val="both"/>
        <w:rPr>
          <w:sz w:val="24"/>
          <w:szCs w:val="24"/>
        </w:rPr>
      </w:pPr>
      <w:r>
        <w:rPr>
          <w:sz w:val="24"/>
          <w:szCs w:val="24"/>
        </w:rPr>
        <w:t>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 том числе направленного по электронной почте.</w:t>
      </w:r>
    </w:p>
    <w:p>
      <w:pPr>
        <w:pStyle w:val="Normal"/>
        <w:widowControl w:val="false"/>
        <w:numPr>
          <w:ilvl w:val="1"/>
          <w:numId w:val="14"/>
        </w:numPr>
        <w:shd w:val="clear" w:color="auto" w:fill="FFFFFF"/>
        <w:tabs>
          <w:tab w:val="clear" w:pos="720"/>
          <w:tab w:val="left" w:pos="1425"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4"/>
        </w:numPr>
        <w:shd w:val="clear" w:color="auto" w:fill="FFFFFF"/>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14"/>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4"/>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4"/>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4"/>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4"/>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4"/>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4"/>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4"/>
        </w:numPr>
        <w:shd w:val="clear" w:color="auto" w:fill="FFFFFF"/>
        <w:tabs>
          <w:tab w:val="clear" w:pos="720"/>
          <w:tab w:val="left" w:pos="1425" w:leader="none"/>
        </w:tabs>
        <w:spacing w:before="0" w:after="120"/>
        <w:ind w:left="0" w:firstLine="567"/>
        <w:jc w:val="both"/>
        <w:rPr>
          <w:sz w:val="24"/>
          <w:szCs w:val="24"/>
        </w:rPr>
      </w:pPr>
      <w:r>
        <w:rPr>
          <w:sz w:val="24"/>
          <w:szCs w:val="24"/>
        </w:rPr>
        <w:t>В случае отказа Покупателя от Договора в случаях, предусмотренных пунктами 12.2., 12.3., 12.4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 том числе направленного по электронной почте.</w:t>
      </w:r>
    </w:p>
    <w:p>
      <w:pPr>
        <w:pStyle w:val="Normal"/>
        <w:widowControl w:val="false"/>
        <w:numPr>
          <w:ilvl w:val="1"/>
          <w:numId w:val="14"/>
        </w:numPr>
        <w:shd w:val="clear" w:color="auto" w:fill="FFFFFF"/>
        <w:tabs>
          <w:tab w:val="clear" w:pos="720"/>
          <w:tab w:val="left" w:pos="1425"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4"/>
        </w:numPr>
        <w:shd w:val="clear" w:color="auto" w:fill="FFFFFF"/>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ListParagraph"/>
        <w:numPr>
          <w:ilvl w:val="1"/>
          <w:numId w:val="14"/>
        </w:numPr>
        <w:spacing w:before="0" w:after="120"/>
        <w:ind w:left="0" w:firstLine="567"/>
        <w:contextualSpacing w:val="false"/>
        <w:jc w:val="both"/>
        <w:rPr>
          <w:sz w:val="24"/>
          <w:szCs w:val="24"/>
        </w:rPr>
      </w:pPr>
      <w:r>
        <w:rPr>
          <w:sz w:val="24"/>
          <w:szCs w:val="24"/>
        </w:rPr>
        <w:t>С даты прекращения (расторжения) Договора Поставщик обязан прекратить поставку Продукции.</w:t>
      </w:r>
    </w:p>
    <w:p>
      <w:pPr>
        <w:pStyle w:val="ListParagraph"/>
        <w:numPr>
          <w:ilvl w:val="1"/>
          <w:numId w:val="14"/>
        </w:numPr>
        <w:shd w:val="clear" w:color="auto" w:fill="FFFFFF"/>
        <w:spacing w:before="0" w:after="120"/>
        <w:ind w:left="0" w:firstLine="567"/>
        <w:contextualSpacing w:val="false"/>
        <w:jc w:val="both"/>
        <w:rPr>
          <w:sz w:val="24"/>
          <w:szCs w:val="24"/>
        </w:rPr>
      </w:pPr>
      <w:r>
        <w:rPr>
          <w:sz w:val="24"/>
          <w:szCs w:val="24"/>
        </w:rPr>
        <w:t xml:space="preserve">При прекращении (расторжении) Договора по основаниям, указанным </w:t>
        <w:br/>
        <w:t xml:space="preserve">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3 Договора, а также обязательств Поставщика по оплате неустойки, штрафов, возмещению убытков в случаях и размерах, предусмотренных Договором. </w:t>
      </w:r>
    </w:p>
    <w:p>
      <w:pPr>
        <w:pStyle w:val="Normal"/>
        <w:widowControl w:val="false"/>
        <w:numPr>
          <w:ilvl w:val="0"/>
          <w:numId w:val="14"/>
        </w:numPr>
        <w:shd w:val="clear" w:color="auto" w:fill="FFFFFF"/>
        <w:spacing w:before="0" w:after="120"/>
        <w:jc w:val="center"/>
        <w:rPr>
          <w:b/>
          <w:sz w:val="24"/>
          <w:szCs w:val="24"/>
        </w:rPr>
      </w:pPr>
      <w:r>
        <w:rPr>
          <w:b/>
          <w:bCs/>
          <w:sz w:val="24"/>
          <w:szCs w:val="24"/>
        </w:rPr>
        <w:t>Заверения</w:t>
      </w:r>
      <w:r>
        <w:rPr>
          <w:b/>
          <w:sz w:val="24"/>
          <w:szCs w:val="24"/>
        </w:rPr>
        <w:t xml:space="preserve"> Сторон</w:t>
      </w:r>
    </w:p>
    <w:p>
      <w:pPr>
        <w:pStyle w:val="ListParagraph"/>
        <w:numPr>
          <w:ilvl w:val="1"/>
          <w:numId w:val="14"/>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4"/>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4"/>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4"/>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14"/>
        </w:numPr>
        <w:shd w:val="clear" w:color="auto" w:fill="FFFFFF"/>
        <w:spacing w:before="0" w:after="120"/>
        <w:jc w:val="center"/>
        <w:rPr>
          <w:b/>
          <w:sz w:val="24"/>
          <w:szCs w:val="24"/>
        </w:rPr>
      </w:pPr>
      <w:r>
        <w:rPr>
          <w:b/>
          <w:sz w:val="24"/>
          <w:szCs w:val="24"/>
        </w:rPr>
        <w:t>Заключительные положения</w:t>
      </w:r>
    </w:p>
    <w:p>
      <w:pPr>
        <w:pStyle w:val="ListParagraph"/>
        <w:numPr>
          <w:ilvl w:val="1"/>
          <w:numId w:val="14"/>
        </w:numPr>
        <w:shd w:val="clear" w:color="auto" w:fill="FFFFFF"/>
        <w:tabs>
          <w:tab w:val="clear" w:pos="720"/>
          <w:tab w:val="left" w:pos="1134" w:leader="none"/>
        </w:tabs>
        <w:ind w:left="0" w:firstLine="567"/>
        <w:jc w:val="both"/>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14"/>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14.5 Договора. </w:t>
      </w:r>
    </w:p>
    <w:p>
      <w:pPr>
        <w:pStyle w:val="Normal"/>
        <w:widowControl w:val="false"/>
        <w:numPr>
          <w:ilvl w:val="1"/>
          <w:numId w:val="14"/>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4"/>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4"/>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4"/>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4"/>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4"/>
        </w:numPr>
        <w:shd w:val="clear" w:color="auto" w:fill="FFFFFF"/>
        <w:tabs>
          <w:tab w:val="clear" w:pos="720"/>
          <w:tab w:val="left" w:pos="1701" w:leader="none"/>
        </w:tabs>
        <w:ind w:left="0" w:firstLine="567"/>
        <w:jc w:val="both"/>
        <w:rPr>
          <w:bCs/>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14"/>
        </w:numPr>
        <w:shd w:val="clear" w:color="auto" w:fill="FFFFFF"/>
        <w:tabs>
          <w:tab w:val="left" w:pos="720" w:leader="none"/>
        </w:tabs>
        <w:spacing w:before="0" w:after="120"/>
        <w:ind w:left="0" w:firstLine="567"/>
        <w:contextualSpacing/>
        <w:jc w:val="both"/>
        <w:rPr>
          <w:sz w:val="24"/>
          <w:szCs w:val="24"/>
        </w:rPr>
      </w:pPr>
      <w:r>
        <w:rPr>
          <w:bCs/>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14"/>
        </w:numPr>
        <w:shd w:val="clear" w:color="auto" w:fill="FFFFFF"/>
        <w:tabs>
          <w:tab w:val="left" w:pos="720" w:leader="none"/>
        </w:tabs>
        <w:spacing w:before="0" w:after="120"/>
        <w:ind w:left="0" w:firstLine="567"/>
        <w:contextualSpacing/>
        <w:jc w:val="both"/>
        <w:rPr>
          <w:sz w:val="24"/>
          <w:szCs w:val="24"/>
        </w:rPr>
      </w:pPr>
      <w:r>
        <w:rPr>
          <w:bCs/>
          <w:sz w:val="24"/>
          <w:szCs w:val="24"/>
        </w:rPr>
        <w:t>в случае передачи по электронной связи – в дату и время отправления, подтвержденного отчетом о доставке сообщения. В случае, если передача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электронной связи должны не позднее того же дня направляться с использованием видов связи, указанных в п. 14.7.1, 14.7.2. Договора.</w:t>
      </w:r>
    </w:p>
    <w:p>
      <w:pPr>
        <w:pStyle w:val="Normal"/>
        <w:widowControl w:val="false"/>
        <w:numPr>
          <w:ilvl w:val="1"/>
          <w:numId w:val="14"/>
        </w:numPr>
        <w:shd w:val="clear" w:color="auto" w:fill="FFFFFF"/>
        <w:tabs>
          <w:tab w:val="left" w:pos="720" w:leader="none"/>
        </w:tabs>
        <w:spacing w:before="0" w:after="120"/>
        <w:ind w:left="0" w:firstLine="567"/>
        <w:jc w:val="both"/>
        <w:rPr>
          <w:sz w:val="24"/>
          <w:szCs w:val="24"/>
        </w:rPr>
      </w:pPr>
      <w:r>
        <w:rPr>
          <w:sz w:val="24"/>
          <w:szCs w:val="24"/>
        </w:rPr>
        <w:t xml:space="preserve">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 </w:t>
      </w:r>
    </w:p>
    <w:p>
      <w:pPr>
        <w:pStyle w:val="Normal"/>
        <w:widowControl w:val="false"/>
        <w:numPr>
          <w:ilvl w:val="1"/>
          <w:numId w:val="14"/>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4"/>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4"/>
        </w:numPr>
        <w:shd w:val="clear" w:color="auto" w:fill="FFFFFF"/>
        <w:spacing w:before="0" w:after="12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bookmarkStart w:id="4" w:name="sub_1"/>
      <w:r>
        <w:rPr>
          <w:b w:val="false"/>
          <w:sz w:val="24"/>
          <w:szCs w:val="24"/>
        </w:rPr>
        <w:t>- Приложение № 1 – Спецификация.</w:t>
      </w:r>
    </w:p>
    <w:p>
      <w:pPr>
        <w:pStyle w:val="Normal"/>
        <w:spacing w:before="0" w:after="120"/>
        <w:ind w:left="567" w:hanging="567"/>
        <w:rPr>
          <w:sz w:val="24"/>
          <w:szCs w:val="24"/>
        </w:rPr>
      </w:pPr>
      <w:bookmarkStart w:id="5" w:name="sub_1"/>
      <w:r>
        <w:rPr>
          <w:sz w:val="24"/>
          <w:szCs w:val="24"/>
        </w:rPr>
        <w:tab/>
        <w:t>- Приложение № 2 – Технические требования на поставку продукции.</w:t>
      </w:r>
      <w:bookmarkEnd w:id="5"/>
    </w:p>
    <w:p>
      <w:pPr>
        <w:pStyle w:val="Normal"/>
        <w:widowControl w:val="false"/>
        <w:numPr>
          <w:ilvl w:val="0"/>
          <w:numId w:val="14"/>
        </w:numPr>
        <w:shd w:val="clear" w:color="auto" w:fill="FFFFFF"/>
        <w:tabs>
          <w:tab w:val="clear" w:pos="720"/>
          <w:tab w:val="left" w:pos="0"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shd w:color="auto" w:fill="auto" w:val="clear"/>
          </w:tcPr>
          <w:p>
            <w:pPr>
              <w:pStyle w:val="Normal"/>
              <w:widowControl w:val="false"/>
              <w:rPr>
                <w:sz w:val="22"/>
                <w:szCs w:val="22"/>
              </w:rPr>
            </w:pPr>
            <w:r>
              <w:rPr>
                <w:sz w:val="22"/>
                <w:szCs w:val="22"/>
              </w:rPr>
            </w:r>
          </w:p>
          <w:p>
            <w:pPr>
              <w:pStyle w:val="Normal"/>
              <w:widowControl w:val="false"/>
              <w:ind w:left="40" w:right="1300" w:hanging="0"/>
              <w:rPr>
                <w:b/>
              </w:rPr>
            </w:pPr>
            <w:r>
              <w:rPr>
                <w:b/>
                <w:color w:val="000000"/>
                <w:lang w:bidi="ru-RU"/>
              </w:rPr>
              <w:t>Акционерное общество «Гидроремонт-ВКК»</w:t>
            </w:r>
          </w:p>
          <w:p>
            <w:pPr>
              <w:pStyle w:val="Normal"/>
              <w:widowControl w:val="false"/>
              <w:ind w:left="40" w:hanging="0"/>
              <w:rPr>
                <w:b/>
              </w:rPr>
            </w:pPr>
            <w:r>
              <w:rPr>
                <w:b/>
                <w:color w:val="000000"/>
                <w:lang w:bidi="ru-RU"/>
              </w:rPr>
              <w:t>(АО «Гидроремонт-ВКК»)</w:t>
            </w:r>
          </w:p>
          <w:p>
            <w:pPr>
              <w:pStyle w:val="Normal"/>
              <w:widowControl w:val="false"/>
              <w:ind w:left="40" w:hanging="0"/>
              <w:rPr/>
            </w:pPr>
            <w:r>
              <w:rPr>
                <w:color w:val="000000"/>
                <w:lang w:bidi="ru-RU"/>
              </w:rPr>
              <w:t>Юридический адрес: 603140, Нижегородская обл., г.Н.Новгород, переулок Мотальный, д.8, помещ.ВП 31, офис С1А</w:t>
            </w:r>
          </w:p>
          <w:p>
            <w:pPr>
              <w:pStyle w:val="Normal"/>
              <w:widowControl w:val="false"/>
              <w:spacing w:lineRule="exact" w:line="274"/>
              <w:ind w:left="40" w:hanging="0"/>
              <w:rPr>
                <w:color w:val="000000"/>
                <w:lang w:bidi="ru-RU"/>
              </w:rPr>
            </w:pPr>
            <w:r>
              <w:rPr>
                <w:color w:val="000000"/>
                <w:lang w:bidi="ru-RU"/>
              </w:rPr>
            </w:r>
          </w:p>
          <w:p>
            <w:pPr>
              <w:pStyle w:val="Normal"/>
              <w:widowControl w:val="false"/>
              <w:spacing w:lineRule="exact" w:line="274"/>
              <w:ind w:left="40" w:hanging="0"/>
              <w:rPr>
                <w:color w:val="000000"/>
                <w:lang w:bidi="ru-RU"/>
              </w:rPr>
            </w:pPr>
            <w:hyperlink r:id="rId5">
              <w:r>
                <w:rPr>
                  <w:rStyle w:val="Hyperlink"/>
                  <w:lang w:val="en-US" w:bidi="ru-RU"/>
                </w:rPr>
                <w:t>www</w:t>
              </w:r>
              <w:r>
                <w:rPr>
                  <w:rStyle w:val="Hyperlink"/>
                  <w:lang w:bidi="ru-RU"/>
                </w:rPr>
                <w:t>.</w:t>
              </w:r>
              <w:r>
                <w:rPr>
                  <w:rStyle w:val="Hyperlink"/>
                  <w:lang w:val="en-US" w:bidi="ru-RU"/>
                </w:rPr>
                <w:t>rushydro</w:t>
              </w:r>
              <w:r>
                <w:rPr>
                  <w:rStyle w:val="Hyperlink"/>
                  <w:lang w:bidi="ru-RU"/>
                </w:rPr>
                <w:t>.</w:t>
              </w:r>
              <w:r>
                <w:rPr>
                  <w:rStyle w:val="Hyperlink"/>
                  <w:lang w:val="en-US" w:bidi="ru-RU"/>
                </w:rPr>
                <w:t>ru</w:t>
              </w:r>
            </w:hyperlink>
          </w:p>
          <w:p>
            <w:pPr>
              <w:pStyle w:val="Normal"/>
              <w:widowControl w:val="false"/>
              <w:rPr>
                <w:sz w:val="22"/>
                <w:szCs w:val="22"/>
              </w:rPr>
            </w:pPr>
            <w:r>
              <w:rPr>
                <w:color w:val="000000"/>
                <w:lang w:bidi="ru-RU"/>
              </w:rPr>
              <w:t xml:space="preserve">Тел./факс </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tc>
      </w:tr>
      <w:tr>
        <w:trPr/>
        <w:tc>
          <w:tcPr>
            <w:tcW w:w="4927" w:type="dxa"/>
            <w:tcBorders/>
            <w:shd w:color="auto" w:fill="auto" w:val="clear"/>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w:t>
            </w:r>
            <w:r>
              <w:rPr>
                <w:sz w:val="22"/>
                <w:szCs w:val="22"/>
                <w:lang w:val="en-US"/>
              </w:rPr>
              <w:t>__________________</w:t>
            </w:r>
            <w:r>
              <w:rPr>
                <w:sz w:val="22"/>
                <w:szCs w:val="22"/>
              </w:rPr>
              <w:t>/</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/____________/</w:t>
            </w:r>
          </w:p>
          <w:p>
            <w:pPr>
              <w:pStyle w:val="Normal"/>
              <w:widowControl w:val="false"/>
              <w:rPr>
                <w:sz w:val="22"/>
                <w:szCs w:val="22"/>
              </w:rPr>
            </w:pPr>
            <w:r>
              <w:rPr>
                <w:sz w:val="22"/>
                <w:szCs w:val="22"/>
              </w:rPr>
              <w:t>м.п.</w:t>
            </w:r>
          </w:p>
        </w:tc>
      </w:tr>
    </w:tbl>
    <w:p>
      <w:pPr>
        <w:sectPr>
          <w:footerReference w:type="even" r:id="rId6"/>
          <w:footerReference w:type="default" r:id="rId7"/>
          <w:footerReference w:type="first" r:id="rId8"/>
          <w:footnotePr>
            <w:numFmt w:val="decimal"/>
          </w:footnotePr>
          <w:type w:val="nextPage"/>
          <w:pgSz w:w="11906" w:h="16838"/>
          <w:pgMar w:left="1701" w:right="849" w:gutter="0" w:header="0" w:top="1134" w:footer="720" w:bottom="1134"/>
          <w:pgNumType w:fmt="decimal"/>
          <w:formProt w:val="false"/>
          <w:textDirection w:val="lrTb"/>
          <w:docGrid w:type="default" w:linePitch="100" w:charSpace="8192"/>
        </w:sectPr>
        <w:pStyle w:val="BodyText"/>
        <w:spacing w:before="120" w:after="0"/>
        <w:ind w:firstLine="567"/>
        <w:jc w:val="right"/>
        <w:rPr>
          <w:b/>
          <w:bCs/>
          <w:color w:val="000000"/>
          <w:sz w:val="24"/>
          <w:szCs w:val="24"/>
        </w:rPr>
      </w:pPr>
      <w:r>
        <w:rPr>
          <w:b/>
          <w:bCs/>
          <w:color w:val="000000"/>
          <w:sz w:val="24"/>
          <w:szCs w:val="24"/>
        </w:rPr>
      </w:r>
    </w:p>
    <w:p>
      <w:pPr>
        <w:pStyle w:val="BodyText"/>
        <w:numPr>
          <w:ilvl w:val="0"/>
          <w:numId w:val="0"/>
        </w:numPr>
        <w:spacing w:before="0" w:after="120"/>
        <w:ind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к договору поставки</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firstLine="567"/>
        <w:jc w:val="center"/>
        <w:outlineLvl w:val="0"/>
        <w:rPr>
          <w:b/>
          <w:sz w:val="24"/>
          <w:szCs w:val="24"/>
        </w:rPr>
      </w:pPr>
      <w:r>
        <w:rPr>
          <w:b/>
          <w:sz w:val="24"/>
          <w:szCs w:val="24"/>
        </w:rPr>
      </w:r>
    </w:p>
    <w:p>
      <w:pPr>
        <w:pStyle w:val="Normal"/>
        <w:numPr>
          <w:ilvl w:val="0"/>
          <w:numId w:val="0"/>
        </w:numPr>
        <w:spacing w:before="0" w:after="120"/>
        <w:ind w:firstLine="567"/>
        <w:jc w:val="center"/>
        <w:outlineLvl w:val="0"/>
        <w:rPr>
          <w:b/>
          <w:sz w:val="24"/>
          <w:szCs w:val="24"/>
        </w:rPr>
      </w:pPr>
      <w:r>
        <w:rPr>
          <w:b/>
          <w:sz w:val="24"/>
          <w:szCs w:val="24"/>
        </w:rPr>
        <w:t>Спецификация №1</w:t>
      </w:r>
    </w:p>
    <w:tbl>
      <w:tblPr>
        <w:tblW w:w="10332"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58"/>
        <w:gridCol w:w="2406"/>
        <w:gridCol w:w="1481"/>
        <w:gridCol w:w="1084"/>
        <w:gridCol w:w="1177"/>
        <w:gridCol w:w="665"/>
        <w:gridCol w:w="693"/>
        <w:gridCol w:w="1091"/>
        <w:gridCol w:w="1276"/>
      </w:tblGrid>
      <w:tr>
        <w:trPr>
          <w:trHeight w:val="20" w:hRule="atLeast"/>
        </w:trPr>
        <w:tc>
          <w:tcPr>
            <w:tcW w:w="4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 xml:space="preserve">№ </w:t>
            </w:r>
            <w:r>
              <w:rPr>
                <w:color w:val="000000"/>
              </w:rPr>
              <w:t>п/п</w:t>
            </w:r>
          </w:p>
        </w:tc>
        <w:tc>
          <w:tcPr>
            <w:tcW w:w="2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Наименование продукции</w:t>
            </w:r>
          </w:p>
        </w:tc>
        <w:tc>
          <w:tcPr>
            <w:tcW w:w="14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Тип, марка, артикул</w:t>
            </w:r>
          </w:p>
        </w:tc>
        <w:tc>
          <w:tcPr>
            <w:tcW w:w="10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 xml:space="preserve"> </w:t>
            </w:r>
            <w:r>
              <w:rPr>
                <w:color w:val="000000"/>
              </w:rPr>
              <w:t>ГОСТ/ТУ</w:t>
            </w:r>
          </w:p>
        </w:tc>
        <w:tc>
          <w:tcPr>
            <w:tcW w:w="11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bCs/>
              </w:rPr>
              <w:t>Страна происхождения товара**/</w:t>
            </w:r>
            <w:r>
              <w:rPr/>
              <w:t xml:space="preserve"> Наименование производителя</w:t>
            </w:r>
          </w:p>
        </w:tc>
        <w:tc>
          <w:tcPr>
            <w:tcW w:w="6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Ед. изм.</w:t>
            </w:r>
          </w:p>
        </w:tc>
        <w:tc>
          <w:tcPr>
            <w:tcW w:w="6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Кол-во</w:t>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color w:val="000000"/>
              </w:rPr>
            </w:pPr>
            <w:r>
              <w:rPr>
                <w:bCs/>
              </w:rPr>
              <w:t>Цена  за единицу (руб., без НДС)</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color w:val="000000"/>
              </w:rPr>
            </w:pPr>
            <w:r>
              <w:rPr>
                <w:bCs/>
              </w:rPr>
              <w:t>Сумма (руб., без НДС)</w:t>
            </w:r>
          </w:p>
        </w:tc>
      </w:tr>
      <w:tr>
        <w:trPr>
          <w:trHeight w:val="20" w:hRule="atLeast"/>
        </w:trPr>
        <w:tc>
          <w:tcPr>
            <w:tcW w:w="4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
          </w:p>
        </w:tc>
        <w:tc>
          <w:tcPr>
            <w:tcW w:w="24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78" w:right="-102" w:hanging="0"/>
              <w:rPr/>
            </w:pPr>
            <w:r>
              <w:rPr/>
            </w:r>
          </w:p>
        </w:tc>
        <w:tc>
          <w:tcPr>
            <w:tcW w:w="14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left="-78" w:right="-102" w:hanging="0"/>
              <w:rPr>
                <w:color w:val="000000"/>
              </w:rPr>
            </w:pPr>
            <w:r>
              <w:rPr>
                <w:color w:val="000000"/>
              </w:rPr>
            </w:r>
          </w:p>
        </w:tc>
        <w:tc>
          <w:tcPr>
            <w:tcW w:w="10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17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color w:val="000000"/>
              </w:rPr>
            </w:pPr>
            <w:r>
              <w:rPr>
                <w:color w:val="000000"/>
              </w:rPr>
            </w:r>
          </w:p>
        </w:tc>
        <w:tc>
          <w:tcPr>
            <w:tcW w:w="6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6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09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color w:val="000000"/>
              </w:rPr>
            </w:pPr>
            <w:r>
              <w:rPr>
                <w:color w:val="000000"/>
              </w:rPr>
            </w:r>
          </w:p>
        </w:tc>
        <w:tc>
          <w:tcPr>
            <w:tcW w:w="1276"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color w:val="000000"/>
              </w:rPr>
            </w:pPr>
            <w:r>
              <w:rPr>
                <w:color w:val="000000"/>
              </w:rPr>
            </w:r>
          </w:p>
        </w:tc>
      </w:tr>
      <w:tr>
        <w:trPr>
          <w:trHeight w:val="20" w:hRule="atLeast"/>
        </w:trPr>
        <w:tc>
          <w:tcPr>
            <w:tcW w:w="4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
          </w:p>
        </w:tc>
        <w:tc>
          <w:tcPr>
            <w:tcW w:w="24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78" w:right="-102" w:hanging="0"/>
              <w:rPr/>
            </w:pPr>
            <w:r>
              <w:rPr/>
            </w:r>
          </w:p>
        </w:tc>
        <w:tc>
          <w:tcPr>
            <w:tcW w:w="14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left="-78" w:right="-102" w:hanging="0"/>
              <w:rPr>
                <w:color w:val="000000"/>
              </w:rPr>
            </w:pPr>
            <w:r>
              <w:rPr>
                <w:color w:val="000000"/>
              </w:rPr>
            </w:r>
          </w:p>
        </w:tc>
        <w:tc>
          <w:tcPr>
            <w:tcW w:w="10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r>
          </w:p>
        </w:tc>
        <w:tc>
          <w:tcPr>
            <w:tcW w:w="117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color w:val="000000"/>
              </w:rPr>
            </w:pPr>
            <w:r>
              <w:rPr>
                <w:color w:val="000000"/>
              </w:rPr>
            </w:r>
          </w:p>
        </w:tc>
        <w:tc>
          <w:tcPr>
            <w:tcW w:w="6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6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r>
          </w:p>
        </w:tc>
        <w:tc>
          <w:tcPr>
            <w:tcW w:w="109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color w:val="000000"/>
              </w:rPr>
            </w:pPr>
            <w:r>
              <w:rPr>
                <w:color w:val="000000"/>
              </w:rPr>
            </w:r>
          </w:p>
        </w:tc>
        <w:tc>
          <w:tcPr>
            <w:tcW w:w="1276"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color w:val="000000"/>
              </w:rPr>
            </w:pPr>
            <w:r>
              <w:rPr>
                <w:color w:val="000000"/>
              </w:rPr>
            </w:r>
          </w:p>
        </w:tc>
      </w:tr>
      <w:tr>
        <w:trPr>
          <w:trHeight w:val="20" w:hRule="atLeast"/>
        </w:trPr>
        <w:tc>
          <w:tcPr>
            <w:tcW w:w="9055" w:type="dxa"/>
            <w:gridSpan w:val="8"/>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right"/>
              <w:rPr>
                <w:color w:val="000000"/>
              </w:rPr>
            </w:pPr>
            <w:r>
              <w:rPr>
                <w:b/>
              </w:rPr>
              <w:t>ИТОГО без НДС, руб.</w:t>
            </w:r>
          </w:p>
        </w:tc>
        <w:tc>
          <w:tcPr>
            <w:tcW w:w="1276"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right"/>
              <w:rPr>
                <w:b/>
                <w:color w:val="000000"/>
              </w:rPr>
            </w:pPr>
            <w:r>
              <w:rPr>
                <w:b/>
                <w:color w:val="000000"/>
              </w:rPr>
            </w:r>
          </w:p>
        </w:tc>
      </w:tr>
      <w:tr>
        <w:trPr>
          <w:trHeight w:val="20" w:hRule="atLeast"/>
        </w:trPr>
        <w:tc>
          <w:tcPr>
            <w:tcW w:w="9055" w:type="dxa"/>
            <w:gridSpan w:val="8"/>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right"/>
              <w:rPr>
                <w:color w:val="000000"/>
              </w:rPr>
            </w:pPr>
            <w:r>
              <w:rPr>
                <w:b/>
              </w:rPr>
              <w:t>НДС (22%), руб.</w:t>
            </w:r>
          </w:p>
        </w:tc>
        <w:tc>
          <w:tcPr>
            <w:tcW w:w="1276"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right"/>
              <w:rPr>
                <w:b/>
                <w:color w:val="000000"/>
              </w:rPr>
            </w:pPr>
            <w:r>
              <w:rPr>
                <w:b/>
                <w:color w:val="000000"/>
              </w:rPr>
            </w:r>
          </w:p>
        </w:tc>
      </w:tr>
      <w:tr>
        <w:trPr>
          <w:trHeight w:val="20" w:hRule="atLeast"/>
        </w:trPr>
        <w:tc>
          <w:tcPr>
            <w:tcW w:w="9055" w:type="dxa"/>
            <w:gridSpan w:val="8"/>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right"/>
              <w:rPr>
                <w:color w:val="000000"/>
              </w:rPr>
            </w:pPr>
            <w:r>
              <w:rPr>
                <w:b/>
              </w:rPr>
              <w:t>ИТОГО с учетом НДС, руб.</w:t>
            </w:r>
          </w:p>
        </w:tc>
        <w:tc>
          <w:tcPr>
            <w:tcW w:w="1276"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right"/>
              <w:rPr>
                <w:b/>
                <w:color w:val="000000"/>
              </w:rPr>
            </w:pPr>
            <w:r>
              <w:rPr>
                <w:b/>
                <w:color w:val="000000"/>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19"/>
        </w:numPr>
        <w:spacing w:before="0" w:after="120"/>
        <w:jc w:val="both"/>
        <w:rPr>
          <w:sz w:val="24"/>
          <w:szCs w:val="24"/>
        </w:rPr>
      </w:pPr>
      <w:r>
        <w:rPr>
          <w:bCs/>
          <w:sz w:val="24"/>
          <w:szCs w:val="24"/>
        </w:rPr>
        <w:t>Общая сумма Спецификации составляет ______ (________________) рубля 00 копеек без учета НДС, при этом НДС исчисляется дополнительно по ставке, установленной статьей 164 Налогового кодекса РФ (далее-НК РФ).</w:t>
      </w:r>
    </w:p>
    <w:p>
      <w:pPr>
        <w:pStyle w:val="Normal"/>
        <w:widowControl w:val="false"/>
        <w:numPr>
          <w:ilvl w:val="0"/>
          <w:numId w:val="7"/>
        </w:numPr>
        <w:spacing w:before="0" w:after="120"/>
        <w:jc w:val="both"/>
        <w:rPr>
          <w:sz w:val="24"/>
          <w:szCs w:val="24"/>
        </w:rPr>
      </w:pPr>
      <w:r>
        <w:rPr>
          <w:sz w:val="24"/>
          <w:szCs w:val="24"/>
        </w:rPr>
        <w:t>Срок поставки Продукции:</w:t>
      </w:r>
      <w:r>
        <w:rPr/>
        <w:t xml:space="preserve"> </w:t>
      </w:r>
      <w:r>
        <w:rPr/>
        <w:t>30.09.2026</w:t>
      </w:r>
      <w:r>
        <w:rPr>
          <w:sz w:val="24"/>
          <w:szCs w:val="24"/>
        </w:rPr>
        <w:t>г.</w:t>
      </w:r>
    </w:p>
    <w:p>
      <w:pPr>
        <w:pStyle w:val="ListParagraph"/>
        <w:numPr>
          <w:ilvl w:val="0"/>
          <w:numId w:val="7"/>
        </w:numPr>
        <w:tabs>
          <w:tab w:val="clear" w:pos="720"/>
          <w:tab w:val="left" w:pos="426" w:leader="none"/>
        </w:tabs>
        <w:ind w:left="0" w:firstLine="284"/>
        <w:rPr>
          <w:sz w:val="24"/>
          <w:szCs w:val="24"/>
        </w:rPr>
      </w:pPr>
      <w:r>
        <w:rPr>
          <w:sz w:val="24"/>
          <w:szCs w:val="24"/>
        </w:rPr>
        <w:t>Иные условия, предусмотренные техническими требованиями:</w:t>
      </w:r>
      <w:r>
        <w:rPr/>
        <w:t xml:space="preserve"> </w:t>
      </w:r>
      <w:r>
        <w:rPr>
          <w:sz w:val="24"/>
          <w:szCs w:val="24"/>
        </w:rPr>
        <w:t>в полном соответствии с ТТ (Приложение № 2).</w:t>
      </w:r>
    </w:p>
    <w:p>
      <w:pPr>
        <w:pStyle w:val="Normal"/>
        <w:spacing w:before="0" w:after="120"/>
        <w:jc w:val="both"/>
        <w:rPr>
          <w:i/>
          <w:i/>
          <w:sz w:val="24"/>
          <w:szCs w:val="24"/>
          <w:highlight w:val="cyan"/>
        </w:rPr>
      </w:pPr>
      <w:r>
        <w:rPr>
          <w:i/>
          <w:sz w:val="24"/>
          <w:szCs w:val="24"/>
          <w:highlight w:val="cyan"/>
        </w:rPr>
      </w:r>
    </w:p>
    <w:tbl>
      <w:tblPr>
        <w:tblpPr w:vertAnchor="text" w:horzAnchor="margin" w:leftFromText="180" w:rightFromText="180" w:tblpX="284" w:tblpY="225"/>
        <w:tblW w:w="9322"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536"/>
        <w:gridCol w:w="4785"/>
      </w:tblGrid>
      <w:tr>
        <w:trPr/>
        <w:tc>
          <w:tcPr>
            <w:tcW w:w="4536" w:type="dxa"/>
            <w:tcBorders/>
            <w:shd w:color="auto" w:fill="FFFFFF" w:themeFill="background1" w:val="clear"/>
          </w:tcPr>
          <w:p>
            <w:pPr>
              <w:pStyle w:val="Style20"/>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20"/>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r>
          </w:p>
        </w:tc>
        <w:tc>
          <w:tcPr>
            <w:tcW w:w="4785" w:type="dxa"/>
            <w:tcBorders/>
            <w:shd w:color="auto" w:fill="FFFFFF" w:themeFill="background1" w:val="clear"/>
          </w:tcPr>
          <w:p>
            <w:pPr>
              <w:pStyle w:val="Style20"/>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20"/>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536" w:type="dxa"/>
            <w:tcBorders/>
            <w:shd w:color="auto" w:fill="FFFFFF" w:themeFill="background1" w:val="clear"/>
          </w:tcPr>
          <w:p>
            <w:pPr>
              <w:pStyle w:val="Style20"/>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w:t>
            </w:r>
            <w:r>
              <w:rPr>
                <w:rFonts w:ascii="Times New Roman" w:hAnsi="Times New Roman"/>
                <w:sz w:val="24"/>
                <w:szCs w:val="24"/>
              </w:rPr>
              <w:t>______________</w:t>
            </w:r>
            <w:r>
              <w:rPr>
                <w:rFonts w:ascii="Times New Roman" w:hAnsi="Times New Roman"/>
                <w:sz w:val="24"/>
                <w:szCs w:val="24"/>
                <w:lang w:val="ru-RU"/>
              </w:rPr>
              <w:t xml:space="preserve"> /</w:t>
            </w:r>
          </w:p>
          <w:p>
            <w:pPr>
              <w:pStyle w:val="Style20"/>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20"/>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 /_______________/</w:t>
            </w:r>
          </w:p>
          <w:p>
            <w:pPr>
              <w:pStyle w:val="Style20"/>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sectPr>
          <w:headerReference w:type="default" r:id="rId9"/>
          <w:footerReference w:type="even" r:id="rId10"/>
          <w:footerReference w:type="default" r:id="rId11"/>
          <w:footerReference w:type="first" r:id="rId12"/>
          <w:footnotePr>
            <w:numFmt w:val="decimal"/>
          </w:footnotePr>
          <w:type w:val="nextPage"/>
          <w:pgSz w:w="11906" w:h="16838"/>
          <w:pgMar w:left="1134" w:right="709" w:gutter="0" w:header="720" w:top="851" w:footer="720" w:bottom="1134"/>
          <w:pgNumType w:fmt="decimal"/>
          <w:formProt w:val="false"/>
          <w:textDirection w:val="lrTb"/>
          <w:docGrid w:type="default" w:linePitch="100" w:charSpace="8192"/>
        </w:sectPr>
        <w:pStyle w:val="Normal"/>
        <w:spacing w:before="0" w:after="120"/>
        <w:rPr>
          <w:sz w:val="22"/>
          <w:szCs w:val="22"/>
        </w:rPr>
      </w:pPr>
      <w:r>
        <w:rPr>
          <w:sz w:val="22"/>
          <w:szCs w:val="22"/>
        </w:rPr>
      </w:r>
      <w:r>
        <w:br w:type="page"/>
      </w:r>
    </w:p>
    <w:p>
      <w:pPr>
        <w:pStyle w:val="BodyText"/>
        <w:numPr>
          <w:ilvl w:val="0"/>
          <w:numId w:val="0"/>
        </w:numPr>
        <w:spacing w:before="0" w:after="120"/>
        <w:ind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BodyText"/>
        <w:spacing w:before="0" w:after="120"/>
        <w:ind w:firstLine="567"/>
        <w:jc w:val="right"/>
        <w:rPr>
          <w:bCs/>
          <w:sz w:val="24"/>
          <w:szCs w:val="24"/>
          <w:highlight w:val="yellow"/>
        </w:rPr>
      </w:pPr>
      <w:r>
        <w:rPr>
          <w:bCs/>
          <w:sz w:val="24"/>
          <w:szCs w:val="24"/>
          <w:highlight w:val="yellow"/>
        </w:rPr>
      </w:r>
    </w:p>
    <w:p>
      <w:pPr>
        <w:pStyle w:val="BodyText"/>
        <w:spacing w:before="0" w:after="120"/>
        <w:ind w:firstLine="567"/>
        <w:jc w:val="center"/>
        <w:rPr>
          <w:b/>
          <w:bCs/>
          <w:sz w:val="24"/>
          <w:szCs w:val="24"/>
        </w:rPr>
      </w:pPr>
      <w:r>
        <w:rPr>
          <w:b/>
          <w:bCs/>
          <w:sz w:val="24"/>
          <w:szCs w:val="24"/>
        </w:rPr>
        <w:t>ТЕХНИЧЕСКИЕ ТРЕБОВАНИЯ</w:t>
      </w:r>
    </w:p>
    <w:p>
      <w:pPr>
        <w:pStyle w:val="BodyText"/>
        <w:numPr>
          <w:ilvl w:val="0"/>
          <w:numId w:val="0"/>
        </w:numPr>
        <w:spacing w:before="0" w:after="120"/>
        <w:ind w:firstLine="567"/>
        <w:jc w:val="right"/>
        <w:outlineLvl w:val="0"/>
        <w:rPr>
          <w:b/>
          <w:bCs/>
          <w:sz w:val="24"/>
          <w:szCs w:val="24"/>
        </w:rPr>
      </w:pPr>
      <w:r>
        <w:rPr>
          <w:b/>
          <w:bCs/>
          <w:sz w:val="24"/>
          <w:szCs w:val="24"/>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hd w:val="clear" w:color="auto" w:fill="FFFFFF"/>
              <w:tabs>
                <w:tab w:val="clear" w:pos="720"/>
                <w:tab w:val="left" w:pos="709" w:leader="none"/>
              </w:tabs>
              <w:spacing w:before="0" w:after="120"/>
              <w:jc w:val="both"/>
              <w:rPr>
                <w:b/>
                <w:bCs/>
                <w:sz w:val="24"/>
                <w:szCs w:val="28"/>
                <w:u w:val="single"/>
              </w:rPr>
            </w:pPr>
            <w:r>
              <w:rPr>
                <w:b/>
                <w:bCs/>
                <w:sz w:val="24"/>
                <w:szCs w:val="28"/>
                <w:u w:val="single"/>
              </w:rPr>
              <w:t>Покупатель</w:t>
            </w:r>
            <w:r>
              <w:rPr>
                <w:b/>
                <w:bCs/>
                <w:sz w:val="24"/>
                <w:szCs w:val="28"/>
                <w:u w:val="single"/>
                <w:lang w:val="en-US"/>
              </w:rPr>
              <w:t>:</w:t>
            </w:r>
          </w:p>
          <w:p>
            <w:pPr>
              <w:pStyle w:val="Normal"/>
              <w:widowControl w:val="false"/>
              <w:shd w:val="clear" w:color="auto" w:fill="FFFFFF"/>
              <w:tabs>
                <w:tab w:val="clear" w:pos="720"/>
                <w:tab w:val="left" w:pos="709" w:leader="none"/>
              </w:tabs>
              <w:spacing w:before="0" w:after="120"/>
              <w:jc w:val="both"/>
              <w:rPr>
                <w:b/>
                <w:bCs/>
                <w:sz w:val="24"/>
                <w:szCs w:val="28"/>
                <w:u w:val="single"/>
              </w:rPr>
            </w:pPr>
            <w:r>
              <w:rPr>
                <w:b/>
                <w:bCs/>
                <w:sz w:val="24"/>
                <w:szCs w:val="28"/>
                <w:u w:val="single"/>
              </w:rPr>
            </w:r>
          </w:p>
        </w:tc>
        <w:tc>
          <w:tcPr>
            <w:tcW w:w="4785" w:type="dxa"/>
            <w:tcBorders/>
            <w:shd w:color="auto" w:fill="FFFFFF" w:themeFill="background1" w:val="clear"/>
          </w:tcPr>
          <w:p>
            <w:pPr>
              <w:pStyle w:val="Normal"/>
              <w:widowControl w:val="false"/>
              <w:shd w:val="clear" w:color="auto" w:fill="FFFFFF"/>
              <w:tabs>
                <w:tab w:val="clear" w:pos="720"/>
                <w:tab w:val="left" w:pos="709" w:leader="none"/>
              </w:tabs>
              <w:spacing w:before="0" w:after="120"/>
              <w:jc w:val="both"/>
              <w:rPr>
                <w:b/>
                <w:bCs/>
                <w:sz w:val="24"/>
                <w:szCs w:val="28"/>
                <w:u w:val="single"/>
              </w:rPr>
            </w:pPr>
            <w:r>
              <w:rPr>
                <w:b/>
                <w:bCs/>
                <w:sz w:val="24"/>
                <w:szCs w:val="28"/>
                <w:u w:val="single"/>
              </w:rPr>
              <w:t>Поставщик</w:t>
            </w:r>
            <w:r>
              <w:rPr>
                <w:b/>
                <w:bCs/>
                <w:sz w:val="24"/>
                <w:szCs w:val="28"/>
                <w:u w:val="single"/>
                <w:lang w:val="en-US"/>
              </w:rPr>
              <w:t>:</w:t>
            </w:r>
          </w:p>
          <w:p>
            <w:pPr>
              <w:pStyle w:val="Normal"/>
              <w:widowControl w:val="false"/>
              <w:shd w:val="clear" w:color="auto" w:fill="FFFFFF"/>
              <w:tabs>
                <w:tab w:val="clear" w:pos="720"/>
                <w:tab w:val="left" w:pos="709" w:leader="none"/>
              </w:tabs>
              <w:spacing w:before="0" w:after="120"/>
              <w:jc w:val="both"/>
              <w:rPr>
                <w:bCs/>
                <w:sz w:val="24"/>
                <w:szCs w:val="28"/>
                <w:u w:val="single"/>
              </w:rPr>
            </w:pPr>
            <w:r>
              <w:rPr>
                <w:bCs/>
                <w:sz w:val="24"/>
                <w:szCs w:val="28"/>
                <w:u w:val="single"/>
              </w:rPr>
            </w:r>
          </w:p>
        </w:tc>
      </w:tr>
      <w:tr>
        <w:trPr/>
        <w:tc>
          <w:tcPr>
            <w:tcW w:w="4785" w:type="dxa"/>
            <w:tcBorders/>
            <w:shd w:color="auto" w:fill="FFFFFF" w:themeFill="background1" w:val="clear"/>
          </w:tcPr>
          <w:p>
            <w:pPr>
              <w:pStyle w:val="Normal"/>
              <w:widowControl w:val="false"/>
              <w:shd w:val="clear" w:color="auto" w:fill="FFFFFF"/>
              <w:tabs>
                <w:tab w:val="clear" w:pos="720"/>
                <w:tab w:val="left" w:pos="709" w:leader="none"/>
              </w:tabs>
              <w:spacing w:before="0" w:after="120"/>
              <w:jc w:val="both"/>
              <w:rPr>
                <w:bCs/>
                <w:sz w:val="24"/>
                <w:szCs w:val="28"/>
              </w:rPr>
            </w:pPr>
            <w:r>
              <w:rPr>
                <w:bCs/>
                <w:sz w:val="24"/>
                <w:szCs w:val="28"/>
              </w:rPr>
              <w:t xml:space="preserve">_______________ / </w:t>
            </w:r>
            <w:r>
              <w:rPr>
                <w:bCs/>
                <w:sz w:val="24"/>
                <w:szCs w:val="28"/>
                <w:lang w:val="en-US"/>
              </w:rPr>
              <w:t>______________</w:t>
            </w:r>
            <w:r>
              <w:rPr>
                <w:bCs/>
                <w:sz w:val="24"/>
                <w:szCs w:val="28"/>
              </w:rPr>
              <w:t>/</w:t>
            </w:r>
          </w:p>
          <w:p>
            <w:pPr>
              <w:pStyle w:val="Normal"/>
              <w:widowControl w:val="false"/>
              <w:shd w:val="clear" w:color="auto" w:fill="FFFFFF"/>
              <w:tabs>
                <w:tab w:val="clear" w:pos="720"/>
                <w:tab w:val="left" w:pos="709" w:leader="none"/>
              </w:tabs>
              <w:spacing w:before="0" w:after="120"/>
              <w:jc w:val="both"/>
              <w:rPr>
                <w:bCs/>
                <w:sz w:val="24"/>
                <w:szCs w:val="28"/>
              </w:rPr>
            </w:pPr>
            <w:r>
              <w:rPr>
                <w:bCs/>
                <w:sz w:val="24"/>
                <w:szCs w:val="28"/>
              </w:rPr>
              <w:t>м.п.</w:t>
            </w:r>
          </w:p>
        </w:tc>
        <w:tc>
          <w:tcPr>
            <w:tcW w:w="4785" w:type="dxa"/>
            <w:tcBorders/>
            <w:shd w:color="auto" w:fill="FFFFFF" w:themeFill="background1" w:val="clear"/>
          </w:tcPr>
          <w:p>
            <w:pPr>
              <w:pStyle w:val="Normal"/>
              <w:widowControl w:val="false"/>
              <w:shd w:val="clear" w:color="auto" w:fill="FFFFFF"/>
              <w:tabs>
                <w:tab w:val="clear" w:pos="720"/>
                <w:tab w:val="left" w:pos="709" w:leader="none"/>
              </w:tabs>
              <w:spacing w:before="0" w:after="120"/>
              <w:jc w:val="both"/>
              <w:rPr>
                <w:bCs/>
                <w:sz w:val="24"/>
                <w:szCs w:val="28"/>
              </w:rPr>
            </w:pPr>
            <w:r>
              <w:rPr>
                <w:bCs/>
                <w:sz w:val="24"/>
                <w:szCs w:val="28"/>
              </w:rPr>
              <w:t>_____________ /________________ /</w:t>
            </w:r>
          </w:p>
          <w:p>
            <w:pPr>
              <w:pStyle w:val="Normal"/>
              <w:widowControl w:val="false"/>
              <w:shd w:val="clear" w:color="auto" w:fill="FFFFFF"/>
              <w:tabs>
                <w:tab w:val="clear" w:pos="720"/>
                <w:tab w:val="left" w:pos="709" w:leader="none"/>
              </w:tabs>
              <w:spacing w:before="0" w:after="120"/>
              <w:jc w:val="both"/>
              <w:rPr>
                <w:bCs/>
                <w:sz w:val="24"/>
                <w:szCs w:val="28"/>
              </w:rPr>
            </w:pPr>
            <w:r>
              <w:rPr>
                <w:bCs/>
                <w:sz w:val="24"/>
                <w:szCs w:val="28"/>
              </w:rPr>
              <w:t>м.п.</w:t>
            </w:r>
          </w:p>
        </w:tc>
      </w:tr>
    </w:tbl>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r>
    </w:p>
    <w:sectPr>
      <w:headerReference w:type="default" r:id="rId13"/>
      <w:headerReference w:type="first" r:id="rId14"/>
      <w:footerReference w:type="default" r:id="rId15"/>
      <w:footerReference w:type="first" r:id="rId16"/>
      <w:footnotePr>
        <w:numFmt w:val="decimal"/>
      </w:footnotePr>
      <w:type w:val="nextPage"/>
      <w:pgSz w:w="11906" w:h="16838"/>
      <w:pgMar w:left="1134" w:right="1416" w:gutter="0" w:header="720" w:top="777" w:footer="720" w:bottom="777"/>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19">
              <wp:simplePos x="0" y="0"/>
              <wp:positionH relativeFrom="margin">
                <wp:align>right</wp:align>
              </wp:positionH>
              <wp:positionV relativeFrom="paragraph">
                <wp:posOffset>635</wp:posOffset>
              </wp:positionV>
              <wp:extent cx="127635" cy="146685"/>
              <wp:effectExtent l="0" t="0" r="0" b="0"/>
              <wp:wrapSquare wrapText="bothSides"/>
              <wp:docPr id="2" name="Врезка2"/>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57.7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19">
              <wp:simplePos x="0" y="0"/>
              <wp:positionH relativeFrom="margin">
                <wp:align>right</wp:align>
              </wp:positionH>
              <wp:positionV relativeFrom="paragraph">
                <wp:posOffset>635</wp:posOffset>
              </wp:positionV>
              <wp:extent cx="127635" cy="146685"/>
              <wp:effectExtent l="0" t="0" r="0" b="0"/>
              <wp:wrapSquare wrapText="bothSides"/>
              <wp:docPr id="3" name="Врезка2"/>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57.7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4"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20">
              <wp:simplePos x="0" y="0"/>
              <wp:positionH relativeFrom="margin">
                <wp:align>right</wp:align>
              </wp:positionH>
              <wp:positionV relativeFrom="paragraph">
                <wp:posOffset>635</wp:posOffset>
              </wp:positionV>
              <wp:extent cx="127635" cy="146685"/>
              <wp:effectExtent l="0" t="0" r="0" b="0"/>
              <wp:wrapSquare wrapText="bothSides"/>
              <wp:docPr id="5" name="Врезка4"/>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93.1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20">
              <wp:simplePos x="0" y="0"/>
              <wp:positionH relativeFrom="margin">
                <wp:align>right</wp:align>
              </wp:positionH>
              <wp:positionV relativeFrom="paragraph">
                <wp:posOffset>635</wp:posOffset>
              </wp:positionV>
              <wp:extent cx="127635" cy="146685"/>
              <wp:effectExtent l="0" t="0" r="0" b="0"/>
              <wp:wrapSquare wrapText="bothSides"/>
              <wp:docPr id="6" name="Врезка4"/>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93.1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22">
              <wp:simplePos x="0" y="0"/>
              <wp:positionH relativeFrom="margin">
                <wp:align>right</wp:align>
              </wp:positionH>
              <wp:positionV relativeFrom="paragraph">
                <wp:posOffset>635</wp:posOffset>
              </wp:positionV>
              <wp:extent cx="127635" cy="146685"/>
              <wp:effectExtent l="0" t="0" r="0" b="0"/>
              <wp:wrapSquare wrapText="bothSides"/>
              <wp:docPr id="7" name="Врезка6"/>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57.7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4">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786"/>
        </w:tabs>
        <w:ind w:left="786"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7"/>
      <w:numFmt w:val="decimal"/>
      <w:lvlText w:val="%1."/>
      <w:lvlJc w:val="left"/>
      <w:pPr>
        <w:tabs>
          <w:tab w:val="num" w:pos="0"/>
        </w:tabs>
        <w:ind w:left="360" w:hanging="360"/>
      </w:pPr>
      <w:rPr/>
    </w:lvl>
    <w:lvl w:ilvl="1">
      <w:start w:val="1"/>
      <w:numFmt w:val="decimal"/>
      <w:lvlText w:val="%1.%2."/>
      <w:lvlJc w:val="left"/>
      <w:pPr>
        <w:tabs>
          <w:tab w:val="num" w:pos="0"/>
        </w:tabs>
        <w:ind w:left="1353" w:hanging="360"/>
      </w:pPr>
      <w:rPr>
        <w:sz w:val="24"/>
        <w:szCs w:val="24"/>
      </w:rPr>
    </w:lvl>
    <w:lvl w:ilvl="2">
      <w:start w:val="1"/>
      <w:numFmt w:val="decimal"/>
      <w:lvlText w:val="%1.%2.%3."/>
      <w:lvlJc w:val="left"/>
      <w:pPr>
        <w:tabs>
          <w:tab w:val="num" w:pos="0"/>
        </w:tabs>
        <w:ind w:left="2706" w:hanging="720"/>
      </w:pPr>
      <w:rPr/>
    </w:lvl>
    <w:lvl w:ilvl="3">
      <w:start w:val="1"/>
      <w:numFmt w:val="decimal"/>
      <w:lvlText w:val="%1.%2.%3.%4."/>
      <w:lvlJc w:val="left"/>
      <w:pPr>
        <w:tabs>
          <w:tab w:val="num" w:pos="0"/>
        </w:tabs>
        <w:ind w:left="3699" w:hanging="720"/>
      </w:pPr>
      <w:rPr/>
    </w:lvl>
    <w:lvl w:ilvl="4">
      <w:start w:val="1"/>
      <w:numFmt w:val="decimal"/>
      <w:lvlText w:val="%1.%2.%3.%4.%5."/>
      <w:lvlJc w:val="left"/>
      <w:pPr>
        <w:tabs>
          <w:tab w:val="num" w:pos="0"/>
        </w:tabs>
        <w:ind w:left="5052" w:hanging="1080"/>
      </w:pPr>
      <w:rPr/>
    </w:lvl>
    <w:lvl w:ilvl="5">
      <w:start w:val="1"/>
      <w:numFmt w:val="decimal"/>
      <w:lvlText w:val="%1.%2.%3.%4.%5.%6."/>
      <w:lvlJc w:val="left"/>
      <w:pPr>
        <w:tabs>
          <w:tab w:val="num" w:pos="0"/>
        </w:tabs>
        <w:ind w:left="6045" w:hanging="1080"/>
      </w:pPr>
      <w:rPr/>
    </w:lvl>
    <w:lvl w:ilvl="6">
      <w:start w:val="1"/>
      <w:numFmt w:val="decimal"/>
      <w:lvlText w:val="%1.%2.%3.%4.%5.%6.%7."/>
      <w:lvlJc w:val="left"/>
      <w:pPr>
        <w:tabs>
          <w:tab w:val="num" w:pos="0"/>
        </w:tabs>
        <w:ind w:left="7398" w:hanging="1440"/>
      </w:pPr>
      <w:rPr/>
    </w:lvl>
    <w:lvl w:ilvl="7">
      <w:start w:val="1"/>
      <w:numFmt w:val="decimal"/>
      <w:lvlText w:val="%1.%2.%3.%4.%5.%6.%7.%8."/>
      <w:lvlJc w:val="left"/>
      <w:pPr>
        <w:tabs>
          <w:tab w:val="num" w:pos="0"/>
        </w:tabs>
        <w:ind w:left="8391" w:hanging="1440"/>
      </w:pPr>
      <w:rPr/>
    </w:lvl>
    <w:lvl w:ilvl="8">
      <w:start w:val="1"/>
      <w:numFmt w:val="decimal"/>
      <w:lvlText w:val="%1.%2.%3.%4.%5.%6.%7.%8.%9."/>
      <w:lvlJc w:val="left"/>
      <w:pPr>
        <w:tabs>
          <w:tab w:val="num" w:pos="0"/>
        </w:tabs>
        <w:ind w:left="9744" w:hanging="1800"/>
      </w:pPr>
      <w:rPr/>
    </w:lvl>
  </w:abstractNum>
  <w:abstractNum w:abstractNumId="15">
    <w:lvl w:ilvl="0">
      <w:start w:val="2"/>
      <w:numFmt w:val="decimal"/>
      <w:lvlText w:val="%1."/>
      <w:lvlJc w:val="left"/>
      <w:pPr>
        <w:tabs>
          <w:tab w:val="num" w:pos="5321"/>
        </w:tabs>
        <w:ind w:left="5321" w:hanging="360"/>
      </w:pPr>
      <w:rPr/>
    </w:lvl>
    <w:lvl w:ilvl="1">
      <w:start w:val="7"/>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6">
    <w:lvl w:ilvl="0">
      <w:start w:val="4"/>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7">
    <w:lvl w:ilvl="0">
      <w:start w:val="6"/>
      <w:numFmt w:val="decimal"/>
      <w:lvlText w:val="%1."/>
      <w:lvlJc w:val="left"/>
      <w:pPr>
        <w:tabs>
          <w:tab w:val="num" w:pos="5321"/>
        </w:tabs>
        <w:ind w:left="5321" w:hanging="360"/>
      </w:pPr>
      <w:rPr/>
    </w:lvl>
    <w:lvl w:ilvl="1">
      <w:start w:val="4"/>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7"/>
    <w:lvlOverride w:ilvl="0">
      <w:startOverride w:val="1"/>
    </w:lvlOverride>
  </w:num>
</w:numbering>
</file>

<file path=word/settings.xml><?xml version="1.0" encoding="utf-8"?>
<w:settings xmlns:w="http://schemas.openxmlformats.org/wordprocessingml/2006/main">
  <w:zoom w:percent="94"/>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a14dd"/>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99"/>
    <w:qFormat/>
    <w:locked/>
    <w:rsid w:val="00b11d27"/>
    <w:rPr/>
  </w:style>
  <w:style w:type="character" w:styleId="1" w:customStyle="1">
    <w:name w:val="1. Статья Знак"/>
    <w:link w:val="12"/>
    <w:qFormat/>
    <w:rsid w:val="00b11d27"/>
    <w:rPr>
      <w:sz w:val="24"/>
      <w:szCs w:val="24"/>
      <w:lang w:val="x-none" w:eastAsia="x-none"/>
    </w:rPr>
  </w:style>
  <w:style w:type="character" w:styleId="Style13" w:customStyle="1">
    <w:name w:val="Текст концевой сноски Знак"/>
    <w:basedOn w:val="DefaultParagraphFont"/>
    <w:semiHidden/>
    <w:qFormat/>
    <w:rsid w:val="00af4229"/>
    <w:rPr/>
  </w:style>
  <w:style w:type="character" w:styleId="Style14">
    <w:name w:val="Символ концевой сноски"/>
    <w:basedOn w:val="DefaultParagraphFont"/>
    <w:semiHidden/>
    <w:unhideWhenUsed/>
    <w:qFormat/>
    <w:rsid w:val="00af4229"/>
    <w:rPr>
      <w:vertAlign w:val="superscript"/>
    </w:rPr>
  </w:style>
  <w:style w:type="character" w:styleId="EndnoteReference">
    <w:name w:val="Endnote Reference"/>
    <w:rPr>
      <w:vertAlign w:val="superscript"/>
    </w:rPr>
  </w:style>
  <w:style w:type="character" w:styleId="Style15" w:customStyle="1">
    <w:name w:val="Нижний колонтитул Знак"/>
    <w:basedOn w:val="DefaultParagraphFont"/>
    <w:uiPriority w:val="99"/>
    <w:qFormat/>
    <w:rsid w:val="008e4e3c"/>
    <w:rPr/>
  </w:style>
  <w:style w:type="paragraph" w:styleId="Style16">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7">
    <w:name w:val="Указатель"/>
    <w:basedOn w:val="Normal"/>
    <w:qFormat/>
    <w:pPr>
      <w:suppressLineNumbers/>
    </w:pPr>
    <w:rPr>
      <w:rFonts w:cs="Arial Unicode MS"/>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8">
    <w:name w:val="Колонтитул"/>
    <w:basedOn w:val="Normal"/>
    <w:qFormat/>
    <w:pPr/>
    <w:rPr/>
  </w:style>
  <w:style w:type="paragraph" w:styleId="Footer">
    <w:name w:val="Footer"/>
    <w:basedOn w:val="Normal"/>
    <w:link w:val="Style15"/>
    <w:uiPriority w:val="99"/>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9"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99"/>
    <w:qFormat/>
    <w:rsid w:val="0066561f"/>
    <w:pPr>
      <w:widowControl w:val="false"/>
      <w:spacing w:before="0" w:after="0"/>
      <w:ind w:left="720" w:hanging="0"/>
      <w:contextualSpacing/>
    </w:pPr>
    <w:rPr/>
  </w:style>
  <w:style w:type="paragraph" w:styleId="Style20"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1"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2"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paragraph" w:styleId="EndnoteText">
    <w:name w:val="Endnote Text"/>
    <w:basedOn w:val="Normal"/>
    <w:link w:val="Style13"/>
    <w:semiHidden/>
    <w:unhideWhenUsed/>
    <w:rsid w:val="00af4229"/>
    <w:pPr/>
    <w:rPr/>
  </w:style>
  <w:style w:type="paragraph" w:styleId="Style23" w:customStyle="1">
    <w:name w:val="Таблица текст"/>
    <w:basedOn w:val="Normal"/>
    <w:uiPriority w:val="99"/>
    <w:qFormat/>
    <w:rsid w:val="0037105e"/>
    <w:pPr>
      <w:suppressAutoHyphens w:val="true"/>
      <w:spacing w:before="40" w:after="40"/>
      <w:ind w:left="57" w:right="57" w:hanging="0"/>
    </w:pPr>
    <w:rPr>
      <w:sz w:val="24"/>
      <w:szCs w:val="24"/>
    </w:rPr>
  </w:style>
  <w:style w:type="paragraph" w:styleId="Style24" w:customStyle="1">
    <w:name w:val="Таблица"/>
    <w:basedOn w:val="Normal"/>
    <w:uiPriority w:val="99"/>
    <w:qFormat/>
    <w:rsid w:val="0063198b"/>
    <w:pPr>
      <w:keepNext w:val="true"/>
      <w:spacing w:before="60" w:after="60"/>
      <w:jc w:val="center"/>
    </w:pPr>
    <w:rPr>
      <w:rFonts w:eastAsia="Calibri"/>
      <w:b/>
      <w:sz w:val="24"/>
      <w:szCs w:val="24"/>
      <w:lang w:val="x-none" w:eastAsia="x-none"/>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0">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www.rushydro.ru/"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1.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7.xml"/><Relationship Id="rId16" Type="http://schemas.openxmlformats.org/officeDocument/2006/relationships/footer" Target="footer8.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BEF32-5680-4340-B710-AA7D8DB20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4287</TotalTime>
  <Application>AlterOffice/2025.3.1.0$Linux_X86_64 LibreOffice_project/431cd1b79110582f53535c95ed0a2449aadc8bf9</Application>
  <AppVersion>15.0000</AppVersion>
  <Pages>20</Pages>
  <Words>7003</Words>
  <Characters>49692</Characters>
  <CharactersWithSpaces>56342</CharactersWithSpaces>
  <Paragraphs>295</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2023-04-07T10:06:00Z</dcterms:created>
  <dc:creator>Света &amp; Алла (Twix)</dc:creator>
  <dc:description/>
  <dc:language>ru-RU</dc:language>
  <cp:lastModifiedBy>porkhaevayv@corp.gidroogk.com</cp:lastModifiedBy>
  <cp:lastPrinted>2021-03-24T08:36:00Z</cp:lastPrinted>
  <dcterms:modified xsi:type="dcterms:W3CDTF">2026-08-31T18:11:31Z</dcterms:modified>
  <cp:revision>82</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