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  <w:bookmarkStart w:id="0" w:name="_Toc137554584"/>
      <w:bookmarkStart w:id="1" w:name="_Toc141696704"/>
      <w:bookmarkStart w:id="2" w:name="_Toc139856287"/>
      <w:bookmarkStart w:id="3" w:name="_Toc137554584"/>
      <w:bookmarkStart w:id="4" w:name="_Toc14169670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7554584_Копия_1"/>
      <w:bookmarkStart w:id="7" w:name="_Toc141696704_Копия_1"/>
      <w:bookmarkStart w:id="8" w:name="_Toc139856287_Копия_1"/>
      <w:bookmarkStart w:id="9" w:name="_Toc137554584_Копия_1"/>
      <w:bookmarkStart w:id="10" w:name="_Toc141696704_Копия_1"/>
      <w:bookmarkStart w:id="11" w:name="_Toc139856287_Копия_1"/>
      <w:bookmarkEnd w:id="9"/>
      <w:bookmarkEnd w:id="10"/>
      <w:bookmarkEnd w:id="1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sz w:val="28"/>
          <w:szCs w:val="28"/>
        </w:rPr>
        <w:t>«</w:t>
      </w:r>
      <w:r>
        <w:rPr>
          <w:rStyle w:val="Style8"/>
          <w:rFonts w:eastAsia="Calibri"/>
          <w:b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shd w:fill="FFFFFF" w:val="clear"/>
          <w:em w:val="none"/>
        </w:rPr>
        <w:t>О</w:t>
      </w: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 xml:space="preserve">КПД2 68.31.16 Оказание услуг по оценке ставок арендной платы для нужд АО "ВНИИГ им. Б.Е. Веденеева»,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8"/>
          <w:szCs w:val="28"/>
        </w:rPr>
      </w:pP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по адресу: г. Санкт-Петербург, ул. Гжатская, дом 21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bookmarkStart w:id="12" w:name="_Toc54643696"/>
      <w:bookmarkStart w:id="13" w:name="_Toc46743506"/>
      <w:r>
        <w:rPr>
          <w:sz w:val="28"/>
          <w:szCs w:val="28"/>
        </w:rPr>
        <w:t>аименование закупаемой продукции</w:t>
      </w:r>
      <w:bookmarkEnd w:id="12"/>
      <w:bookmarkEnd w:id="13"/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r>
        <w:rPr>
          <w:rStyle w:val="Style8"/>
          <w:rFonts w:eastAsia="Calibri"/>
          <w:b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shd w:fill="FFFFFF" w:val="clear"/>
          <w:em w:val="none"/>
          <w:lang w:eastAsia="x-none"/>
        </w:rPr>
        <w:t>О</w:t>
      </w: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  <w:lang w:eastAsia="x-none"/>
        </w:rPr>
        <w:t>КПД2 68.31.16. Оказание услуг по оценке ставок арендной платы для нужд АО «ВНИИГ им. Б.Е. Веденеева».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sz w:val="28"/>
          <w:szCs w:val="28"/>
        </w:rPr>
      </w:pPr>
      <w:bookmarkStart w:id="14" w:name="_Toc54643697"/>
      <w:bookmarkStart w:id="15" w:name="_Toc46743507"/>
      <w:r>
        <w:rPr>
          <w:sz w:val="28"/>
          <w:szCs w:val="28"/>
        </w:rPr>
        <w:t xml:space="preserve">Цель </w:t>
      </w:r>
      <w:bookmarkEnd w:id="15"/>
      <w:r>
        <w:rPr>
          <w:sz w:val="28"/>
          <w:szCs w:val="28"/>
          <w:lang w:val="ru-RU"/>
        </w:rPr>
        <w:t>оказания услуг</w:t>
      </w:r>
      <w:r>
        <w:rPr>
          <w:sz w:val="28"/>
          <w:szCs w:val="28"/>
        </w:rPr>
        <w:t xml:space="preserve"> </w:t>
      </w:r>
      <w:bookmarkEnd w:id="14"/>
    </w:p>
    <w:p>
      <w:pPr>
        <w:pStyle w:val="Normal"/>
        <w:widowControl/>
        <w:bidi w:val="0"/>
        <w:spacing w:lineRule="auto" w:line="240" w:before="240" w:after="60"/>
        <w:ind w:left="0" w:right="0" w:hanging="0"/>
        <w:jc w:val="both"/>
        <w:rPr/>
      </w:pPr>
      <w:r>
        <w:rPr>
          <w:rStyle w:val="Style8"/>
          <w:b w:val="false"/>
          <w:bCs/>
          <w:i w:val="false"/>
          <w:iCs w:val="false"/>
          <w:sz w:val="28"/>
          <w:szCs w:val="28"/>
          <w:shd w:fill="FFFFFF" w:val="clear"/>
          <w:lang w:val="ru-RU"/>
        </w:rPr>
        <w:t>Определение рыночной стоимости арендной платы Объектов оценки для совершения сделок на передачу права пользования на условиях аренды офисных и производственно-складских помещений.</w:t>
      </w:r>
    </w:p>
    <w:p>
      <w:pPr>
        <w:pStyle w:val="Heading4"/>
        <w:numPr>
          <w:ilvl w:val="1"/>
          <w:numId w:val="3"/>
        </w:numPr>
        <w:spacing w:lineRule="auto" w:line="240"/>
        <w:rPr>
          <w:sz w:val="28"/>
          <w:szCs w:val="28"/>
        </w:rPr>
      </w:pPr>
      <w:bookmarkStart w:id="16" w:name="_Toc54643698"/>
      <w:bookmarkStart w:id="17" w:name="_Toc46743508"/>
      <w:r>
        <w:rPr>
          <w:sz w:val="28"/>
          <w:szCs w:val="28"/>
        </w:rPr>
        <w:t>Существующее положение</w:t>
      </w:r>
      <w:bookmarkEnd w:id="17"/>
      <w:r>
        <w:rPr>
          <w:sz w:val="28"/>
          <w:szCs w:val="28"/>
          <w:lang w:val="ru-RU"/>
        </w:rPr>
        <w:t xml:space="preserve"> </w:t>
      </w:r>
      <w:bookmarkEnd w:id="16"/>
    </w:p>
    <w:p>
      <w:pPr>
        <w:pStyle w:val="Normal"/>
        <w:widowControl w:val="false"/>
        <w:shd w:val="clear" w:fill="FFFFFF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bCs/>
          <w:i w:val="false"/>
          <w:iCs w:val="false"/>
          <w:sz w:val="28"/>
          <w:szCs w:val="28"/>
          <w:shd w:fill="FFFFFF" w:val="clear"/>
        </w:rPr>
        <w:t>Здания, помещения в зданиях, сооружения и оборудование АО «ВНИИГ им. Б.Е. Веденеева».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8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8"/>
    </w:p>
    <w:tbl>
      <w:tblPr>
        <w:tblW w:w="10432" w:type="dxa"/>
        <w:jc w:val="left"/>
        <w:tblInd w:w="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8"/>
        <w:gridCol w:w="2268"/>
        <w:gridCol w:w="2319"/>
        <w:gridCol w:w="4200"/>
        <w:gridCol w:w="1077"/>
      </w:tblGrid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Расположение объекта </w:t>
              <w:br/>
            </w:r>
            <w:r>
              <w:rPr>
                <w:i/>
                <w:iCs/>
                <w:sz w:val="20"/>
                <w:szCs w:val="20"/>
              </w:rPr>
              <w:t>(место оказания услуг)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Приме-чания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523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-113" w:righ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pacing w:before="0" w:after="0"/>
              <w:jc w:val="center"/>
              <w:rPr>
                <w:rFonts w:ascii="Times New Roman" w:hAnsi="Times New Roman" w:eastAsia="Geneva" w:cs="Times New Roman"/>
              </w:rPr>
            </w:pPr>
            <w:r>
              <w:rPr>
                <w:rFonts w:eastAsia="Geneva" w:cs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993" w:leader="none"/>
              </w:tabs>
              <w:spacing w:before="0" w:after="0"/>
              <w:jc w:val="center"/>
              <w:rPr>
                <w:rFonts w:ascii="Times New Roman" w:hAnsi="Times New Roman" w:eastAsia="Geneva" w:cs="Times New Roman"/>
              </w:rPr>
            </w:pPr>
            <w:r>
              <w:rPr>
                <w:rFonts w:eastAsia="Geneva" w:cs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993" w:leader="none"/>
              </w:tabs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Geneva" w:cs="Times New Roman"/>
                <w:sz w:val="24"/>
                <w:szCs w:val="24"/>
              </w:rPr>
              <w:t>Здания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993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993" w:leader="none"/>
              </w:tabs>
              <w:spacing w:before="0" w:after="0"/>
              <w:jc w:val="both"/>
              <w:rPr>
                <w:rFonts w:ascii="Times New Roman" w:hAnsi="Times New Roman" w:eastAsia="Geneva" w:cs="Times New Roman"/>
                <w:iCs/>
              </w:rPr>
            </w:pPr>
            <w:r>
              <w:rPr>
                <w:rFonts w:eastAsia="Geneva" w:cs="Times New Roman"/>
                <w:iCs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Geneva" w:cs="Times New Roman"/>
                <w:iCs/>
                <w:sz w:val="24"/>
                <w:szCs w:val="24"/>
              </w:rPr>
              <w:t>ул. Гжатская, д. 21, лит. «Д»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Geneva" w:cs="Times New Roman"/>
                <w:iCs/>
                <w:sz w:val="24"/>
                <w:szCs w:val="24"/>
              </w:rPr>
              <w:t>Столярно-модельная мастерская, площадь здания 423,4 м</w:t>
            </w:r>
            <w:r>
              <w:rPr>
                <w:rFonts w:eastAsia="Geneva" w:cs="Times New Roman"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eastAsia="Geneva" w:cs="Times New Roman"/>
                <w:iCs/>
                <w:sz w:val="24"/>
                <w:szCs w:val="24"/>
              </w:rPr>
              <w:t>,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>
          <w:trHeight w:val="58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113" w:righ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993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Geneva" w:cs="Times New Roman"/>
                <w:iCs/>
                <w:sz w:val="24"/>
                <w:szCs w:val="24"/>
              </w:rPr>
              <w:t>ул. Гжатская, д. 21, лит. «К»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Гараж,  </w:t>
            </w:r>
            <w:r>
              <w:rPr>
                <w:rFonts w:eastAsia="Geneva" w:cs="Times New Roman"/>
                <w:iCs/>
                <w:sz w:val="24"/>
                <w:szCs w:val="24"/>
              </w:rPr>
              <w:t>площадь здания 518,6 м</w:t>
            </w:r>
            <w:r>
              <w:rPr>
                <w:rFonts w:eastAsia="Geneva" w:cs="Times New Roman"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Гжатская, д. 21, лит. «Ф»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993" w:leader="none"/>
              </w:tabs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Geneva" w:cs="Times New Roman"/>
                <w:iCs/>
                <w:sz w:val="24"/>
                <w:szCs w:val="24"/>
              </w:rPr>
              <w:t>Материально-технический  склад, площадью 753,6 м</w:t>
            </w:r>
            <w:r>
              <w:rPr>
                <w:rFonts w:eastAsia="Geneva" w:cs="Times New Roman"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в зданиях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426" w:leader="none"/>
              </w:tabs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Geneva" w:cs="Times New Roman"/>
                <w:b w:val="false"/>
                <w:bCs w:val="false"/>
                <w:iCs/>
                <w:sz w:val="24"/>
                <w:szCs w:val="24"/>
              </w:rPr>
              <w:t>ул. Гжатская, д. 21, лит. «А»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426" w:leader="none"/>
              </w:tabs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Geneva"/>
                <w:sz w:val="24"/>
                <w:szCs w:val="24"/>
              </w:rPr>
              <w:t>Административно-лабораторный  корпус, площадь здания 17 140,2 м</w:t>
            </w:r>
            <w:r>
              <w:rPr>
                <w:rFonts w:eastAsia="Genev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rFonts w:eastAsia="Geneva"/>
                <w:b/>
                <w:sz w:val="28"/>
                <w:szCs w:val="28"/>
              </w:rPr>
            </w:pPr>
            <w:r>
              <w:rPr>
                <w:rFonts w:eastAsia="Geneva" w:cs="Times New Roman"/>
                <w:iCs/>
                <w:sz w:val="24"/>
                <w:szCs w:val="24"/>
              </w:rPr>
              <w:t xml:space="preserve">ул. Гжатская, д. 21, лит. </w:t>
            </w:r>
            <w:r>
              <w:rPr>
                <w:rFonts w:eastAsia="Geneva"/>
                <w:sz w:val="24"/>
                <w:szCs w:val="24"/>
              </w:rPr>
              <w:t>«Б»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Geneva"/>
                <w:sz w:val="24"/>
                <w:szCs w:val="24"/>
              </w:rPr>
              <w:t>Лабораторно-экспериментальный корпус, площадь здания 11 558,3 м</w:t>
            </w:r>
            <w:r>
              <w:rPr>
                <w:rFonts w:eastAsia="Genev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Geneva" w:cs="Times New Roman"/>
                <w:iCs/>
                <w:sz w:val="24"/>
                <w:szCs w:val="24"/>
              </w:rPr>
              <w:t xml:space="preserve">ул. Гжатская, д. 21, лит. </w:t>
            </w:r>
            <w:r>
              <w:rPr>
                <w:rFonts w:eastAsia="Geneva"/>
                <w:sz w:val="24"/>
                <w:szCs w:val="24"/>
              </w:rPr>
              <w:t>«Г»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Geneva"/>
                <w:sz w:val="24"/>
                <w:szCs w:val="24"/>
              </w:rPr>
              <w:t>Механические мастерские, площадь здания 1 361,6 м</w:t>
            </w:r>
            <w:r>
              <w:rPr>
                <w:rFonts w:eastAsia="Genev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Geneva" w:cs="Times New Roman"/>
                <w:iCs/>
                <w:sz w:val="24"/>
                <w:szCs w:val="24"/>
              </w:rPr>
              <w:t xml:space="preserve">ул. Гжатская, д. 21, лит. </w:t>
            </w:r>
            <w:r>
              <w:rPr>
                <w:rFonts w:eastAsia="Geneva"/>
                <w:sz w:val="24"/>
                <w:szCs w:val="24"/>
              </w:rPr>
              <w:t>«И»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Geneva"/>
                <w:sz w:val="24"/>
                <w:szCs w:val="24"/>
              </w:rPr>
              <w:t>Склад материалов и приборов, площадь здания 520,4 м</w:t>
            </w:r>
            <w:r>
              <w:rPr>
                <w:rFonts w:eastAsia="Genev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Geneva" w:cs="Times New Roman"/>
                <w:iCs/>
                <w:sz w:val="24"/>
                <w:szCs w:val="24"/>
              </w:rPr>
              <w:t xml:space="preserve">ул. Гжатская, д. 21, лит. </w:t>
            </w:r>
            <w:r>
              <w:rPr>
                <w:sz w:val="24"/>
                <w:szCs w:val="24"/>
              </w:rPr>
              <w:t>«З»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Склад приборов, площадь здания 484,4 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6" w:leader="none"/>
                <w:tab w:val="left" w:pos="993" w:leader="none"/>
              </w:tabs>
              <w:ind w:left="0" w:right="0" w:hanging="0"/>
              <w:jc w:val="both"/>
              <w:rPr>
                <w:rFonts w:eastAsia="Geneva"/>
              </w:rPr>
            </w:pPr>
            <w:r>
              <w:rPr>
                <w:rFonts w:eastAsia="Geneva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6" w:leader="none"/>
                <w:tab w:val="left" w:pos="993" w:leader="none"/>
              </w:tabs>
              <w:ind w:left="0" w:right="0" w:hanging="0"/>
              <w:jc w:val="both"/>
              <w:rPr>
                <w:rFonts w:eastAsia="Geneva"/>
              </w:rPr>
            </w:pPr>
            <w:r>
              <w:rPr>
                <w:rFonts w:eastAsia="Geneva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6" w:leader="none"/>
                <w:tab w:val="left" w:pos="993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Geneva"/>
                <w:sz w:val="24"/>
                <w:szCs w:val="24"/>
              </w:rPr>
              <w:t>Некапитальные сооружения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Гжатская, д. 21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Geneva"/>
                <w:sz w:val="24"/>
                <w:szCs w:val="24"/>
              </w:rPr>
              <w:t>Склад-навес (инв. № 00-О03379), площадь сооружения 330,9 кв. м.;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Гжатская, д. 21, лит. «Т»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  <w:tab w:val="left" w:pos="993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Geneva"/>
                <w:sz w:val="24"/>
                <w:szCs w:val="24"/>
              </w:rPr>
              <w:t>Материальный Склад, площадь сооружения 150,0 кв. м.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Гжатская, д. 21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  <w:tab w:val="left" w:pos="993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Geneva"/>
                <w:sz w:val="24"/>
                <w:szCs w:val="24"/>
              </w:rPr>
              <w:t>СРЗ (инв.№ 1718), площадь сооружения  80,62 кв.м.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ул. Гжатская, д. 21, лит. «А»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uppressAutoHyphens w:val="false"/>
              <w:spacing w:lineRule="auto" w:line="240" w:before="60" w:after="6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Кран мостовой, однобалочный, электрический грузоподъемность 3.2 т.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uppressAutoHyphens w:val="false"/>
              <w:spacing w:lineRule="auto" w:line="240"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993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Geneva" w:cs="Times New Roman"/>
                <w:iCs/>
                <w:sz w:val="24"/>
                <w:szCs w:val="24"/>
              </w:rPr>
              <w:t>ул. Гжатская, д. 21, лит. «К»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uppressAutoHyphens w:val="false"/>
              <w:spacing w:lineRule="auto" w:line="240" w:before="60" w:after="6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Кран мостовой, однобалочный, электрический грузоподъемность 2,0 т.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uppressAutoHyphens w:val="false"/>
              <w:spacing w:lineRule="auto" w:line="240" w:before="60" w:after="60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Heading4"/>
        <w:numPr>
          <w:ilvl w:val="1"/>
          <w:numId w:val="3"/>
        </w:numPr>
        <w:rPr>
          <w:sz w:val="28"/>
          <w:szCs w:val="28"/>
        </w:rPr>
      </w:pPr>
      <w:bookmarkStart w:id="19" w:name="_Toc54643700"/>
      <w:bookmarkStart w:id="20" w:name="_Hlk49857604"/>
      <w:bookmarkStart w:id="21" w:name="_Toc46743509"/>
      <w:r>
        <w:rPr>
          <w:sz w:val="28"/>
          <w:szCs w:val="28"/>
        </w:rPr>
        <w:t xml:space="preserve">Информация в отношении исполнения договора, </w:t>
      </w:r>
      <w:bookmarkStart w:id="22" w:name="_Hlk46492347"/>
      <w:r>
        <w:rPr>
          <w:sz w:val="28"/>
          <w:szCs w:val="28"/>
        </w:rPr>
        <w:t xml:space="preserve">которая должна быть учтена при подготовке заявки </w:t>
      </w:r>
      <w:bookmarkEnd w:id="22"/>
      <w:r>
        <w:rPr>
          <w:sz w:val="28"/>
          <w:szCs w:val="28"/>
        </w:rPr>
        <w:t xml:space="preserve">(в том числе перечень ресурсов, услуг и документов, предоставляемых </w:t>
      </w:r>
      <w:r>
        <w:rPr>
          <w:sz w:val="28"/>
          <w:szCs w:val="28"/>
          <w:lang w:val="ru-RU"/>
        </w:rPr>
        <w:t>заказчиком</w:t>
      </w:r>
      <w:r>
        <w:rPr>
          <w:sz w:val="28"/>
          <w:szCs w:val="28"/>
        </w:rPr>
        <w:t xml:space="preserve"> на этапе исполнения договора)</w:t>
      </w:r>
      <w:bookmarkEnd w:id="20"/>
      <w:bookmarkEnd w:id="21"/>
      <w:r>
        <w:rPr>
          <w:sz w:val="28"/>
          <w:szCs w:val="28"/>
          <w:lang w:val="ru-RU"/>
        </w:rPr>
        <w:t xml:space="preserve"> </w:t>
      </w:r>
      <w:bookmarkEnd w:id="1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bookmarkStart w:id="23" w:name="_Hlk48209761"/>
      <w:bookmarkEnd w:id="23"/>
      <w:r>
        <w:rPr>
          <w:rStyle w:val="Style8"/>
          <w:b w:val="false"/>
          <w:i w:val="false"/>
          <w:iCs w:val="false"/>
          <w:shd w:fill="auto" w:val="clear"/>
        </w:rPr>
        <w:t>Оценка проводится в соответствии с требованиями Федерального закона от 29.07.1998 № 135-ФЗ «Об оценочной деятельности в Российской Федерации» и федеральных стандартов оценки, утвержденных Приказом Минэкономразвития России «Об утверждении федеральных стандартов оценки и о внесении изменений в некоторые приказы Минэкономразвития России о федеральных стандартах оценки» от 14.04.2022 № 200: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/>
      </w:pPr>
      <w:r>
        <w:rPr>
          <w:rStyle w:val="Style8"/>
          <w:b w:val="false"/>
          <w:i w:val="false"/>
          <w:iCs w:val="false"/>
          <w:shd w:fill="auto" w:val="clear"/>
        </w:rPr>
        <w:t>•</w:t>
      </w:r>
      <w:r>
        <w:rPr>
          <w:rStyle w:val="Style8"/>
          <w:b w:val="false"/>
          <w:i w:val="false"/>
          <w:iCs w:val="false"/>
          <w:shd w:fill="auto" w:val="clear"/>
        </w:rPr>
        <w:tab/>
        <w:t>федеральный стандарт оценки «Структура федеральных стандартов оценки и основные понятия, используемые в федеральных стандартах оценки (ФСО I)» (приложение № 1);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/>
      </w:pPr>
      <w:r>
        <w:rPr>
          <w:rStyle w:val="Style8"/>
          <w:b w:val="false"/>
          <w:i w:val="false"/>
          <w:iCs w:val="false"/>
          <w:shd w:fill="auto" w:val="clear"/>
        </w:rPr>
        <w:t>•</w:t>
      </w:r>
      <w:r>
        <w:rPr>
          <w:rStyle w:val="Style8"/>
          <w:b w:val="false"/>
          <w:i w:val="false"/>
          <w:iCs w:val="false"/>
          <w:shd w:fill="auto" w:val="clear"/>
        </w:rPr>
        <w:tab/>
        <w:t>федеральный стандарт оценки «Виды стоимости (ФСО II)» (приложение № 2);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/>
      </w:pPr>
      <w:r>
        <w:rPr>
          <w:rStyle w:val="Style8"/>
          <w:b w:val="false"/>
          <w:i w:val="false"/>
          <w:iCs w:val="false"/>
          <w:shd w:fill="auto" w:val="clear"/>
        </w:rPr>
        <w:t>•</w:t>
      </w:r>
      <w:r>
        <w:rPr>
          <w:rStyle w:val="Style8"/>
          <w:b w:val="false"/>
          <w:i w:val="false"/>
          <w:iCs w:val="false"/>
          <w:shd w:fill="auto" w:val="clear"/>
        </w:rPr>
        <w:tab/>
        <w:t>федеральный стандарт оценки «Процесс оценки (ФСО III)» (приложение № 3);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/>
      </w:pPr>
      <w:r>
        <w:rPr>
          <w:rStyle w:val="Style8"/>
          <w:b w:val="false"/>
          <w:i w:val="false"/>
          <w:iCs w:val="false"/>
          <w:shd w:fill="auto" w:val="clear"/>
        </w:rPr>
        <w:t>•</w:t>
      </w:r>
      <w:r>
        <w:rPr>
          <w:rStyle w:val="Style8"/>
          <w:b w:val="false"/>
          <w:i w:val="false"/>
          <w:iCs w:val="false"/>
          <w:shd w:fill="auto" w:val="clear"/>
        </w:rPr>
        <w:tab/>
        <w:t>федеральный стандарт оценки «Задание на оценку (ФСО IV)» (приложение № 4);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/>
      </w:pPr>
      <w:r>
        <w:rPr>
          <w:rStyle w:val="Style8"/>
          <w:b w:val="false"/>
          <w:i w:val="false"/>
          <w:iCs w:val="false"/>
          <w:shd w:fill="auto" w:val="clear"/>
        </w:rPr>
        <w:t>•</w:t>
      </w:r>
      <w:r>
        <w:rPr>
          <w:rStyle w:val="Style8"/>
          <w:b w:val="false"/>
          <w:i w:val="false"/>
          <w:iCs w:val="false"/>
          <w:shd w:fill="auto" w:val="clear"/>
        </w:rPr>
        <w:tab/>
        <w:t>федеральный стандарт оценки «Подходы и методы оценки (ФСО V)» (приложение № 5);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/>
      </w:pPr>
      <w:r>
        <w:rPr>
          <w:rStyle w:val="Style8"/>
          <w:b w:val="false"/>
          <w:i w:val="false"/>
          <w:iCs w:val="false"/>
          <w:shd w:fill="auto" w:val="clear"/>
        </w:rPr>
        <w:t>•</w:t>
      </w:r>
      <w:r>
        <w:rPr>
          <w:rStyle w:val="Style8"/>
          <w:b w:val="false"/>
          <w:i w:val="false"/>
          <w:iCs w:val="false"/>
          <w:shd w:fill="auto" w:val="clear"/>
        </w:rPr>
        <w:tab/>
        <w:t>федеральный стандарт оценки «Отчет об оценке (ФСО VI)» (приложение № 6);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/>
      </w:pPr>
      <w:r>
        <w:rPr>
          <w:rStyle w:val="Style8"/>
          <w:b w:val="false"/>
          <w:i w:val="false"/>
          <w:iCs w:val="false"/>
          <w:shd w:fill="auto" w:val="clear"/>
        </w:rPr>
        <w:t>•</w:t>
      </w:r>
      <w:r>
        <w:rPr>
          <w:rStyle w:val="Style8"/>
          <w:b w:val="false"/>
          <w:i w:val="false"/>
          <w:iCs w:val="false"/>
          <w:shd w:fill="auto" w:val="clear"/>
        </w:rPr>
        <w:tab/>
        <w:t>федеральный стандарт оценки, утвержденный Приказом Минэкономразвития России «Об утверждении федерального стандарта оценки «Оценка недвижимости (ФСО № 7)» от 25.09.2014 № 611.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/>
          <w:bCs/>
          <w:i w:val="false"/>
          <w:iCs w:val="false"/>
          <w:shd w:fill="auto" w:val="clear"/>
        </w:rPr>
        <w:t>1.6. Иные требования и сведения общего характера: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bCs w:val="false"/>
          <w:i w:val="false"/>
          <w:iCs w:val="false"/>
          <w:shd w:fill="auto" w:val="clear"/>
        </w:rPr>
        <w:t>Перед началом оказания услуг требуется осмотр Объекта.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/>
          <w:bCs/>
          <w:i w:val="false"/>
          <w:iCs w:val="false"/>
          <w:shd w:fill="auto" w:val="clear"/>
        </w:rPr>
        <w:t>1.7. Сроки оказания услуг:</w:t>
      </w:r>
      <w:r>
        <w:rPr>
          <w:rStyle w:val="Style8"/>
          <w:b w:val="false"/>
          <w:bCs w:val="false"/>
          <w:i w:val="false"/>
          <w:iCs w:val="false"/>
          <w:shd w:fill="auto" w:val="clear"/>
        </w:rPr>
        <w:t xml:space="preserve"> 12 рабочих дней.</w:t>
      </w:r>
    </w:p>
    <w:p>
      <w:pPr>
        <w:pStyle w:val="Heading1"/>
        <w:keepLines/>
        <w:numPr>
          <w:ilvl w:val="0"/>
          <w:numId w:val="0"/>
        </w:numPr>
        <w:spacing w:before="120" w:after="60"/>
        <w:ind w:left="357" w:hanging="0"/>
        <w:jc w:val="center"/>
        <w:rPr>
          <w:iCs/>
          <w:caps/>
          <w:lang w:val="ru-RU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Calibri">
    <w:charset w:val="01"/>
    <w:family w:val="roman"/>
    <w:pitch w:val="default"/>
  </w:font>
  <w:font w:name="Times New Roman Cyr">
    <w:charset w:val="01"/>
    <w:family w:val="roman"/>
    <w:pitch w:val="default"/>
  </w:font>
  <w:font w:name="Tahoma">
    <w:charset w:val="01"/>
    <w:family w:val="roman"/>
    <w:pitch w:val="default"/>
  </w:font>
  <w:font w:name="Arial Unicode MS">
    <w:charset w:val="01"/>
    <w:family w:val="roman"/>
    <w:pitch w:val="default"/>
  </w:font>
  <w:font w:name="Verdana">
    <w:charset w:val="01"/>
    <w:family w:val="roman"/>
    <w:pitch w:val="default"/>
  </w:font>
  <w:font w:name="Garamond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 Cyr" w:hAnsi="Times New Roman Cyr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ascii="Times New Roman Cyr" w:hAnsi="Times New Roman Cyr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 Cyr" w:hAnsi="Times New Roman Cyr"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Times New Roman Cyr" w:hAnsi="Times New Roman Cyr" w:cs="Lohit Devanagari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WW8Num3">
    <w:name w:val="WW8Num3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D964E-2ACE-4132-B9BC-50F0488B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6021</TotalTime>
  <Application>AlterOffice/3.4.0.9$Linux_X86_64 LibreOffice_project/b8daf9e823b1a5463a2f48435ddc2e8696e7d4fc</Application>
  <AppVersion>15.0000</AppVersion>
  <Pages>3</Pages>
  <Words>496</Words>
  <Characters>2996</Characters>
  <CharactersWithSpaces>3423</CharactersWithSpaces>
  <Paragraphs>78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gorshkovala</cp:lastModifiedBy>
  <cp:lastPrinted>2006-07-26T14:04:00Z</cp:lastPrinted>
  <dcterms:modified xsi:type="dcterms:W3CDTF">2025-09-03T13:50:29Z</dcterms:modified>
  <cp:revision>34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