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5670" w:hanging="141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Cs/>
          <w:iCs/>
          <w:lang w:eastAsia="zh-CN"/>
        </w:rPr>
      </w:pPr>
      <w:r>
        <w:rPr>
          <w:rFonts w:eastAsia="Calibri"/>
          <w:b/>
          <w:bCs/>
          <w:i/>
          <w:iCs/>
          <w:sz w:val="26"/>
          <w:szCs w:val="26"/>
          <w:lang w:eastAsia="zh-CN"/>
        </w:rPr>
        <w:t>«ОКПД2 42.22.22.110 Монтаж кабельных линий связи системы поражения воздушных целей Жигулевской ГЭС»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234930722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4930723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4930724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4930725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выполнения работ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4930726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Существующее положение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493072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_Toc234930727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4930728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4930729">
            <w:r>
              <w:rPr>
                <w:webHidden/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Иные требования и сведения общего характера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4930730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4930731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выполнения работ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4930732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_Toc234930732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видам и объемам работ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493073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_Toc234930733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выполняемых работ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4930734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выполнения работ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493073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_Toc234930735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по срокам выполнения работ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4930736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493073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_Toc234930737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4930744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4930745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_Toc234930745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Приложения</w:t>
              <w:tab/>
              <w:t>24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</w:rPr>
      </w:pPr>
      <w:bookmarkStart w:id="0" w:name="_Toc51339692"/>
      <w:bookmarkStart w:id="1" w:name="_Toc234930722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ind w:left="1276" w:hanging="556"/>
        <w:rPr/>
      </w:pPr>
      <w:bookmarkStart w:id="2" w:name="_Toc234930723"/>
      <w:bookmarkStart w:id="3" w:name="_Toc46743505"/>
      <w:r>
        <w:rPr/>
        <w:t>Обозначения и сокращения</w:t>
      </w:r>
      <w:bookmarkEnd w:id="2"/>
      <w:bookmarkEnd w:id="3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LineNumbers/>
              <w:spacing w:before="0" w:after="0"/>
              <w:ind w:left="1560" w:hanging="1560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LineNumbers/>
              <w:spacing w:before="0" w:after="0"/>
              <w:ind w:left="1560" w:hanging="1560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>МТР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Материально-технические ресурсы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LineNumbers/>
              <w:spacing w:before="0" w:after="0"/>
              <w:ind w:left="1560" w:hanging="1560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Нормативно-технические документы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LineNumbers/>
              <w:spacing w:before="0" w:after="0"/>
              <w:ind w:left="1560" w:hanging="1560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Публиичное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LineNumbers/>
              <w:spacing w:before="0" w:after="0"/>
              <w:ind w:left="1560" w:hanging="1560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>ППР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Проект производства работ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LineNumbers/>
              <w:spacing w:before="0" w:after="0"/>
              <w:ind w:left="1560" w:hanging="1560"/>
              <w:rPr>
                <w:rStyle w:val="Style8"/>
                <w:b w:val="false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>РЛС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Радиолокационная 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LineNumbers/>
              <w:spacing w:before="0" w:after="0"/>
              <w:ind w:left="1560" w:hanging="1560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>СМР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Строительно-монтажные работы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LineNumbers/>
              <w:spacing w:before="0" w:after="0"/>
              <w:ind w:left="1560" w:hanging="1560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LineNumbers/>
              <w:spacing w:before="0" w:after="0"/>
              <w:ind w:left="1560" w:hanging="1560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 - «Жигулевская ГЭС»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1276" w:hanging="556"/>
        <w:rPr/>
      </w:pPr>
      <w:bookmarkStart w:id="4" w:name="_Toc46743506"/>
      <w:bookmarkStart w:id="5" w:name="_Toc234930724"/>
      <w:r>
        <w:rPr/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«</w:t>
      </w:r>
      <w:r>
        <w:rPr>
          <w:rFonts w:eastAsia="Calibri"/>
          <w:bCs/>
          <w:iCs/>
          <w:sz w:val="24"/>
          <w:szCs w:val="24"/>
          <w:lang w:eastAsia="x-none"/>
        </w:rPr>
        <w:t>ОКПД2 42.22.22.110 Монтаж кабельных линий связи системы поражения воздушных целей Жигулевской ГЭС</w:t>
      </w:r>
      <w:r>
        <w:rPr>
          <w:rFonts w:eastAsia="Calibri"/>
          <w:sz w:val="24"/>
          <w:szCs w:val="24"/>
          <w:lang w:eastAsia="x-none"/>
        </w:rPr>
        <w:t>»</w:t>
      </w:r>
    </w:p>
    <w:p>
      <w:pPr>
        <w:pStyle w:val="Heading4"/>
        <w:numPr>
          <w:ilvl w:val="1"/>
          <w:numId w:val="3"/>
        </w:numPr>
        <w:ind w:left="1276" w:hanging="556"/>
        <w:rPr/>
      </w:pPr>
      <w:bookmarkStart w:id="6" w:name="_Toc234930725"/>
      <w:bookmarkStart w:id="7" w:name="_Toc46743507"/>
      <w:r>
        <w:rPr/>
        <w:t xml:space="preserve">Цель </w:t>
      </w:r>
      <w:bookmarkEnd w:id="7"/>
      <w:r>
        <w:rPr>
          <w:lang w:val="ru-RU"/>
        </w:rPr>
        <w:t>выполнения работ</w:t>
      </w:r>
      <w:bookmarkEnd w:id="6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426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Целью работы является выполнение монтажных работ </w:t>
      </w:r>
      <w:r>
        <w:rPr>
          <w:rFonts w:eastAsia="Calibri"/>
          <w:bCs/>
          <w:iCs/>
          <w:sz w:val="24"/>
          <w:szCs w:val="24"/>
          <w:lang w:eastAsia="x-none"/>
        </w:rPr>
        <w:t>кабельных линий связи системы поражения воздушных целей Жигулевской ГЭС</w:t>
      </w:r>
      <w:r>
        <w:rPr>
          <w:rFonts w:eastAsia="Calibri"/>
          <w:sz w:val="24"/>
          <w:szCs w:val="24"/>
          <w:lang w:eastAsia="x-none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426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Исполнение поручения Президента Российской Федерации от 11 февраля 2026 г. №Пр-292, мероприятия по созданию дополнительных рубежей обнаружения </w:t>
      </w:r>
      <w:bookmarkStart w:id="8" w:name="_GoBack"/>
      <w:r>
        <w:rPr>
          <w:rFonts w:eastAsia="Calibri"/>
          <w:sz w:val="24"/>
          <w:szCs w:val="24"/>
          <w:lang w:eastAsia="x-none"/>
        </w:rPr>
        <w:t>БпЛА</w:t>
      </w:r>
      <w:bookmarkEnd w:id="8"/>
      <w:r>
        <w:rPr>
          <w:rFonts w:eastAsia="Calibri"/>
          <w:sz w:val="24"/>
          <w:szCs w:val="24"/>
          <w:lang w:eastAsia="x-none"/>
        </w:rPr>
        <w:t xml:space="preserve"> включены в уточненную редакцию «Комплексного плана по защите от угроз нападения на объекты инфраструктуры с использованием беспилотных воздушных судов».</w:t>
      </w:r>
    </w:p>
    <w:p>
      <w:pPr>
        <w:pStyle w:val="Heading4"/>
        <w:numPr>
          <w:ilvl w:val="1"/>
          <w:numId w:val="3"/>
        </w:numPr>
        <w:ind w:left="1276" w:hanging="556"/>
        <w:rPr/>
      </w:pPr>
      <w:bookmarkStart w:id="9" w:name="_Toc234930726"/>
      <w:bookmarkStart w:id="10" w:name="_Toc46743508"/>
      <w:r>
        <w:rPr/>
        <w:t>Существующее положение</w:t>
      </w:r>
      <w:bookmarkEnd w:id="9"/>
      <w:bookmarkEnd w:id="10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426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Филиалу ПАО «РусГидро» – «Жигулевская ГЭС» необходимы </w:t>
      </w:r>
      <w:r>
        <w:rPr>
          <w:rFonts w:eastAsia="Calibri"/>
          <w:bCs/>
          <w:iCs/>
          <w:sz w:val="24"/>
          <w:szCs w:val="24"/>
          <w:lang w:eastAsia="x-none"/>
        </w:rPr>
        <w:t>кабельные линии связи системы поражения воздушных целей Жигулевской ГЭС</w:t>
      </w:r>
      <w:r>
        <w:rPr>
          <w:rFonts w:eastAsia="Calibri"/>
          <w:sz w:val="24"/>
          <w:szCs w:val="24"/>
          <w:lang w:eastAsia="x-none"/>
        </w:rPr>
        <w:t>.</w:t>
      </w:r>
    </w:p>
    <w:p>
      <w:pPr>
        <w:pStyle w:val="Heading1"/>
        <w:numPr>
          <w:ilvl w:val="0"/>
          <w:numId w:val="0"/>
        </w:numPr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bookmarkStart w:id="11" w:name="_Toc234930727"/>
      <w:r>
        <w:rPr>
          <w:sz w:val="24"/>
          <w:szCs w:val="24"/>
        </w:rPr>
        <w:t>Таблица 1. Перечень объектов заказчика</w:t>
      </w:r>
      <w:bookmarkEnd w:id="11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855"/>
        <w:gridCol w:w="1852"/>
        <w:gridCol w:w="1975"/>
        <w:gridCol w:w="2419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производства работ)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Филиал ПАО «РусГидро» - «Жигулевская ГЭС»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Московское шоссе, д.2, г. Жигулевск, Самарская обл., Российская Федерация, 445350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Кабельная линия связи системы поражения воздушных целей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ind w:left="1276" w:hanging="556"/>
        <w:rPr>
          <w:lang w:val="ru-RU"/>
        </w:rPr>
      </w:pPr>
      <w:bookmarkStart w:id="12" w:name="_Toc46743509"/>
      <w:bookmarkStart w:id="13" w:name="_Hlk49857604"/>
      <w:bookmarkStart w:id="14" w:name="_Toc234930728"/>
      <w:r>
        <w:rPr/>
        <w:t xml:space="preserve">Информация в отношении исполнения договора, </w:t>
      </w:r>
      <w:bookmarkStart w:id="15" w:name="_Hlk46492347"/>
      <w:r>
        <w:rPr/>
        <w:t xml:space="preserve">которая должна быть учтена при подготовке заявки </w:t>
      </w:r>
      <w:bookmarkEnd w:id="15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2"/>
      <w:bookmarkEnd w:id="13"/>
      <w:bookmarkEnd w:id="14"/>
      <w:r>
        <w:rPr>
          <w:lang w:val="ru-RU"/>
        </w:rPr>
        <w:t xml:space="preserve"> </w:t>
      </w:r>
    </w:p>
    <w:p>
      <w:pPr>
        <w:pStyle w:val="Normal"/>
        <w:ind w:firstLine="426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1.5.1</w:t>
        <w:tab/>
        <w:t>Условия производства работ:</w:t>
      </w:r>
    </w:p>
    <w:p>
      <w:pPr>
        <w:pStyle w:val="Normal"/>
        <w:ind w:firstLine="426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Производство работ осуществляется на территории действующего предприятия с наличием в зоне производства работ разветвленной сети транспортных и инженерных коммуникаций, действующего технологического оборудования, находящегося под высоким напряжением;</w:t>
      </w:r>
    </w:p>
    <w:p>
      <w:pPr>
        <w:pStyle w:val="Normal"/>
        <w:ind w:firstLine="426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Производство работ вблизи объектов, находящихся под высоким напряжением, в том числе в охранной зоне действующей воздушной линии электропередачи, внутри работающих ТП и РП при наличии допусков.</w:t>
      </w:r>
    </w:p>
    <w:p>
      <w:pPr>
        <w:pStyle w:val="Normal"/>
        <w:ind w:firstLine="426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Часть монтажа </w:t>
      </w:r>
      <w:r>
        <w:rPr>
          <w:bCs/>
          <w:iCs/>
          <w:sz w:val="24"/>
          <w:szCs w:val="24"/>
          <w:lang w:eastAsia="x-none"/>
        </w:rPr>
        <w:t>кабельных линий связи </w:t>
      </w:r>
      <w:r>
        <w:rPr>
          <w:sz w:val="24"/>
          <w:szCs w:val="24"/>
          <w:lang w:eastAsia="x-none"/>
        </w:rPr>
        <w:t>осуществляется на высоте от 5 до 10 метров.</w:t>
      </w:r>
    </w:p>
    <w:p>
      <w:pPr>
        <w:pStyle w:val="Normal"/>
        <w:ind w:firstLine="426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1.5.2     Перечень ресурсов и услуг, предоставляемых Заказчиком Подрядчику: </w:t>
      </w:r>
    </w:p>
    <w:p>
      <w:pPr>
        <w:pStyle w:val="Normal"/>
        <w:ind w:firstLine="426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• </w:t>
      </w:r>
      <w:r>
        <w:rPr>
          <w:sz w:val="24"/>
          <w:szCs w:val="24"/>
          <w:lang w:eastAsia="x-none"/>
        </w:rPr>
        <w:t>Предоставление ресурсов (электроэнергия).</w:t>
      </w:r>
    </w:p>
    <w:p>
      <w:pPr>
        <w:pStyle w:val="Normal"/>
        <w:ind w:firstLine="426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• </w:t>
      </w:r>
      <w:r>
        <w:rPr>
          <w:sz w:val="24"/>
          <w:szCs w:val="24"/>
          <w:lang w:eastAsia="x-none"/>
        </w:rPr>
        <w:t>Обеспечение санитарно-гигиенических и бытовых условий.</w:t>
      </w:r>
    </w:p>
    <w:p>
      <w:pPr>
        <w:pStyle w:val="Normal"/>
        <w:ind w:firstLine="426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• </w:t>
      </w:r>
      <w:r>
        <w:rPr>
          <w:sz w:val="24"/>
          <w:szCs w:val="24"/>
          <w:lang w:eastAsia="x-none"/>
        </w:rPr>
        <w:t>Представление помещений для размещения персонала подрядчика (по согласованию).</w:t>
      </w:r>
    </w:p>
    <w:p>
      <w:pPr>
        <w:pStyle w:val="Normal"/>
        <w:ind w:firstLine="426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• </w:t>
      </w:r>
      <w:r>
        <w:rPr>
          <w:sz w:val="24"/>
          <w:szCs w:val="24"/>
          <w:lang w:eastAsia="x-none"/>
        </w:rPr>
        <w:t>Складские помещения и площадки для погрузки / разгрузки / складирования / хранения материально-технических ресурсов, оборудования Подрядчика.</w:t>
      </w:r>
    </w:p>
    <w:p>
      <w:pPr>
        <w:pStyle w:val="Normal"/>
        <w:ind w:firstLine="426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Услуги предоставляются Заказчиком без дополнительной платы со стороны Подрядчика.</w:t>
      </w:r>
    </w:p>
    <w:p>
      <w:pPr>
        <w:pStyle w:val="Normal"/>
        <w:ind w:firstLine="426"/>
        <w:rPr>
          <w:i/>
          <w:i/>
          <w:sz w:val="24"/>
          <w:szCs w:val="24"/>
          <w:lang w:eastAsia="x-none"/>
        </w:rPr>
      </w:pPr>
      <w:r>
        <w:rPr>
          <w:i/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  <w:sz w:val="24"/>
          <w:szCs w:val="24"/>
          <w:lang w:val="ru-RU"/>
        </w:rPr>
      </w:pPr>
      <w:bookmarkStart w:id="16" w:name="_Toc234930730"/>
      <w:bookmarkStart w:id="17" w:name="_Toc51339693"/>
      <w:bookmarkStart w:id="18" w:name="_Toc50125126"/>
      <w:bookmarkEnd w:id="18"/>
      <w:r>
        <w:rPr>
          <w:sz w:val="24"/>
          <w:szCs w:val="24"/>
        </w:rPr>
        <w:t>Требования к продукции</w:t>
      </w:r>
      <w:bookmarkEnd w:id="16"/>
      <w:bookmarkEnd w:id="17"/>
    </w:p>
    <w:p>
      <w:pPr>
        <w:pStyle w:val="Heading4"/>
        <w:numPr>
          <w:ilvl w:val="1"/>
          <w:numId w:val="3"/>
        </w:numPr>
        <w:ind w:left="1276" w:hanging="556"/>
        <w:rPr/>
      </w:pPr>
      <w:bookmarkStart w:id="19" w:name="_Toc234930731"/>
      <w:r>
        <w:rPr/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19"/>
    </w:p>
    <w:p>
      <w:pPr>
        <w:pStyle w:val="Heading3"/>
        <w:numPr>
          <w:ilvl w:val="2"/>
          <w:numId w:val="3"/>
        </w:numPr>
        <w:ind w:left="1276" w:hanging="556"/>
        <w:rPr/>
      </w:pPr>
      <w:bookmarkStart w:id="20" w:name="_Toc234930732"/>
      <w:r>
        <w:rPr/>
        <w:t>Требования к видам и объемам работ</w:t>
      </w:r>
      <w:bookmarkEnd w:id="20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21" w:name="_Toc234930733"/>
      <w:bookmarkStart w:id="22" w:name="_Toc51339695"/>
      <w:r>
        <w:rPr>
          <w:sz w:val="24"/>
          <w:szCs w:val="24"/>
        </w:rPr>
        <w:t xml:space="preserve">Таблица 2. Перечень </w:t>
      </w:r>
      <w:bookmarkEnd w:id="22"/>
      <w:r>
        <w:rPr>
          <w:sz w:val="24"/>
          <w:szCs w:val="24"/>
        </w:rPr>
        <w:t>и объем выполняемых работ</w:t>
      </w:r>
      <w:bookmarkEnd w:id="21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4"/>
        <w:gridCol w:w="2117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 кабельных линий связи системы поражения воздушных целей Жигулевской ГЭС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соответствии с Приложением №1 к настоящим ТТ </w:t>
            </w:r>
          </w:p>
        </w:tc>
      </w:tr>
    </w:tbl>
    <w:p>
      <w:pPr>
        <w:pStyle w:val="Normal"/>
        <w:ind w:firstLine="426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Heading3"/>
        <w:numPr>
          <w:ilvl w:val="2"/>
          <w:numId w:val="3"/>
        </w:numPr>
        <w:ind w:left="1276" w:hanging="556"/>
        <w:rPr/>
      </w:pPr>
      <w:bookmarkStart w:id="23" w:name="_Toc234930734"/>
      <w:bookmarkStart w:id="24" w:name="_Toc51339696"/>
      <w:r>
        <w:rPr/>
        <w:t xml:space="preserve">Требования </w:t>
      </w:r>
      <w:bookmarkEnd w:id="24"/>
      <w:r>
        <w:rPr/>
        <w:t>к срокам выполнения работ</w:t>
      </w:r>
      <w:bookmarkEnd w:id="23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bookmarkStart w:id="25" w:name="_Toc234930735"/>
      <w:bookmarkStart w:id="26" w:name="_Toc51339697"/>
      <w:bookmarkStart w:id="27" w:name="_Toc50125127"/>
      <w:bookmarkStart w:id="28" w:name="_Toc50125126_Копия_1"/>
      <w:bookmarkEnd w:id="2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9" w:name="_Hlk50465284"/>
      <w:r>
        <w:rPr>
          <w:sz w:val="24"/>
          <w:szCs w:val="24"/>
        </w:rPr>
        <w:t xml:space="preserve">Требования по срокам </w:t>
      </w:r>
      <w:bookmarkEnd w:id="26"/>
      <w:bookmarkEnd w:id="27"/>
      <w:bookmarkEnd w:id="29"/>
      <w:r>
        <w:rPr>
          <w:sz w:val="24"/>
          <w:szCs w:val="24"/>
          <w:lang w:val="ru-RU"/>
        </w:rPr>
        <w:t>выполнения работ</w:t>
      </w:r>
      <w:bookmarkEnd w:id="2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550"/>
        <w:gridCol w:w="2979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 кабельных линий связи системы поражения воздушных целей Жигулевской ГЭС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 (плановый срок 07.09.2026)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 р</w:t>
            </w:r>
            <w:bookmarkStart w:id="30" w:name="_Toc46743510"/>
            <w:r>
              <w:rPr>
                <w:sz w:val="24"/>
                <w:szCs w:val="24"/>
              </w:rPr>
              <w:t>абот по Договору (плановый срок 30.10.2026)</w:t>
            </w:r>
            <w:bookmarkEnd w:id="30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1276" w:hanging="556"/>
        <w:rPr/>
      </w:pPr>
      <w:bookmarkStart w:id="31" w:name="_Toc51339698"/>
      <w:bookmarkStart w:id="32" w:name="_Toc234930736"/>
      <w:r>
        <w:rPr/>
        <w:t xml:space="preserve">Требования к </w:t>
      </w:r>
      <w:r>
        <w:rPr>
          <w:lang w:val="ru-RU"/>
        </w:rPr>
        <w:t>качеству продукции</w:t>
      </w:r>
      <w:bookmarkEnd w:id="32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bookmarkStart w:id="33" w:name="_Toc234930737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1"/>
      <w:r>
        <w:rPr>
          <w:sz w:val="24"/>
          <w:szCs w:val="24"/>
          <w:lang w:val="ru-RU"/>
        </w:rPr>
        <w:t>качеству продукции</w:t>
      </w:r>
      <w:bookmarkEnd w:id="33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snapToGrid w:val="false"/>
        <w:spacing w:before="0" w:after="120"/>
        <w:rPr>
          <w:rStyle w:val="Style8"/>
          <w:bCs/>
          <w:sz w:val="24"/>
          <w:szCs w:val="24"/>
          <w:shd w:fill="auto" w:val="clear"/>
        </w:rPr>
      </w:pPr>
      <w:r>
        <w:rPr>
          <w:b/>
          <w:bCs/>
          <w:sz w:val="24"/>
          <w:szCs w:val="24"/>
        </w:rPr>
        <w:t>Наименование работ/этапа работ (позиция №1 Таблицы 2): «</w:t>
      </w:r>
      <w:r>
        <w:rPr>
          <w:b/>
          <w:bCs/>
          <w:iCs/>
          <w:sz w:val="24"/>
          <w:szCs w:val="24"/>
        </w:rPr>
        <w:t>ОКПД2 42.22.22.110 Монтаж кабельных линий связи системы поражения воздушных целей Жигулевской ГЭС</w:t>
      </w:r>
      <w:r>
        <w:rPr>
          <w:b/>
          <w:bCs/>
          <w:sz w:val="24"/>
          <w:szCs w:val="24"/>
        </w:rPr>
        <w:t>»</w:t>
      </w:r>
    </w:p>
    <w:tbl>
      <w:tblPr>
        <w:tblStyle w:val="affff7"/>
        <w:tblW w:w="1502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48"/>
        <w:gridCol w:w="2344"/>
        <w:gridCol w:w="7541"/>
        <w:gridCol w:w="2208"/>
        <w:gridCol w:w="1985"/>
      </w:tblGrid>
      <w:tr>
        <w:trPr/>
        <w:tc>
          <w:tcPr>
            <w:tcW w:w="94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3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5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19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4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5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3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5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выполнению работ 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754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выполнении работ Подрядчик должен руководствоваться следующими национальными, отраслевыми и корпоративными НТД: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5" w:hanging="3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Правила устройства электроустановок (действующее издание);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5" w:hanging="3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Правила технической эксплуатации электрических станций и сетей Российской Федерации (действующее издание);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5" w:hanging="3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Правилами по охране труда при эксплуатации электроустановок (Утверждены приказом министерства труда и социальной защиты Российской Федерации от 15.12.2020г №903Н в действующей редакции);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5" w:hanging="3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Правилами по охране труда при работе с инструментом и приспособлениями (Утверждены приказом министерства труда и социальной защиты Российской Федерации от 27.11.2020г №835Н в действующей редакции);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5" w:hanging="3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Правилами по охране труда при работе на высоте (Утверждены приказом министерства труда и социальной защиты Российской Федерации от 16.11.2020г №782Н в действующей редакции);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5" w:hanging="36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Правилами по охране труда при размещении, монтаже, техническом обслуживании и ремонте технологического оборудования (Утверждены приказом министерства труда и социальной защиты Российской Федерации от 27.11.2020г №833Н в действующей редакции);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295" w:hanging="3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Правилами работы с персоналом в организациях электроэнергетики Российской Федерации. (Утверждены приказом Минэнерго России Федерации от 22.09.2020г №796 в действующей редакции).</w:t>
            </w:r>
          </w:p>
        </w:tc>
        <w:tc>
          <w:tcPr>
            <w:tcW w:w="2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Согласие с требованием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Порядок производства работ</w:t>
            </w:r>
          </w:p>
        </w:tc>
        <w:tc>
          <w:tcPr>
            <w:tcW w:w="754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п.1.2.  таблицы №4 настоящих ТТ</w:t>
            </w:r>
          </w:p>
        </w:tc>
        <w:tc>
          <w:tcPr>
            <w:tcW w:w="2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1.1.3.</w:t>
            </w:r>
          </w:p>
        </w:tc>
        <w:tc>
          <w:tcPr>
            <w:tcW w:w="23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Объем подготовительных работ</w:t>
            </w:r>
          </w:p>
        </w:tc>
        <w:tc>
          <w:tcPr>
            <w:tcW w:w="754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 начала монтажных работ необходимо: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Разработать и согласовать с Заказчиком ППР на монтаж 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кабельных линий связи системы поражения воздушных целей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; 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Доставить на место производства работ кабельную продукцию и элементов кабельной инфраструктуры для монтажа.</w:t>
            </w:r>
          </w:p>
        </w:tc>
        <w:tc>
          <w:tcPr>
            <w:tcW w:w="2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1.1.4.</w:t>
            </w:r>
          </w:p>
        </w:tc>
        <w:tc>
          <w:tcPr>
            <w:tcW w:w="23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Объем монтажных работ</w:t>
            </w:r>
          </w:p>
        </w:tc>
        <w:tc>
          <w:tcPr>
            <w:tcW w:w="754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 соответствии с сметной документацией Заказчика (Приложение №1 к настоящим ТТ), монтажные работы также должны включать в себя следующие работы: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Доставка кабельной продукции и элементов кабельной инфраструктуры к месту производства работ;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Монтаж кабельной продукции и элементов кабельной инфраструктуры;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Проведение измерительных работ 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кабельных линий связи системы поражения воздушных целей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Уборка мест производства работ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Оформление исполнительной документации по результатам выполненных работ в соответствии с п.2.4.1. таблицы №4 настоящих ТТ.</w:t>
            </w:r>
          </w:p>
        </w:tc>
        <w:tc>
          <w:tcPr>
            <w:tcW w:w="220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подрядчика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Допуск персонала Подрядчика для выполнения работ должен осуществляется в соответствии с «Допуск персонала подрядных организаций на объекты ПАО «РусГидро»» (утв. приказом ПАО «РусГидро» №300 от 28.14.2023 г)» с обязательным оформлением необходимых инструктажей (Приложение №5 к настоящим ТТ).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 персонала подрядчика комплектами СИЗ.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Допуск персонала Подрядчика для выполнения работ по монтажу 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кабельных линий связи системы поражения воздушных целей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осуществляться при наличии комплекта СИЗ. Комплекты СИЗ персонала обеспечивается силами Подрядчика.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1.2.3.</w:t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Организация и проведения совместных совещаний.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Организация и проведения совместных технических совещаний с участием служб Заказчика, организациями ведущие параллельные работы в отношении объекта и Подрядчика осуществления на территории филиала ПАО «РусГидро»-«Жигулевская ГЭС».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Дата и время проведения совещаний согласовывается заблаговременно.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1.2.4.</w:t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Организация процесса выполнения работ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.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Организация процесса выполнения работ: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мероприятиям по допуску персонала подрядчика указанными в п.1.2.1. Таблицы №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настоящих ТТ;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Обеспечение персонала подрядчика комплектами СИЗ в соответствии с требованиями, указанными в п.1.2.2. Таблицы №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настоящих ТТ;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Организация и осуществления строительного контроля, технического надзора за ходом работ в соответствии с требованиями заводской документации выполняет Заказчик совместно с Подрядчиком;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Организация и проведение совместного технического совещания с участием служб Заказчика, организациями ведущие параллельные работы в отношении объекта и Подрядчика по вопросам организации и осуществления строительного контроля, технического надзора за ходом работ в соответствии с требованиями, указанными в п.1.2.3. Таблицы №3 настоящих ТТ;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Ознакомление персонала подрядчика выполняющего работы с ППР по 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монтажу кабельных линий связи системы поражения воздушных целей Жигулевской ГЭС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Определение мест для складирования материалов и инструмента;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Закупка, доставка кабельной продукции и элементов кабельной инфраструктуры для монтажа 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кабельных линий связи системы поражения воздушных целей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на место производства работ;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Монтаж кабельной продукции и элементов кабельной инфраструктуры 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кабельных линий связи системы поражения воздушных целей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в соответствии с сметной документацией Заказчика (Приложение №1 к настоящим ТТ) и ППР; 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Подготовке объекта к сдаче-приемке: вывозу с территории инструмента, строительного мусора, уборка объекта после проведения монтажных;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Сдача  объекта «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Кабельная линия связи системы поражения воздушных целей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» в эксплуатацию.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транспортировки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Габаритный груз в заводской упаковке, без механического воздействия на упаковку.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поставки на место производства работ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Входной контроль продукции, транспортировка, погрузка/разгрузка, размещение на месте производства работ, контроль состояния продукции в процессе транспортировки, погрузочно-разгрузочных работах выполняются силами и средствами Подрядчика. 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1.3.3.</w:t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поставки кабельной продукции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и элементов кабельной инфраструктуры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 соответствии с сметной документацией Заказчика (Приложение №1 к настоящим ТТ)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работ и материалов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сертификатов соответствия ГОСТ на поставляемую кабельную продукцию, МТР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Поставляемая кабельная продукция и элементы кабельной инфраструктуры должны иметь следующие сертификаты: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– 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сертификат происхождения;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– 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сертификат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– 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сертификаты соответствия для оборудования, включенного в перечень продукции, подлежащей обязательной сертификации (Постановление Правительства от 23.12.2021 №2425).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Контроль качества используемых материалов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Подрядчик должен обеспечить входной контроль поставляемой кабельной продукции и 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элементов кабельной инфраструктуры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Входной контроль кабельной продукции (совместно с представителем Заказчика) должен включать: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проверку наличия сертификатов пожарной безопасности, соответствия или заключения аттестационной комиссии;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проверку наличия заводского протокола испытаний, которая должна содержать: марку кабеля, завод-изготовитель, длину кабеля на барабане, № барабана, массу кабеля, тип волокна, растягивающее усилие, измерение коэффициента затухания, диаметр модового поля, печати ОТК завода;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проверку целостности оболочки (отсутствие трещин, вмятин, порезов, оплавления и других механических повреждений);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проверка качества маркировки кабеля (марка, год выпуска, завод изготовитель) и маркировка длинны, четкость и нестираемость надписей;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Закупка кабельной продукции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и элементов кабельной инфраструктуры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для монтажа 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кабельных линий связи системы поражения воздушных целей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осуществляется силами и средствами Подрядчика.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Вся разработанная в рамках договора с Подрядчиком документация является собственностью Заказчика.</w:t>
            </w:r>
          </w:p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Подрядчик должен своими силами и за свой счёт обеспечить приемку совместно с представителями Заказчика, транспортировку, разгрузку, складирование и перемещение на территории Заказчика прибывающих на объект кабельной продукции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и элементов кабельной инфраструктуры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 Нести ответственность за сохранность кабельной продукции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и элементов кабельной инфраструктуры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до подписания акта приемки выполненных работ. Копии сертификатов, технических паспортов, актов входного контроля качества, журналы входного контроля качества и иных документов должны быть предоставлены Заказчику за 5 (пять) календарных дней до начала производства работ, выполняемых с использованием кабельной продукции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и элементов кабельной инфраструктуры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, а также в оригиналах или надлежащим образом заверенных копиях – в составе исполнительной документации.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подрядчика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Выполнение монтажных работ должно осуществляться силами: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руководитель работ – не менее 1 чел. с группой допуска по электробезопасности не ниже V, 3 группа по безопасности работ на высоте;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производитель работ – не менее 1 чел. с группой допуска по электробезопасности не ниже IV, 2 группа по безопасности работ на высоте;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члены бригады – не менее 3 чел. с группой допуска по электробезопасности не ниже III, 1 группа по безопасности работ на высоте.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 начала проведения работ в рамках исполнения договора после его заключения Подрядчик предоставляет список персонала с указанием сведений о квалификации персонала по профилю выполняемых работ, группе по электробезопасности с приложением копий удостоверений на производство специальных видов работ (возможно совмещение специальностей).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Все вышеперечисленные требования относятся и к привлекаемым субподрядным организациям, если они привлекаются на данный вид работ.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Общие требования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проведении работ подрядная организация должна: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соблюдать требования НТД в области охраны труда и противопожарной безопасности;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соблюдать технологическую, производственную и трудовую дисциплину;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производить своевременную (ежедневную) уборку рабочих мест;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выполнять требования природоохранного законодательства в сфере обращения с отходами, соблюдать принцип раздельного складирования отходов в контейнеры по видам отходов;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выполнять требования в области охраны окружающей среды к подрядным организациям, выполняющим работы (строительные, монтажные, ремонтные и др.) на территории Филиала ПАО «РусГидро» - «Жигулевская ГЭС» (Приложение №6 к настоящим ТТ).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нахождении на территории Филиала и во время выполнения работ Подрядчик: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Обеспечивает своих работников средствами индивидуальной и коллективной защиты от воздействия вредных и опасных производственных факторов, первичными средствами пожаротушения и аптечками оказания первой помощи.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Принимает все обоснованные меры предосторожности, направленные на соблюдение требований охраны труда, пожарной, промышленной, энергетической и экологической безопасности в процессе выполнения работ.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Обеспечивает выполнение работ с применением исправного, испытанного инструмента, механизмов и приспособлений.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Обеспечивает исполнение установленных на объекте Филиала требований пропускного и внутриобъектового режимов (приложение № 4 настоящих ТТ), нормативных правовых актов в сфере охраны труда, промышленной, пожарной, энергетической и экологической безопасности.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Обеспечивает своевременное выполнение предписаний, выданных СОТ и ПК соответствующего Филиала.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безопасности выполняемых работ.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Подрядчик должен: 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охране окружающей среды, промышленной и пожарной безопасности, охране труда, а также все прочие законы и нормативные акты, относящиеся к сфере деятельности.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Подрядчик обязан: 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работ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результату монтажных работ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Монтажные работы должны быть выполнены в соответствии с сметной документацией Заказчика (Приложение №1 к настоящим ТТ) и ППР.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/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</w:t>
            </w:r>
            <w:r>
              <w:rPr>
                <w:rStyle w:val="Style8"/>
                <w:rFonts w:eastAsia="Times New Roman" w:cs="Times New Roman"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Выполнение комплекса работ производится в таком объеме, который позволяет начать эксплуатацию без закупки дополнительных объемов МТР и работ.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Кабельные линии связи системы поражения воздушных целей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Жигулевской ГЭС должны соответствовать разделу №6  РД 45.047-99 «Линии передачи волоконно-оптические на магистральных и внутризоновых первичных сетях ВСС России. Техническая эксплуатация.»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2.2.2.</w:t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Предоставление документации по результатам приемочных испытаний.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2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Документация по результатам 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приемочных испытаний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(Акты, Протоколы) предоставляются заказчику на рассмотрение и согласование в электронном виде за 5 рабочих дней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до срока завершения работ указанного в Таблице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Требования по срокам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выполнения работ».</w:t>
            </w:r>
          </w:p>
        </w:tc>
        <w:tc>
          <w:tcPr>
            <w:tcW w:w="2208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bookmarkStart w:id="34" w:name="_Toc234930739"/>
            <w:bookmarkStart w:id="35" w:name="_Toc234930419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  <w:bookmarkEnd w:id="34"/>
            <w:bookmarkEnd w:id="35"/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порядку приемки результатов работ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Порядок приемки результатов работ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Работы по монтажу 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кабельных линий связи системы поражения воздушных целей Жигулевской ГЭС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считаются выполненными после: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монтажа, наладки, подключения, включения в сеть, передачи полного комплекта исполнительной и приемо-сдаточной документации, осмотра и подписания Актов по форме КС-2, КС-3,</w:t>
            </w: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КС-11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Исполнительная документация передаваемая заказчику по результатам выполненных работ.</w:t>
            </w:r>
          </w:p>
        </w:tc>
        <w:tc>
          <w:tcPr>
            <w:tcW w:w="75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Подрядчик обязан одновременно с передачей актов сдачи-приемки выполненных работ передать заказчику: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исполнительную документацию в соответствии с п.2.2.2;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 соответствии с РД 45.156-2000 «Состав исполнительной документации на законченные строительством линейные сооружения магистральных и внутризоновых ВОЛП» и соответствовать по составу и оформлению действующим НТД: ГОСТ 2.601-2013 «ЕСКД. Эксплуатационные документы»;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ведомость эксплуатационных документов (реестр исполнительной документации);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инструкция по эксплуатации (в установленном Заказчиком формате предоставляется до ввода оборудования в работу);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исполнительная документация передается на бумажном носителе в 3 (трех) экземплярах на бумажном носителе, из которых не менее 1 (одного) экземпляра в оригинале и 1 (одном) на электронном носителе в не редактируемом формате с подписями Исполнителей и в редактируемом электронном виде. Каждый том оригинала и копии эксплуатационной документации должен быть прошит, заверен печатью и подписью руководителя, страницы пронумерованы. Все экземпляры томов копий документации должны быть заверены печатью организации «Копия верна».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 результатам выполненных работ.</w:t>
            </w:r>
          </w:p>
        </w:tc>
        <w:tc>
          <w:tcPr>
            <w:tcW w:w="75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По завершении выполнения работ оформляются: 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Акты о приемке выполненных работ (по форме КС-2);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Справка о стоимости выполненных работ и затрат (по форме КС-3);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Акт приемки законченного строительством Объекта (по форме КС-11).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447" w:leader="none"/>
              </w:tabs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36" w:name="_Toc234930740"/>
            <w:bookmarkStart w:id="37" w:name="_Toc234930420"/>
            <w:r>
              <w:rPr>
                <w:rFonts w:eastAsia="Times New Roman" w:cs="Times New Roman"/>
                <w:b w:val="false"/>
                <w:iCs/>
                <w:kern w:val="0"/>
                <w:sz w:val="20"/>
                <w:szCs w:val="20"/>
                <w:lang w:val="ru-RU" w:eastAsia="ru-RU" w:bidi="ar-SA"/>
              </w:rPr>
              <w:t>Требования в области информационной безопасности</w:t>
            </w:r>
            <w:bookmarkEnd w:id="36"/>
            <w:bookmarkEnd w:id="37"/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Запрещается: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осуществлять несанкционированное подключение к 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кабельным линиям связи системы поражения воздушных целей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ind w:left="326" w:hanging="283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передавать третьей стороне любую информацию о работе оборудования и параметрах технологического процесса без письменного согласия Заказчика.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подрядчика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работ.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результаты работ, выполненные согласно сметной документацией Заказчика (Приложение №1 к настоящим ТТ), составляет 36 (тридцать шесть) месяцев с даты подписания Акта по форме КС-11.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4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Гарантии на результаты работ</w:t>
            </w:r>
          </w:p>
        </w:tc>
        <w:tc>
          <w:tcPr>
            <w:tcW w:w="75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Ошибки при выполнении монтажных работ, выявленные во время эксплуатации в период гарантийного срока службы устраняются Подрядчиком безвозмездно в рамках заключенного договора в соответствии с настоящими ТТ.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протяжении всего указанного гарантийного срока, указанного в п.4.1.1. таблицы 4 настоящих ТТ, Подрядчик обязан обеспечить за счет собственных средств и сил восстановление любого вышедшего из строя компонента (в случае, если причина неисправности связана с ошибками монтажа и не связана с неправильной эксплуатацией данного элемента, внешними условиями или воздействиями, не предусмотренными проектным решением).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обнаружения в течение гарантийного срока недостатков результата работ, Заказчик направляет Подрядчику соответствующее письменное уведомление, в котором указывает перечень выявленных недостатков и срок на их устранение.</w:t>
            </w:r>
          </w:p>
        </w:tc>
        <w:tc>
          <w:tcPr>
            <w:tcW w:w="220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субподрядным организациям, привлекаемым к выполнению работ.</w:t>
            </w:r>
          </w:p>
        </w:tc>
        <w:tc>
          <w:tcPr>
            <w:tcW w:w="75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 случае привлечения к выполнению работ субподрядных организаций Подрядчик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8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требования к выполняемым работам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44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bookmarkStart w:id="38" w:name="_Toc234930741"/>
            <w:bookmarkStart w:id="39" w:name="_Toc234930421"/>
            <w:r>
              <w:rPr>
                <w:rFonts w:eastAsia="Times New Roman" w:cs="Times New Roman"/>
                <w:b w:val="false"/>
                <w:iCs/>
                <w:kern w:val="0"/>
                <w:sz w:val="20"/>
                <w:szCs w:val="20"/>
                <w:lang w:val="ru-RU" w:eastAsia="ru-RU" w:bidi="ar-SA"/>
              </w:rPr>
              <w:t>Наличие свидетельства СРО</w:t>
            </w:r>
            <w:bookmarkEnd w:id="38"/>
            <w:bookmarkEnd w:id="39"/>
          </w:p>
        </w:tc>
        <w:tc>
          <w:tcPr>
            <w:tcW w:w="7541" w:type="dxa"/>
            <w:tcBorders/>
            <w:vAlign w:val="cente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bookmarkStart w:id="40" w:name="_Toc234930742"/>
            <w:bookmarkStart w:id="41" w:name="_Toc234930422"/>
            <w:r>
              <w:rPr>
                <w:rFonts w:eastAsia="Times New Roman" w:cs="Times New Roman"/>
                <w:b w:val="false"/>
                <w:iCs/>
                <w:kern w:val="0"/>
                <w:sz w:val="20"/>
                <w:szCs w:val="20"/>
                <w:lang w:val="ru-RU" w:eastAsia="ru-RU" w:bidi="ar-SA"/>
              </w:rPr>
              <w:t>Не требуется</w:t>
            </w:r>
            <w:bookmarkEnd w:id="40"/>
            <w:bookmarkEnd w:id="41"/>
          </w:p>
        </w:tc>
        <w:tc>
          <w:tcPr>
            <w:tcW w:w="2208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bookmarkStart w:id="42" w:name="_Toc234930743"/>
            <w:bookmarkStart w:id="43" w:name="_Toc234930423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  <w:bookmarkEnd w:id="42"/>
            <w:bookmarkEnd w:id="43"/>
          </w:p>
        </w:tc>
        <w:tc>
          <w:tcPr>
            <w:tcW w:w="1985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/>
      </w:pPr>
      <w:bookmarkStart w:id="44" w:name="_Toc234930744"/>
      <w:r>
        <w:rPr/>
        <w:t>Требования к документации по ценообразованию на этапе заключения (исполнения) договора</w:t>
      </w:r>
      <w:bookmarkEnd w:id="44"/>
    </w:p>
    <w:p>
      <w:pPr>
        <w:pStyle w:val="Normal"/>
        <w:rPr>
          <w:iCs/>
        </w:rPr>
      </w:pPr>
      <w:r>
        <w:rPr>
          <w:iCs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</w:tabs>
        <w:spacing w:before="120" w:after="60"/>
        <w:ind w:left="0" w:hanging="0"/>
        <w:jc w:val="both"/>
        <w:outlineLvl w:val="1"/>
        <w:rPr>
          <w:rFonts w:eastAsia="Calibri"/>
          <w:b/>
          <w:bCs/>
          <w:iCs/>
          <w:sz w:val="24"/>
          <w:szCs w:val="24"/>
          <w:lang w:val="x-none" w:eastAsia="x-none"/>
        </w:rPr>
      </w:pPr>
      <w:bookmarkStart w:id="45" w:name="_Toc142049946"/>
      <w:r>
        <w:rPr>
          <w:rFonts w:eastAsia="Calibri"/>
          <w:b/>
          <w:bCs/>
          <w:iCs/>
          <w:sz w:val="24"/>
          <w:szCs w:val="24"/>
          <w:lang w:eastAsia="x-none"/>
        </w:rPr>
        <w:t xml:space="preserve">3.1. </w:t>
      </w:r>
      <w:r>
        <w:rPr>
          <w:rFonts w:eastAsia="Calibri"/>
          <w:b/>
          <w:bCs/>
          <w:iCs/>
          <w:sz w:val="24"/>
          <w:szCs w:val="24"/>
          <w:lang w:val="x-none" w:eastAsia="x-none"/>
        </w:rPr>
        <w:t>Требования к составлению сметной документации (при заключении договора):</w:t>
      </w:r>
      <w:bookmarkEnd w:id="45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3.1.1.</w:t>
        <w:tab/>
        <w:t>Сметная документация разработана заказчиком в рамках определения начальной (максимальной) цены договора в соответствии с требованиями, указанными в приложении №3 к настоящим Техническим требованиям, и включается в состав договора с применением понижающего коэффициента, указанного в заявке Участника, с которым принято решение заключить договор. 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3.1.2.</w:t>
        <w:tab/>
        <w:t>Внесение изменений в сметную документацию заказчика, кроме применения понижающего коэффициента в соответствии с п.3.1.1, не допускается.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3.1.3.</w:t>
        <w:tab/>
        <w:t>В сметной документации предусмотрен резерв средств на непредвиденные работы и затраты в размере 3%.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overflowPunct w:val="false"/>
        <w:spacing w:before="60" w:after="0"/>
        <w:jc w:val="both"/>
        <w:rPr>
          <w:bCs/>
          <w:iCs/>
          <w:sz w:val="24"/>
          <w:szCs w:val="24"/>
          <w:lang w:eastAsia="zh-CN"/>
        </w:rPr>
      </w:pPr>
      <w:r>
        <w:rPr>
          <w:bCs/>
          <w:iCs/>
          <w:sz w:val="24"/>
          <w:szCs w:val="24"/>
          <w:lang w:eastAsia="zh-CN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</w:tabs>
        <w:spacing w:before="120" w:after="60"/>
        <w:ind w:left="0" w:hanging="0"/>
        <w:jc w:val="both"/>
        <w:outlineLvl w:val="1"/>
        <w:rPr>
          <w:rFonts w:eastAsia="Calibri"/>
          <w:b/>
          <w:bCs/>
          <w:iCs/>
          <w:sz w:val="24"/>
          <w:szCs w:val="24"/>
          <w:lang w:val="x-none" w:eastAsia="x-none"/>
        </w:rPr>
      </w:pPr>
      <w:bookmarkStart w:id="46" w:name="_Toc142049947"/>
      <w:r>
        <w:rPr>
          <w:rFonts w:eastAsia="Calibri"/>
          <w:b/>
          <w:bCs/>
          <w:iCs/>
          <w:sz w:val="24"/>
          <w:szCs w:val="24"/>
          <w:lang w:eastAsia="x-none"/>
        </w:rPr>
        <w:t xml:space="preserve">3.2. </w:t>
      </w:r>
      <w:r>
        <w:rPr>
          <w:rFonts w:eastAsia="Calibri"/>
          <w:b/>
          <w:bCs/>
          <w:iCs/>
          <w:sz w:val="24"/>
          <w:szCs w:val="24"/>
          <w:lang w:val="x-none" w:eastAsia="x-none"/>
        </w:rPr>
        <w:t>Требования к составлению сметной документации (на этапе исполнения договора):</w:t>
      </w:r>
      <w:bookmarkEnd w:id="46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3.2.1.</w:t>
        <w:tab/>
        <w:t>В случае возникновения непредвиденных расходов в рамках реализации договора необходимо составлять и оформлять сметную документацию в обоснование данных затрат в соответствии с требованиями, указанными в приложении №3 к настоящим Техническим требованиям, с применением понижающего коэффициента, определенного по результатам конкурентной процедуры (п. 3.1.1).</w:t>
      </w:r>
    </w:p>
    <w:p>
      <w:pPr>
        <w:pStyle w:val="Normal"/>
        <w:rPr>
          <w:iCs/>
        </w:rPr>
      </w:pPr>
      <w:r>
        <w:rPr>
          <w:iCs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</w:rPr>
      </w:pPr>
      <w:bookmarkStart w:id="47" w:name="_Toc51339699"/>
      <w:bookmarkStart w:id="48" w:name="_Toc46743519"/>
      <w:bookmarkStart w:id="49" w:name="_Toc234930745"/>
      <w:r>
        <w:rPr/>
        <w:t>Приложения</w:t>
      </w:r>
      <w:bookmarkEnd w:id="47"/>
      <w:bookmarkEnd w:id="48"/>
      <w:bookmarkEnd w:id="49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iCs/>
          <w:sz w:val="24"/>
          <w:szCs w:val="24"/>
        </w:rPr>
      </w:pPr>
      <w:r>
        <w:rPr>
          <w:iCs/>
          <w:sz w:val="24"/>
          <w:szCs w:val="24"/>
        </w:rPr>
        <w:t>Приложение №1: Сметная документация Заказчика.</w:t>
      </w:r>
    </w:p>
    <w:p>
      <w:pPr>
        <w:pStyle w:val="Normal"/>
        <w:rPr>
          <w:iCs/>
          <w:sz w:val="24"/>
          <w:szCs w:val="24"/>
        </w:rPr>
      </w:pPr>
      <w:r>
        <w:rPr>
          <w:iCs/>
          <w:sz w:val="24"/>
          <w:szCs w:val="24"/>
        </w:rPr>
        <w:t>Приложение №2: Календарный график выполнения работ.</w:t>
      </w:r>
    </w:p>
    <w:p>
      <w:pPr>
        <w:pStyle w:val="Normal"/>
        <w:rPr>
          <w:iCs/>
          <w:sz w:val="24"/>
          <w:szCs w:val="24"/>
        </w:rPr>
      </w:pPr>
      <w:r>
        <w:rPr>
          <w:iCs/>
          <w:sz w:val="24"/>
          <w:szCs w:val="24"/>
        </w:rPr>
        <w:t>Приложение №3: Требования к оформлению и составлению сметной документации на работы по программе ремонтов, реконструкции и техническому перевооружению.</w:t>
      </w:r>
    </w:p>
    <w:p>
      <w:pPr>
        <w:pStyle w:val="Normal"/>
        <w:rPr>
          <w:sz w:val="24"/>
          <w:szCs w:val="24"/>
        </w:rPr>
      </w:pPr>
      <w:r>
        <w:rPr>
          <w:iCs/>
          <w:sz w:val="24"/>
          <w:szCs w:val="24"/>
        </w:rPr>
        <w:t>Приложение №4: Положение по пропускному и внутриобъектовому режимам Филиала ПАО «РусГидро» - «Жигулёвская ГЭС».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Приложение №5: </w:t>
      </w:r>
      <w:r>
        <w:rPr>
          <w:iCs/>
          <w:sz w:val="24"/>
          <w:szCs w:val="24"/>
        </w:rPr>
        <w:t>Методика допуска персонала подрядных организаций к выполнению работ на объектах Общества</w:t>
      </w:r>
      <w:r>
        <w:rPr>
          <w:sz w:val="24"/>
          <w:szCs w:val="24"/>
        </w:rPr>
        <w:t>.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  <w:t>Приложение №6: Требования в области охраны окружающей среды к подрядным организациям, выполняющим работы на территории Филиала ПАО «РусГидро» - «Жигулевская ГЭС»</w:t>
      </w:r>
      <w:bookmarkStart w:id="50" w:name="_Ref40301253"/>
      <w:r>
        <w:rPr>
          <w:sz w:val="24"/>
          <w:szCs w:val="24"/>
        </w:rPr>
        <w:t>.</w:t>
      </w:r>
      <w:bookmarkEnd w:id="50"/>
      <w:r>
        <w:br w:type="page"/>
      </w:r>
    </w:p>
    <w:p>
      <w:pPr>
        <w:pStyle w:val="Normal"/>
        <w:spacing w:before="0" w:after="120"/>
        <w:rPr>
          <w:bCs/>
          <w:i/>
          <w:i/>
          <w:iCs/>
          <w:sz w:val="24"/>
          <w:szCs w:val="24"/>
          <w:shd w:fill="FFFF99" w:val="clear"/>
        </w:rPr>
      </w:pPr>
      <w:r>
        <w:rPr/>
      </w:r>
    </w:p>
    <w:sectPr>
      <w:headerReference w:type="default" r:id="rId9"/>
      <w:headerReference w:type="first" r:id="rId10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100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17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b476b3"/>
    <w:pPr>
      <w:keepNext w:val="true"/>
      <w:numPr>
        <w:ilvl w:val="2"/>
        <w:numId w:val="3"/>
      </w:numPr>
      <w:spacing w:before="240" w:after="60"/>
      <w:ind w:left="1276" w:hanging="55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476b3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4FA5A-138A-4826-ADCB-E59DEE908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Application>AlterOffice/3.4.0.9$Linux_X86_64 LibreOffice_project/b8daf9e823b1a5463a2f48435ddc2e8696e7d4fc</Application>
  <AppVersion>15.0000</AppVersion>
  <Pages>17</Pages>
  <Words>3099</Words>
  <Characters>21755</Characters>
  <CharactersWithSpaces>24517</CharactersWithSpaces>
  <Paragraphs>377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2026-07-13T09:15:00Z</dcterms:created>
  <dc:creator>Быстров Олег Геннадьевич</dc:creator>
  <dc:description/>
  <dc:language>ru-RU</dc:language>
  <cp:lastModifiedBy>antonovanal@corp.gidroogk.com</cp:lastModifiedBy>
  <cp:lastPrinted>2006-07-26T14:04:00Z</cp:lastPrinted>
  <dcterms:modified xsi:type="dcterms:W3CDTF">2026-09-01T16:44:38Z</dcterms:modified>
  <cp:revision>27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