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center"/>
        <w:rPr/>
      </w:pP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ОКПД2 - 71.20.11.190 Разработка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проектов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 нормативов предельно допустимых выбросов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для объектов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 Акционерного общества «Сахаэнерго»</w:t>
      </w:r>
    </w:p>
    <w:p>
      <w:pPr>
        <w:pStyle w:val="Standard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Standard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Standard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5"/>
            </w:rPr>
            <w:instrText xml:space="preserve"> TOC \o "1-4" \h</w:instrText>
          </w:r>
          <w:r>
            <w:rPr>
              <w:rStyle w:val="Style15"/>
            </w:rPr>
            <w:fldChar w:fldCharType="separate"/>
          </w:r>
          <w:hyperlink w:anchor="__RefHeading___Toc1741_82466936">
            <w:r>
              <w:rPr>
                <w:rStyle w:val="Style15"/>
              </w:rPr>
              <w:t>1. Общие сведения</w:t>
              <w:tab/>
              <w:t>3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43_82466936">
            <w:r>
              <w:rPr>
                <w:rStyle w:val="Style15"/>
              </w:rPr>
              <w:t>1.1. Обозначения и сокращения</w:t>
              <w:tab/>
              <w:t>3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45_82466936">
            <w:r>
              <w:rPr>
                <w:rStyle w:val="Style15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47_82466936">
            <w:r>
              <w:rPr>
                <w:rStyle w:val="Style15"/>
              </w:rPr>
              <w:t>1.3. Цель оказания услуг</w:t>
              <w:tab/>
              <w:t>4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49_82466936">
            <w:r>
              <w:rPr>
                <w:rStyle w:val="Style15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51_82466936">
            <w:r>
              <w:rPr>
                <w:rStyle w:val="Style15"/>
              </w:rPr>
              <w:t>1.4. Иные требования и сведения общего характера.</w:t>
              <w:tab/>
              <w:t>4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53_82466936">
            <w:r>
              <w:rPr>
                <w:rStyle w:val="Style15"/>
              </w:rPr>
              <w:t>1.4.1. Краткая характеристика и основные показатели объекта:</w:t>
              <w:tab/>
              <w:t>4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55_82466936">
            <w:r>
              <w:rPr>
                <w:rStyle w:val="Style15"/>
              </w:rPr>
              <w:t>1.4.2. Основные требования к конструктивным решениям</w:t>
              <w:tab/>
              <w:t>4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57_82466936">
            <w:r>
              <w:rPr>
                <w:rStyle w:val="Style15"/>
              </w:rPr>
              <w:t>2. Требования к продукции</w:t>
              <w:tab/>
              <w:t>5</w:t>
            </w:r>
          </w:hyperlink>
        </w:p>
        <w:p>
          <w:pPr>
            <w:pStyle w:val="Contents4"/>
            <w:tabs>
              <w:tab w:val="clear" w:pos="1680"/>
              <w:tab w:val="clear" w:pos="10471"/>
              <w:tab w:val="right" w:pos="9921" w:leader="dot"/>
              <w:tab w:val="right" w:pos="10481" w:leader="dot"/>
            </w:tabs>
            <w:rPr/>
          </w:pPr>
          <w:hyperlink w:anchor="__RefHeading___Toc1759_82466936">
            <w:r>
              <w:rPr>
                <w:rStyle w:val="Style15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61_82466936">
            <w:r>
              <w:rPr>
                <w:rStyle w:val="Style15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63_82466936">
            <w:r>
              <w:rPr>
                <w:rStyle w:val="Style15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Contents3"/>
            <w:tabs>
              <w:tab w:val="right" w:pos="9921" w:leader="dot"/>
              <w:tab w:val="right" w:pos="10201" w:leader="dot"/>
            </w:tabs>
            <w:rPr/>
          </w:pPr>
          <w:hyperlink w:anchor="__RefHeading___Toc1765_82466936">
            <w:r>
              <w:rPr>
                <w:rStyle w:val="Style15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67_82466936">
            <w:r>
              <w:rPr>
                <w:rStyle w:val="Style15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Contents2"/>
            <w:rPr/>
          </w:pPr>
          <w:hyperlink w:anchor="__RefHeading___Toc1769_82466936">
            <w:r>
              <w:rPr>
                <w:rStyle w:val="Style15"/>
              </w:rPr>
              <w:t>2.2. Требования к качеству услуг</w:t>
              <w:tab/>
              <w:t>6</w:t>
            </w:r>
          </w:hyperlink>
        </w:p>
        <w:p>
          <w:pPr>
            <w:pStyle w:val="Contents1"/>
            <w:tabs>
              <w:tab w:val="clear" w:pos="708"/>
              <w:tab w:val="right" w:pos="9921" w:leader="dot"/>
            </w:tabs>
            <w:rPr/>
          </w:pPr>
          <w:hyperlink w:anchor="__RefHeading___Toc1771_82466936">
            <w:r>
              <w:rPr>
                <w:rStyle w:val="Style15"/>
              </w:rPr>
              <w:t>Таблица 4. Требования к качеству услуг</w:t>
              <w:tab/>
              <w:t>6</w:t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Standard"/>
        <w:tabs>
          <w:tab w:val="clear" w:pos="708"/>
          <w:tab w:val="right" w:pos="9921" w:leader="dot"/>
        </w:tabs>
        <w:rPr/>
      </w:pPr>
      <w:r>
        <w:rPr/>
      </w:r>
      <w:bookmarkStart w:id="2" w:name="__RefHeading___Toc1741_82466936"/>
      <w:bookmarkStart w:id="3" w:name="__RefHeading___Toc1741_82466936"/>
    </w:p>
    <w:p>
      <w:pPr>
        <w:pStyle w:val="Heading3"/>
        <w:widowControl/>
        <w:numPr>
          <w:ilvl w:val="0"/>
          <w:numId w:val="0"/>
        </w:numPr>
        <w:suppressAutoHyphens w:val="true"/>
        <w:ind w:left="0" w:right="0" w:hanging="0"/>
        <w:jc w:val="center"/>
        <w:textAlignment w:val="baseline"/>
        <w:rPr/>
      </w:pPr>
      <w:r>
        <w:rPr/>
      </w:r>
      <w:r>
        <w:br w:type="page"/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1.</w:t>
        <w:tab/>
      </w:r>
      <w:bookmarkStart w:id="4" w:name="_Toc124266665"/>
      <w:r>
        <w:rPr/>
        <w:t>Общие сведения</w:t>
      </w:r>
      <w:bookmarkEnd w:id="3"/>
      <w:bookmarkEnd w:id="4"/>
    </w:p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</w:rPr>
      </w:pPr>
      <w:bookmarkStart w:id="5" w:name="__RefHeading___Toc1743_82466936"/>
      <w:bookmarkEnd w:id="5"/>
      <w:r>
        <w:rPr>
          <w:sz w:val="24"/>
        </w:rPr>
        <w:t>1.1.</w:t>
        <w:tab/>
      </w:r>
      <w:bookmarkStart w:id="6" w:name="_Toc124266666"/>
      <w:bookmarkStart w:id="7" w:name="_Toc46743505"/>
      <w:r>
        <w:rPr>
          <w:sz w:val="24"/>
        </w:rPr>
        <w:t>Обозначения и сокращения</w:t>
      </w:r>
      <w:bookmarkEnd w:id="6"/>
      <w:bookmarkEnd w:id="7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b w:val="false"/>
                <w:bCs/>
                <w:i w:val="false"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b w:val="false"/>
                <w:bCs/>
                <w:i w:val="false"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ПДВ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Предельно-допустимые выбросы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НДВ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Нормативы допустимых выбросов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ГСМ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Горюче-смазочные материалы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ДЭС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Дизельная электростанция</w:t>
            </w:r>
          </w:p>
        </w:tc>
      </w:tr>
    </w:tbl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</w:rPr>
      </w:pPr>
      <w:bookmarkStart w:id="8" w:name="__RefHeading___Toc1745_82466936"/>
      <w:bookmarkStart w:id="9" w:name="_Toc46743506"/>
      <w:bookmarkEnd w:id="8"/>
      <w:r>
        <w:rPr>
          <w:sz w:val="24"/>
        </w:rPr>
        <w:t>1.2.</w:t>
        <w:tab/>
      </w:r>
      <w:bookmarkStart w:id="10" w:name="_Toc124266667"/>
      <w:r>
        <w:rPr>
          <w:sz w:val="24"/>
        </w:rPr>
        <w:t>Наименование закупаемой продукции</w:t>
      </w:r>
      <w:bookmarkEnd w:id="9"/>
      <w:bookmarkEnd w:id="10"/>
    </w:p>
    <w:p>
      <w:pPr>
        <w:pStyle w:val="Standard"/>
        <w:tabs>
          <w:tab w:val="clear" w:pos="708"/>
          <w:tab w:val="left" w:pos="993" w:leader="none"/>
          <w:tab w:val="left" w:pos="1134" w:leader="none"/>
        </w:tabs>
        <w:spacing w:lineRule="auto" w:line="276"/>
        <w:jc w:val="both"/>
        <w:rPr>
          <w:sz w:val="24"/>
          <w:szCs w:val="24"/>
        </w:rPr>
      </w:pPr>
      <w:r>
        <w:rPr>
          <w:rFonts w:eastAsia="Calibri"/>
          <w:bCs/>
          <w:kern w:val="2"/>
          <w:sz w:val="24"/>
          <w:szCs w:val="24"/>
          <w:lang w:eastAsia="en-US"/>
        </w:rPr>
        <w:t xml:space="preserve">ОКПД2 - 71.20.11.190 </w:t>
      </w:r>
      <w:r>
        <w:rPr>
          <w:rFonts w:eastAsia="Calibri"/>
          <w:bCs/>
          <w:i/>
          <w:kern w:val="2"/>
          <w:sz w:val="24"/>
          <w:szCs w:val="24"/>
          <w:lang w:val="ru-RU" w:eastAsia="en-US"/>
        </w:rPr>
        <w:t xml:space="preserve">«Разработка </w:t>
      </w:r>
      <w:r>
        <w:rPr>
          <w:rFonts w:eastAsia="Calibri"/>
          <w:bCs/>
          <w:i/>
          <w:kern w:val="2"/>
          <w:sz w:val="24"/>
          <w:szCs w:val="24"/>
          <w:lang w:val="ru-RU" w:eastAsia="en-US"/>
        </w:rPr>
        <w:t>проектов</w:t>
      </w:r>
      <w:r>
        <w:rPr>
          <w:rFonts w:eastAsia="Calibri"/>
          <w:bCs/>
          <w:i/>
          <w:kern w:val="2"/>
          <w:sz w:val="24"/>
          <w:szCs w:val="24"/>
          <w:lang w:val="ru-RU" w:eastAsia="en-US"/>
        </w:rPr>
        <w:t xml:space="preserve"> нормативов предельно допустимых выбросов </w:t>
      </w:r>
      <w:r>
        <w:rPr>
          <w:rFonts w:eastAsia="Calibri"/>
          <w:bCs/>
          <w:i/>
          <w:kern w:val="2"/>
          <w:sz w:val="24"/>
          <w:szCs w:val="24"/>
          <w:lang w:val="ru-RU" w:eastAsia="en-US"/>
        </w:rPr>
        <w:t xml:space="preserve">для объектов </w:t>
      </w:r>
      <w:r>
        <w:rPr>
          <w:rFonts w:eastAsia="Calibri"/>
          <w:bCs/>
          <w:i/>
          <w:kern w:val="2"/>
          <w:sz w:val="24"/>
          <w:szCs w:val="24"/>
          <w:lang w:val="ru-RU" w:eastAsia="en-US"/>
        </w:rPr>
        <w:t>АО «Сахаэнерго»»</w:t>
      </w:r>
      <w:bookmarkStart w:id="11" w:name="_Toc46743507"/>
    </w:p>
    <w:p>
      <w:pPr>
        <w:pStyle w:val="Heading4"/>
        <w:numPr>
          <w:ilvl w:val="0"/>
          <w:numId w:val="0"/>
        </w:numPr>
        <w:tabs>
          <w:tab w:val="clear" w:pos="708"/>
          <w:tab w:val="left" w:pos="426" w:leader="none"/>
        </w:tabs>
        <w:ind w:left="0" w:right="0" w:hanging="0"/>
        <w:jc w:val="left"/>
        <w:rPr>
          <w:sz w:val="24"/>
        </w:rPr>
      </w:pPr>
      <w:bookmarkStart w:id="12" w:name="__RefHeading___Toc1747_82466936"/>
      <w:bookmarkEnd w:id="12"/>
      <w:r>
        <w:rPr>
          <w:sz w:val="24"/>
        </w:rPr>
        <w:t>1.3.</w:t>
        <w:tab/>
      </w:r>
      <w:bookmarkStart w:id="13" w:name="_Toc124266668"/>
      <w:r>
        <w:rPr>
          <w:sz w:val="24"/>
        </w:rPr>
        <w:t xml:space="preserve">Цель </w:t>
      </w:r>
      <w:bookmarkEnd w:id="11"/>
      <w:r>
        <w:rPr>
          <w:sz w:val="24"/>
        </w:rPr>
        <w:t>оказания услуг</w:t>
      </w:r>
      <w:bookmarkEnd w:id="13"/>
    </w:p>
    <w:p>
      <w:pPr>
        <w:pStyle w:val="Standard"/>
        <w:jc w:val="both"/>
        <w:rPr/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Разработка проектов нормативов предельно допустимых выбросов (ПДВ/НДВ) для объектов АО «Сахаэнерго» в целях соблюдения природоохранных требований действующих нормативно-правовых актов РФ</w:t>
      </w:r>
      <w:r>
        <w:rPr/>
        <w:t>.</w:t>
      </w:r>
    </w:p>
    <w:p>
      <w:pPr>
        <w:pStyle w:val="Standard"/>
        <w:tabs>
          <w:tab w:val="clear" w:pos="708"/>
          <w:tab w:val="left" w:pos="426" w:leader="none"/>
        </w:tabs>
        <w:rPr/>
      </w:pPr>
      <w:r>
        <w:rPr>
          <w:rFonts w:eastAsia="Calibri"/>
          <w:b/>
          <w:bCs/>
          <w:sz w:val="24"/>
          <w:szCs w:val="24"/>
        </w:rPr>
        <w:t>1.4.</w:t>
        <w:tab/>
      </w:r>
      <w:bookmarkStart w:id="14" w:name="_Toc46743508"/>
      <w:bookmarkStart w:id="15" w:name="_Toc161754192"/>
      <w:r>
        <w:rPr>
          <w:rFonts w:eastAsia="Calibri"/>
          <w:b/>
          <w:bCs/>
          <w:sz w:val="24"/>
          <w:szCs w:val="24"/>
        </w:rPr>
        <w:t>Существующее положение</w:t>
      </w:r>
      <w:bookmarkEnd w:id="14"/>
      <w:bookmarkEnd w:id="15"/>
    </w:p>
    <w:p>
      <w:pPr>
        <w:pStyle w:val="Standard"/>
        <w:tabs>
          <w:tab w:val="clear" w:pos="708"/>
          <w:tab w:val="left" w:pos="0" w:leader="none"/>
        </w:tabs>
        <w:spacing w:lineRule="auto" w:line="276"/>
        <w:rPr>
          <w:sz w:val="24"/>
          <w:szCs w:val="24"/>
        </w:rPr>
      </w:pPr>
      <w:r>
        <w:rPr>
          <w:b/>
          <w:sz w:val="24"/>
          <w:szCs w:val="24"/>
        </w:rPr>
        <w:t>Таблица 1. Перечень объектов заказчика</w:t>
      </w:r>
    </w:p>
    <w:p>
      <w:pPr>
        <w:sectPr>
          <w:headerReference w:type="first" r:id="rId2"/>
          <w:footerReference w:type="default" r:id="rId3"/>
          <w:type w:val="nextPage"/>
          <w:pgSz w:w="11906" w:h="16838"/>
          <w:pgMar w:left="1134" w:right="851" w:gutter="0" w:header="680" w:top="1134" w:footer="720" w:bottom="777"/>
          <w:pgNumType w:fmt="decimal"/>
          <w:formProt w:val="false"/>
          <w:titlePg/>
          <w:textDirection w:val="lrTb"/>
          <w:docGrid w:type="default" w:linePitch="100" w:charSpace="8192"/>
        </w:sectPr>
        <w:pStyle w:val="Normal"/>
        <w:keepNext w:val="true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sz w:val="24"/>
        </w:rPr>
      </w:pPr>
      <w:r>
        <w:rPr>
          <w:sz w:val="24"/>
        </w:rPr>
      </w:r>
    </w:p>
    <w:tbl>
      <w:tblPr>
        <w:tblW w:w="9915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8"/>
        <w:gridCol w:w="2086"/>
        <w:gridCol w:w="585"/>
        <w:gridCol w:w="2115"/>
        <w:gridCol w:w="3600"/>
        <w:gridCol w:w="1021"/>
      </w:tblGrid>
      <w:tr>
        <w:trPr/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ОНВОС и код объекта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tabs>
                <w:tab w:val="clear" w:pos="708"/>
                <w:tab w:val="left" w:pos="136" w:leader="none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площадок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площадки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 xml:space="preserve">Источники выбросов ЗВ в атмосферный воздух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(в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озможно будут дополнения по количеству источников выбросов*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источника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Кол-во, ед.</w:t>
            </w:r>
          </w:p>
        </w:tc>
      </w:tr>
      <w:tr>
        <w:trPr/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/>
        <w:tc>
          <w:tcPr>
            <w:tcW w:w="50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Анабарский РЭС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98-0114-000582-П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 </w:t>
            </w:r>
          </w:p>
        </w:tc>
        <w:tc>
          <w:tcPr>
            <w:tcW w:w="58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с. Саскылах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Дымовая труба установки по обезвреживанию отходов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Сварочный пост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50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с. Юрюнг-Хая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Булунские 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98-0114-000579-П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Таймылыр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Верхоянские 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98-0114-000576-П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Батагай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Дымовая труба установки по обезвреживанию отходов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351" w:hRule="atLeast"/>
        </w:trPr>
        <w:tc>
          <w:tcPr>
            <w:tcW w:w="50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Жиганский РЭС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98-0114-000581-П</w:t>
            </w:r>
          </w:p>
        </w:tc>
        <w:tc>
          <w:tcPr>
            <w:tcW w:w="58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Кыстатыам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highlight w:val="none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>
        <w:trPr>
          <w:trHeight w:val="351" w:hRule="atLeast"/>
        </w:trPr>
        <w:tc>
          <w:tcPr>
            <w:tcW w:w="50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ДЭС Бестях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Кобяйские 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98-0114-000575-П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вспомогательный цех (гараж) п. Сангар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Дымовая труба установки по обезвреживанию отходов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Нижнеколымский РЭС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98-0114-000574-П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ДЭС Колымское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Дымовая труба установки по обезвреживанию отходов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Оймяконский РЭС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98-0114-000573-П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Куйдусун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котельной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Дымовая труба установки по обезвреживанию отходов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Олекминский РЭС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98-0114-000569-П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ДЭС Дабан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ПЦ-2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98-0114-002015-П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ДЭС Чкалов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51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ПЦ-6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98-0114-002011-П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ДЭС Белькачи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ДЭС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175" w:hRule="atLeast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Янские ЭС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98-0114-000571-П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МКУ Северное Сияние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Выхлопные трубы котельной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Дыхательные клапаны резервуаров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>
            <w:pPr>
              <w:pStyle w:val="Style38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sz w:val="24"/>
        </w:rPr>
      </w:pPr>
      <w:bookmarkStart w:id="16" w:name="_Toc124266670"/>
      <w:r>
        <w:rPr>
          <w:rFonts w:eastAsia="Calibri"/>
          <w:b/>
          <w:bCs/>
          <w:sz w:val="24"/>
        </w:rPr>
        <w:t>1.5.</w:t>
        <w:tab/>
      </w:r>
      <w:bookmarkStart w:id="17" w:name="_Toc161754193"/>
      <w:r>
        <w:rPr>
          <w:rFonts w:eastAsia="Calibri"/>
          <w:b/>
          <w:bCs/>
          <w:sz w:val="24"/>
        </w:rPr>
        <w:t xml:space="preserve">Информация в отношении исполнения договора, </w:t>
      </w:r>
      <w:bookmarkStart w:id="18" w:name="_Hlk46492347"/>
      <w:r>
        <w:rPr>
          <w:rFonts w:eastAsia="Calibri"/>
          <w:b/>
          <w:bCs/>
          <w:sz w:val="24"/>
        </w:rPr>
        <w:t xml:space="preserve">которая должна быть учтена при подготовке заявки </w:t>
      </w:r>
      <w:bookmarkEnd w:id="18"/>
      <w:r>
        <w:rPr>
          <w:rFonts w:eastAsia="Calibri"/>
          <w:b/>
          <w:bCs/>
          <w:sz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6"/>
      <w:bookmarkEnd w:id="17"/>
    </w:p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bookmarkStart w:id="19" w:name="_Toc50125126_Копия_1"/>
      <w:bookmarkEnd w:id="19"/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1.5.1. 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вопросов, связанных с оказанием Услуг.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1.5.2. 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информацию, необходимые Исполнителю для выполнения обязательств по Договору.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1.5.3. Наличие специализированных программных продуктов для проведения расчетов: АТП-РНВ-Котельная-ДЭС-Сварка-ПДВ-УПРЗА-Шум-АЗС-Дизель-Среднесуточные-Эколог и т.д., а также опыт работы с ними (с приложением подтверждающих документов).</w:t>
      </w:r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3"/>
        <w:rPr>
          <w:sz w:val="24"/>
        </w:rPr>
      </w:pPr>
      <w:r>
        <w:rPr>
          <w:sz w:val="24"/>
        </w:rPr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sz w:val="24"/>
        </w:rPr>
      </w:pPr>
      <w:bookmarkStart w:id="20" w:name="_Toc161754196"/>
      <w:r>
        <w:rPr>
          <w:rFonts w:eastAsia="Calibri"/>
          <w:b/>
          <w:bCs/>
          <w:sz w:val="24"/>
        </w:rPr>
        <w:t>1.6. Иные требования и сведения общего характера</w:t>
      </w:r>
      <w:bookmarkEnd w:id="20"/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1.6.1. Разработка ПДВ (НДВ) выбросов включает в себя: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Проекты НДВ, отчеты об инвентаризации для объектов АО «Сахаэнерго» указанных в Таблице 1 «Перечень объектов заказчика».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1.6.2. Проект ПДВ (НДВ) должен содержать в своем составе и оформлен в соответствии с регламентом на составление проектных документов, включая отчет об инвентаризации.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1.6.3. В стоимость услуг включены расходы по проведению санитарно-эпидемиологической экспертизы проекта нормативов ПДВ (НДВ), фоновой справки о загрязнении атмосферного воздуха, запрос выписки из ЕГРН с координатами (об объекте недвижимости).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iCs/>
          <w:color w:val="auto"/>
          <w:kern w:val="0"/>
          <w:sz w:val="24"/>
          <w:szCs w:val="24"/>
          <w:lang w:val="ru-RU" w:eastAsia="ru-RU" w:bidi="ar-SA"/>
        </w:rPr>
        <w:t>1.6.4. Допустимо оформление одной санитарно-эпидемиологической экспертизы проекта НДВ для нескольких производственных площадок одного объекта НВОС.</w:t>
      </w:r>
    </w:p>
    <w:p>
      <w:pPr>
        <w:pStyle w:val="Standard"/>
        <w:keepNext w:val="true"/>
        <w:numPr>
          <w:ilvl w:val="0"/>
          <w:numId w:val="0"/>
        </w:numPr>
        <w:tabs>
          <w:tab w:val="clear" w:pos="708"/>
          <w:tab w:val="left" w:pos="284" w:leader="none"/>
        </w:tabs>
        <w:ind w:left="0" w:hanging="0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  <w:t>2.</w:t>
        <w:tab/>
      </w:r>
      <w:bookmarkStart w:id="21" w:name="_Toc161754199"/>
      <w:bookmarkStart w:id="22" w:name="_Toc51339693_Копия_1"/>
      <w:r>
        <w:rPr>
          <w:rFonts w:eastAsia="Calibri"/>
          <w:b/>
        </w:rPr>
        <w:t>Требования к продукци</w:t>
      </w:r>
      <w:bookmarkEnd w:id="21"/>
      <w:bookmarkEnd w:id="22"/>
      <w:r>
        <w:rPr>
          <w:rFonts w:eastAsia="Calibri"/>
          <w:b/>
        </w:rPr>
        <w:t>и</w:t>
      </w:r>
    </w:p>
    <w:p>
      <w:pPr>
        <w:pStyle w:val="ListParagraph"/>
        <w:numPr>
          <w:ilvl w:val="0"/>
          <w:numId w:val="9"/>
        </w:numPr>
        <w:jc w:val="both"/>
        <w:rPr>
          <w:lang w:val="x-none" w:eastAsia="x-none"/>
        </w:rPr>
      </w:pPr>
      <w:r>
        <w:rPr>
          <w:lang w:val="x-none" w:eastAsia="x-none"/>
        </w:rPr>
        <w:t>Федеральный закон от 10.01.2002 г. N7-ФЗ «Об охране окружающей среды»;</w:t>
      </w:r>
    </w:p>
    <w:p>
      <w:pPr>
        <w:pStyle w:val="ListParagraph"/>
        <w:numPr>
          <w:ilvl w:val="0"/>
          <w:numId w:val="9"/>
        </w:numPr>
        <w:jc w:val="both"/>
        <w:rPr>
          <w:lang w:val="x-none" w:eastAsia="x-none"/>
        </w:rPr>
      </w:pPr>
      <w:r>
        <w:rPr>
          <w:lang w:val="x-none" w:eastAsia="x-none"/>
        </w:rPr>
        <w:t>Федеральный закон от 04.05.1999 г. N96-ФЗ «Об охране атмосферного воздуха»;</w:t>
      </w:r>
    </w:p>
    <w:p>
      <w:pPr>
        <w:pStyle w:val="ListParagraph"/>
        <w:numPr>
          <w:ilvl w:val="0"/>
          <w:numId w:val="9"/>
        </w:numPr>
        <w:jc w:val="both"/>
        <w:rPr>
          <w:lang w:val="x-none" w:eastAsia="x-none"/>
        </w:rPr>
      </w:pPr>
      <w:r>
        <w:rPr>
          <w:lang w:eastAsia="x-none"/>
        </w:rPr>
        <w:t>Постановление Правительства РФ от 09.12.20 г. №2055 «О предельно допустимых выбросах, временно разрешенных выбросах,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воздух»;</w:t>
      </w:r>
    </w:p>
    <w:p>
      <w:pPr>
        <w:pStyle w:val="ListParagraph"/>
        <w:numPr>
          <w:ilvl w:val="0"/>
          <w:numId w:val="9"/>
        </w:numPr>
        <w:jc w:val="both"/>
        <w:rPr>
          <w:lang w:val="x-none" w:eastAsia="x-none"/>
        </w:rPr>
      </w:pPr>
      <w:r>
        <w:rPr>
          <w:lang w:val="x-none" w:eastAsia="x-none"/>
        </w:rPr>
        <w:t>Приказ Ми</w:t>
      </w:r>
      <w:r>
        <w:rPr>
          <w:lang w:eastAsia="x-none"/>
        </w:rPr>
        <w:t>н</w:t>
      </w:r>
      <w:r>
        <w:rPr>
          <w:lang w:val="x-none" w:eastAsia="x-none"/>
        </w:rPr>
        <w:t>природы от 06.06.2017</w:t>
      </w:r>
      <w:r>
        <w:rPr>
          <w:lang w:eastAsia="x-none"/>
        </w:rPr>
        <w:t xml:space="preserve"> </w:t>
      </w:r>
      <w:r>
        <w:rPr>
          <w:lang w:val="x-none" w:eastAsia="x-none"/>
        </w:rPr>
        <w:t>г</w:t>
      </w:r>
      <w:r>
        <w:rPr>
          <w:lang w:eastAsia="x-none"/>
        </w:rPr>
        <w:t>.</w:t>
      </w:r>
      <w:r>
        <w:rPr>
          <w:lang w:val="x-none" w:eastAsia="x-none"/>
        </w:rPr>
        <w:t xml:space="preserve"> №273 «Об утверждении методов расчетов рассеивания выбросов вредных (загрязняющих) веществ в атмосферном воздухе»</w:t>
      </w:r>
      <w:r>
        <w:rPr>
          <w:lang w:eastAsia="x-none"/>
        </w:rPr>
        <w:t>;</w:t>
      </w:r>
    </w:p>
    <w:p>
      <w:pPr>
        <w:pStyle w:val="ListParagraph"/>
        <w:numPr>
          <w:ilvl w:val="0"/>
          <w:numId w:val="9"/>
        </w:numPr>
        <w:jc w:val="both"/>
        <w:rPr>
          <w:lang w:val="x-none" w:eastAsia="x-none"/>
        </w:rPr>
      </w:pPr>
      <w:r>
        <w:rPr>
          <w:lang w:eastAsia="x-none"/>
        </w:rPr>
        <w:t>Приказ Минприроды от 11.08.20 г. №581 «Об утверждении методики разработки (расчета) и установления нормативов допустимых выбросов загрязняющих веществ в атмосферный воздух»;</w:t>
      </w:r>
    </w:p>
    <w:p>
      <w:pPr>
        <w:pStyle w:val="ListParagraph"/>
        <w:numPr>
          <w:ilvl w:val="0"/>
          <w:numId w:val="9"/>
        </w:numPr>
        <w:jc w:val="both"/>
        <w:rPr>
          <w:lang w:val="x-none" w:eastAsia="x-none"/>
        </w:rPr>
      </w:pPr>
      <w:r>
        <w:rPr>
          <w:rFonts w:eastAsia="Calibri"/>
          <w:b w:val="false"/>
          <w:bCs w:val="false"/>
          <w:sz w:val="24"/>
          <w:lang w:val="ru-RU" w:eastAsia="x-none"/>
        </w:rPr>
        <w:t>Распоряжение Правительства РФ от 20.10.2023 г. №2</w:t>
      </w:r>
      <w:r>
        <w:rPr>
          <w:rFonts w:eastAsia="Calibri"/>
          <w:b w:val="false"/>
          <w:bCs w:val="false"/>
          <w:sz w:val="24"/>
          <w:szCs w:val="24"/>
          <w:lang w:val="ru-RU" w:eastAsia="x-none"/>
        </w:rPr>
        <w:t>909-р «Об утверждении перечня загрязняющих веществ, в отношении которых применяются меры государственного регулирования в области охраны окружающей среды»</w:t>
      </w:r>
      <w:r>
        <w:rPr>
          <w:rFonts w:eastAsia="Calibri"/>
          <w:b w:val="false"/>
          <w:bCs w:val="false"/>
          <w:sz w:val="24"/>
          <w:szCs w:val="24"/>
          <w:lang w:val="x-none" w:eastAsia="x-none"/>
        </w:rPr>
        <w:t>.</w:t>
      </w:r>
    </w:p>
    <w:p>
      <w:pPr>
        <w:pStyle w:val="ListParagraph"/>
        <w:jc w:val="both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Standard"/>
        <w:keepNext w:val="true"/>
        <w:numPr>
          <w:ilvl w:val="0"/>
          <w:numId w:val="0"/>
        </w:numPr>
        <w:tabs>
          <w:tab w:val="clear" w:pos="708"/>
          <w:tab w:val="left" w:pos="426" w:leader="none"/>
        </w:tabs>
        <w:ind w:left="0" w:hanging="0"/>
        <w:jc w:val="both"/>
        <w:outlineLvl w:val="3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2.1.</w:t>
        <w:tab/>
        <w:t>Требования к объемам и срокам оказания услуг</w:t>
      </w:r>
    </w:p>
    <w:p>
      <w:pPr>
        <w:pStyle w:val="Standard"/>
        <w:numPr>
          <w:ilvl w:val="0"/>
          <w:numId w:val="0"/>
        </w:numPr>
        <w:ind w:left="0" w:hanging="0"/>
        <w:jc w:val="both"/>
        <w:outlineLvl w:val="3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2.1.1 Требования к перечню и объему услуг</w:t>
      </w:r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0"/>
        <w:rPr/>
      </w:pPr>
      <w:bookmarkStart w:id="23" w:name="_Toc161754200"/>
      <w:bookmarkStart w:id="24" w:name="_Toc161754203"/>
      <w:bookmarkStart w:id="25" w:name="_Toc156223532"/>
      <w:bookmarkStart w:id="26" w:name="_Toc161754201"/>
      <w:bookmarkStart w:id="27" w:name="_Toc161754202"/>
      <w:bookmarkStart w:id="28" w:name="_Toc51339695_Копия_1"/>
      <w:bookmarkEnd w:id="23"/>
      <w:bookmarkEnd w:id="24"/>
      <w:bookmarkEnd w:id="25"/>
      <w:bookmarkEnd w:id="26"/>
      <w:bookmarkEnd w:id="27"/>
      <w:bookmarkEnd w:id="28"/>
      <w:r>
        <w:rPr>
          <w:rFonts w:eastAsia="Calibri"/>
          <w:b/>
          <w:sz w:val="24"/>
        </w:rPr>
        <w:t>Таблица 2. Перечень и объем оказываемых услуг</w:t>
      </w:r>
    </w:p>
    <w:tbl>
      <w:tblPr>
        <w:tblW w:w="10009" w:type="dxa"/>
        <w:jc w:val="left"/>
        <w:tblInd w:w="1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3180"/>
        <w:gridCol w:w="1132"/>
        <w:gridCol w:w="764"/>
        <w:gridCol w:w="4377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с. Саскылах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>Анабарского РЭС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-Один экземпляр в бумажном и один в электронном виде, в формате разработки и формате PDF (CD-диск), акт об оказании услуг;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-Оригиналы положительных экспертных заключений и санитарно-эпидемиологические заключения по каждо</w:t>
            </w:r>
            <w:r>
              <w:rPr>
                <w:sz w:val="20"/>
                <w:szCs w:val="20"/>
              </w:rPr>
              <w:t>му объекту НВОС или производственной площадке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 связи с возможными изменениями законодательства РФ в ходе исполнения договорных обязательств, возможно внесение корректировок в техническое требование в части оказываемых услуг без увеличения контрактной стоимости;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-Разработанная природоохранная документация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предварительно согласовывается с Заказчиком.</w:t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с. Юрюнг-Хая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>Анабарского РЭС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Таймылыр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>, Булунские 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 xml:space="preserve">ДЭС Батагай 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Верхоянски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 xml:space="preserve"> 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>(НДВ) и отчет об инвентаризации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ДЭС Кыстатыам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Жиганский РЭС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 xml:space="preserve">ДЭС Бестях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Жиганский РЭС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rFonts w:eastAsia="Times New Roman" w:cs="Times New Roman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вспомогательный цех (гараж) п. Сангар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>Кобяйские 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iCs/>
                <w:color w:val="000000"/>
                <w:sz w:val="20"/>
                <w:szCs w:val="20"/>
                <w:shd w:fill="auto" w:val="clear"/>
                <w:lang w:val="ru-RU"/>
              </w:rPr>
              <w:t>ДЭС Колымское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Нижнеколымский РЭС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>ДЭС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shd w:fill="auto" w:val="clear"/>
                <w:lang w:val="ru-RU"/>
              </w:rPr>
              <w:t>Куйдусун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Оймяконский РЭС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ДЭС Дабан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 xml:space="preserve">Олекминский РЭС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ДЭС Чкалов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ПЦ-2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z w:val="20"/>
                <w:szCs w:val="20"/>
                <w:shd w:fill="auto" w:val="clear"/>
              </w:rPr>
              <w:t xml:space="preserve">Проект ПДВ </w:t>
            </w:r>
            <w:r>
              <w:rPr>
                <w:iCs/>
                <w:sz w:val="20"/>
                <w:szCs w:val="20"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ДЭС Белькачи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ПЦ-6</w:t>
            </w:r>
            <w:r>
              <w:rPr>
                <w:iCs/>
                <w:sz w:val="20"/>
                <w:szCs w:val="20"/>
                <w:shd w:fill="auto" w:val="clear"/>
              </w:rPr>
              <w:t xml:space="preserve"> </w:t>
            </w:r>
            <w:r>
              <w:rPr>
                <w:sz w:val="20"/>
                <w:szCs w:val="20"/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1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12"/>
                <w:szCs w:val="20"/>
              </w:rPr>
            </w:pPr>
            <w:r>
              <w:rPr>
                <w:sz w:val="12"/>
                <w:szCs w:val="20"/>
              </w:rPr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shd w:fill="auto" w:val="clear"/>
              </w:rPr>
              <w:t xml:space="preserve">Проект ПДВ </w:t>
            </w:r>
            <w:r>
              <w:rPr>
                <w:iCs/>
                <w:shd w:fill="auto" w:val="clear"/>
                <w:lang w:val="ru-RU"/>
              </w:rPr>
              <w:t xml:space="preserve">(НДВ) и отчет об инвентаризации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>МКУ Северное Сияние</w:t>
            </w:r>
            <w:r>
              <w:rPr>
                <w:iCs/>
                <w:sz w:val="20"/>
                <w:szCs w:val="28"/>
                <w:shd w:fill="auto" w:val="clear"/>
                <w:lang w:val="ru-RU"/>
              </w:rPr>
              <w:t xml:space="preserve"> </w:t>
            </w: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/>
              </w:rPr>
              <w:t xml:space="preserve">Янские ЭС </w:t>
            </w:r>
            <w:r>
              <w:rPr>
                <w:shd w:fill="auto" w:val="clear"/>
              </w:rPr>
              <w:t>(включая выгрузку из расчетных программ)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/>
      </w:r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2"/>
        <w:rPr>
          <w:sz w:val="24"/>
        </w:rPr>
      </w:pPr>
      <w:r>
        <w:rPr>
          <w:rFonts w:eastAsia="Calibri"/>
          <w:b/>
          <w:bCs/>
          <w:sz w:val="24"/>
        </w:rPr>
        <w:t>2.1.2.</w:t>
        <w:tab/>
      </w:r>
      <w:bookmarkStart w:id="29" w:name="_Toc161754204"/>
      <w:bookmarkStart w:id="30" w:name="_Toc156223534"/>
      <w:r>
        <w:rPr>
          <w:rFonts w:eastAsia="Calibri"/>
          <w:b/>
          <w:bCs/>
          <w:sz w:val="24"/>
        </w:rPr>
        <w:t>Требования к срокам оказания услуг</w:t>
      </w:r>
      <w:bookmarkEnd w:id="29"/>
      <w:bookmarkEnd w:id="30"/>
    </w:p>
    <w:p>
      <w:pPr>
        <w:pStyle w:val="Standard"/>
        <w:keepNext w:val="true"/>
        <w:numPr>
          <w:ilvl w:val="0"/>
          <w:numId w:val="0"/>
        </w:numPr>
        <w:ind w:left="0" w:hanging="0"/>
        <w:jc w:val="both"/>
        <w:outlineLvl w:val="0"/>
        <w:rPr/>
      </w:pPr>
      <w:bookmarkStart w:id="31" w:name="_Toc161754205"/>
      <w:bookmarkStart w:id="32" w:name="_Toc50125127_Копия_1"/>
      <w:bookmarkStart w:id="33" w:name="_Toc50125126"/>
      <w:bookmarkEnd w:id="33"/>
      <w:r>
        <w:rPr>
          <w:rFonts w:eastAsia="Calibri"/>
          <w:b/>
          <w:sz w:val="24"/>
        </w:rPr>
        <w:t xml:space="preserve">Таблица 3. </w:t>
      </w:r>
      <w:bookmarkStart w:id="34" w:name="_Hlk50465284_Копия_1"/>
      <w:r>
        <w:rPr>
          <w:rFonts w:eastAsia="Calibri"/>
          <w:b/>
          <w:sz w:val="24"/>
        </w:rPr>
        <w:t xml:space="preserve">Требования к срокам </w:t>
      </w:r>
      <w:bookmarkEnd w:id="32"/>
      <w:bookmarkEnd w:id="34"/>
      <w:r>
        <w:rPr>
          <w:rFonts w:eastAsia="Calibri"/>
          <w:b/>
          <w:sz w:val="24"/>
        </w:rPr>
        <w:t>оказания услуг</w:t>
      </w:r>
      <w:bookmarkEnd w:id="31"/>
    </w:p>
    <w:tbl>
      <w:tblPr>
        <w:tblW w:w="100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9"/>
        <w:gridCol w:w="3860"/>
        <w:gridCol w:w="2410"/>
        <w:gridCol w:w="3119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началу срока оказания услуг/ этапа услуг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137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bookmarkStart w:id="35" w:name="_Toc46743510"/>
            <w:r>
              <w:rPr>
                <w:b/>
                <w:sz w:val="20"/>
                <w:szCs w:val="20"/>
              </w:rPr>
              <w:t>4</w:t>
            </w:r>
            <w:bookmarkEnd w:id="35"/>
          </w:p>
        </w:tc>
      </w:tr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проектов ПДВ </w:t>
            </w:r>
            <w:r>
              <w:rPr>
                <w:sz w:val="20"/>
                <w:szCs w:val="20"/>
                <w:lang w:val="ru-RU"/>
              </w:rPr>
              <w:t xml:space="preserve">(НДВ) и отчетов об инвентаризации </w:t>
            </w:r>
            <w:r>
              <w:rPr>
                <w:sz w:val="20"/>
                <w:szCs w:val="20"/>
              </w:rPr>
              <w:t>для производственных объектов АО «Сахаэнерго»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В течение 90 календарных дней с момента предоставления исходных данных необходимых для разработки проектов</w:t>
            </w:r>
          </w:p>
        </w:tc>
      </w:tr>
      <w:tr>
        <w:trPr/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 проектов ПДВ</w:t>
            </w:r>
            <w:r>
              <w:rPr>
                <w:sz w:val="20"/>
                <w:szCs w:val="20"/>
                <w:lang w:val="ru-RU"/>
              </w:rPr>
              <w:t>(НДВ)</w:t>
            </w:r>
            <w:r>
              <w:rPr>
                <w:sz w:val="20"/>
                <w:szCs w:val="20"/>
              </w:rPr>
              <w:t xml:space="preserve"> в аккредитованной в установленном порядке организации на право проведения санитарно-эпидемиологических экспертиз проектной документации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санитарно-эпидемиологического заключения проектов санитарно-защитной зоны в Управлении Роспотребнадзора по РС (Я)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1134" w:right="851" w:gutter="0" w:header="680" w:top="1134" w:footer="720" w:bottom="777"/>
          <w:pgNumType w:fmt="decimal"/>
          <w:formProt w:val="false"/>
          <w:titlePg/>
          <w:textDirection w:val="lrTb"/>
          <w:docGrid w:type="default" w:linePitch="100" w:charSpace="8192"/>
        </w:sectPr>
      </w:pPr>
    </w:p>
    <w:p>
      <w:pPr>
        <w:pStyle w:val="Heading2"/>
        <w:numPr>
          <w:ilvl w:val="0"/>
          <w:numId w:val="0"/>
        </w:numPr>
        <w:ind w:left="0" w:right="0" w:hanging="0"/>
        <w:jc w:val="left"/>
        <w:rPr>
          <w:sz w:val="24"/>
        </w:rPr>
      </w:pPr>
      <w:bookmarkStart w:id="36" w:name="__RefHeading___Toc1767_82466936_Копия_1"/>
      <w:bookmarkStart w:id="37" w:name="_Toc124266678_Копия_1"/>
      <w:bookmarkStart w:id="38" w:name="_Hlk50465284_Копия_1_Копия_1"/>
      <w:bookmarkStart w:id="39" w:name="_Toc51339697_Копия_1"/>
      <w:bookmarkStart w:id="40" w:name="_Toc50125127_Копия_1_Копия_1"/>
      <w:bookmarkEnd w:id="36"/>
      <w:bookmarkEnd w:id="37"/>
      <w:bookmarkEnd w:id="38"/>
      <w:bookmarkEnd w:id="39"/>
      <w:bookmarkEnd w:id="40"/>
      <w:r>
        <w:rPr>
          <w:sz w:val="24"/>
        </w:rPr>
        <w:t>2.2.</w:t>
        <w:tab/>
      </w:r>
      <w:bookmarkStart w:id="41" w:name="_Toc51339698"/>
      <w:bookmarkStart w:id="42" w:name="_Toc124266679"/>
      <w:bookmarkStart w:id="43" w:name="_Toc46743511"/>
      <w:r>
        <w:rPr>
          <w:sz w:val="24"/>
        </w:rPr>
        <w:t xml:space="preserve">Требования к </w:t>
      </w:r>
      <w:bookmarkEnd w:id="43"/>
      <w:r>
        <w:rPr>
          <w:sz w:val="24"/>
        </w:rPr>
        <w:t>качеству услуг</w:t>
      </w:r>
      <w:bookmarkEnd w:id="42"/>
    </w:p>
    <w:p>
      <w:pPr>
        <w:pStyle w:val="Heading2"/>
        <w:numPr>
          <w:ilvl w:val="0"/>
          <w:numId w:val="0"/>
        </w:numPr>
        <w:ind w:left="0" w:right="0" w:hanging="0"/>
        <w:jc w:val="left"/>
        <w:rPr>
          <w:sz w:val="24"/>
        </w:rPr>
      </w:pPr>
      <w:bookmarkStart w:id="44" w:name="_Toc124266680"/>
      <w:r>
        <w:rPr>
          <w:sz w:val="24"/>
        </w:rPr>
        <w:t xml:space="preserve">Таблица 4. Требования к </w:t>
      </w:r>
      <w:bookmarkEnd w:id="41"/>
      <w:r>
        <w:rPr>
          <w:sz w:val="24"/>
        </w:rPr>
        <w:t>качеству услуг</w:t>
      </w:r>
      <w:bookmarkEnd w:id="44"/>
    </w:p>
    <w:p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</w:t>
      </w:r>
      <w:bookmarkStart w:id="45" w:name="_Toc124266690"/>
      <w:bookmarkEnd w:id="45"/>
      <w:r>
        <w:rPr>
          <w:b/>
          <w:bCs/>
          <w:sz w:val="24"/>
          <w:szCs w:val="24"/>
        </w:rPr>
        <w:t xml:space="preserve">: </w:t>
      </w:r>
      <w:r>
        <w:rPr>
          <w:rFonts w:eastAsia="Calibri"/>
          <w:b/>
          <w:bCs/>
          <w:kern w:val="2"/>
          <w:sz w:val="24"/>
          <w:szCs w:val="24"/>
          <w:lang w:val="ru-RU" w:eastAsia="en-US"/>
        </w:rPr>
        <w:t>Разработка нормативов предельно допустимых выбросов АО «Сахаэнерго»</w:t>
      </w:r>
    </w:p>
    <w:tbl>
      <w:tblPr>
        <w:tblW w:w="15180" w:type="dxa"/>
        <w:jc w:val="left"/>
        <w:tblInd w:w="-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0"/>
        <w:gridCol w:w="2415"/>
        <w:gridCol w:w="5670"/>
        <w:gridCol w:w="1979"/>
        <w:gridCol w:w="2701"/>
        <w:gridCol w:w="175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67" w:right="-10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Standard"/>
              <w:widowControl w:val="false"/>
              <w:ind w:left="-67" w:right="-10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left="-67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67" w:right="-108" w:hanging="0"/>
              <w:jc w:val="center"/>
              <w:rPr>
                <w:b/>
                <w:bCs/>
                <w:sz w:val="24"/>
                <w:szCs w:val="24"/>
              </w:rPr>
            </w:pPr>
            <w:bookmarkStart w:id="46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46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-67" w:right="-108" w:hanging="0"/>
              <w:jc w:val="center"/>
              <w:rPr>
                <w:b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/>
            </w:pPr>
            <w:r>
              <w:rPr/>
              <w:t>1.1.1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 течение 90 календарных дней с момента предоставления исходных данных необходимых для разработки проектов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bookmarkStart w:id="47" w:name="__RefHeading___Toc1773_82466936"/>
            <w:bookmarkStart w:id="48" w:name="__RefHeading___Toc1773_82466936"/>
            <w:bookmarkEnd w:id="48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/>
            </w:pPr>
            <w:r>
              <w:rPr/>
              <w:t>1.1.2.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Проект ПДВ (НДВ) должен содержать в своем составе и оформлен в соответствии с регламентом на составление проектных документов, в соответствии с п.1.6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/>
            </w:pPr>
            <w:r>
              <w:rPr/>
              <w:t>1.1.3.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Прохождение санитарно-эпидемиологической экспертизы проектной документации осуществляется за счет Исполнителя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/>
            </w:pPr>
            <w:r>
              <w:rPr/>
              <w:t>1.2.1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По результатам оказания услуги Исполнитель направляет в адрес Заказчика акт оказанных услуг и окончательный счет /счет-фактуру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keepNext w:val="true"/>
              <w:widowControl w:val="false"/>
              <w:spacing w:before="60" w:after="60"/>
              <w:ind w:left="-108" w:right="-108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09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-67" w:right="-1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8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67" w:right="-108" w:hanging="0"/>
              <w:jc w:val="center"/>
              <w:rPr/>
            </w:pPr>
            <w:r>
              <w:rPr/>
              <w:t>2.1.1.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0" w:after="0"/>
              <w:jc w:val="left"/>
              <w:rPr>
                <w:rFonts w:eastAsia="Times New Roman"/>
                <w:b w:val="false"/>
              </w:rPr>
            </w:pPr>
            <w:r>
              <w:rPr>
                <w:rFonts w:eastAsia="Times New Roman"/>
                <w:b w:val="false"/>
              </w:rPr>
            </w:r>
            <w:bookmarkStart w:id="49" w:name="__RefHeading___Toc1783_82466936"/>
            <w:bookmarkStart w:id="50" w:name="__RefHeading___Toc1783_82466936"/>
            <w:bookmarkEnd w:id="50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bookmarkStart w:id="51" w:name="__RefHeading___Toc1785_82466936"/>
            <w:bookmarkEnd w:id="51"/>
            <w:r>
              <w:rPr>
                <w:rFonts w:eastAsia="Times New Roman" w:cs="Times New Roman"/>
                <w:b w:val="false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Наличие программных продуктов и опыта работы, указанных в п. 1.5.3.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-108" w:right="-108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  <w:bookmarkStart w:id="52" w:name="__RefHeading___Toc1787_82466936"/>
            <w:bookmarkStart w:id="53" w:name="__RefHeading___Toc1787_82466936"/>
            <w:bookmarkEnd w:id="53"/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ind w:left="-108" w:right="-108" w:hanging="0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bookmarkStart w:id="54" w:name="__RefHeading___Toc1789_82466936"/>
            <w:bookmarkStart w:id="55" w:name="__RefHeading___Toc1789_82466936"/>
            <w:bookmarkEnd w:id="55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orient="landscape" w:w="16838" w:h="11906"/>
          <w:pgMar w:left="992" w:right="567" w:gutter="0" w:header="680" w:top="851" w:footer="720" w:bottom="851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lang w:val="ru-RU"/>
        </w:rPr>
      </w:pPr>
      <w:r>
        <w:rPr>
          <w:lang w:val="ru-RU"/>
        </w:rPr>
        <w:t xml:space="preserve">3. </w:t>
      </w:r>
      <w:bookmarkStart w:id="56" w:name="_Toc51339699"/>
      <w:bookmarkStart w:id="57" w:name="_Toc46743519"/>
      <w:bookmarkStart w:id="58" w:name="_Toc54643710"/>
      <w:bookmarkStart w:id="59" w:name="_Toc53395937"/>
      <w:bookmarkStart w:id="60" w:name="_Toc53393312"/>
      <w:r>
        <w:rPr>
          <w:lang w:val="ru-RU"/>
        </w:rPr>
        <w:t>Требования к документации по ценообразованию</w:t>
      </w:r>
      <w:bookmarkEnd w:id="59"/>
      <w:bookmarkEnd w:id="60"/>
      <w:r>
        <w:rPr>
          <w:lang w:val="ru-RU"/>
        </w:rPr>
        <w:t xml:space="preserve"> на этапе закупки</w:t>
      </w:r>
      <w:bookmarkEnd w:id="5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rPr>
          <w:i w:val="false"/>
          <w:i w:val="false"/>
          <w:iCs w:val="false"/>
          <w:caps/>
          <w:highlight w:val="none"/>
          <w:shd w:fill="auto" w:val="clear"/>
        </w:rPr>
      </w:pPr>
      <w:r>
        <w:rPr>
          <w:i w:val="false"/>
          <w:iCs w:val="false"/>
          <w:caps/>
          <w:shd w:fill="auto" w:val="clear"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lang w:val="ru-RU"/>
        </w:rPr>
      </w:pPr>
      <w:r>
        <w:rPr>
          <w:lang w:val="ru-RU"/>
        </w:rPr>
        <w:t xml:space="preserve">4. </w:t>
      </w:r>
      <w:bookmarkStart w:id="61" w:name="_Toc54643711"/>
      <w:bookmarkStart w:id="62" w:name="_Toc5428122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61"/>
      <w:bookmarkEnd w:id="6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numPr>
          <w:ilvl w:val="1"/>
          <w:numId w:val="10"/>
        </w:numPr>
        <w:suppressAutoHyphens w:val="true"/>
        <w:bidi w:val="0"/>
        <w:spacing w:before="0" w:after="120"/>
        <w:ind w:left="0" w:right="0" w:firstLine="57"/>
        <w:jc w:val="both"/>
        <w:textAlignment w:val="baseline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Normal"/>
        <w:widowControl w:val="false"/>
        <w:numPr>
          <w:ilvl w:val="1"/>
          <w:numId w:val="10"/>
        </w:numPr>
        <w:suppressAutoHyphens w:val="true"/>
        <w:bidi w:val="0"/>
        <w:ind w:left="0" w:right="0" w:firstLine="57"/>
        <w:jc w:val="both"/>
        <w:textAlignment w:val="baseline"/>
        <w:rPr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>Порядок формировани</w:t>
      </w:r>
      <w:r>
        <w:rPr>
          <w:i w:val="false"/>
          <w:iCs w:val="false"/>
          <w:sz w:val="24"/>
          <w:szCs w:val="24"/>
        </w:rPr>
        <w:t>я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 xml:space="preserve">на этапе исполнения договора 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>стоимост</w:t>
      </w:r>
      <w:r>
        <w:rPr>
          <w:i w:val="false"/>
          <w:iCs w:val="false"/>
          <w:sz w:val="24"/>
          <w:szCs w:val="24"/>
        </w:rPr>
        <w:t>и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>выполняемых услуг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 xml:space="preserve">по заявке заказчика </w:t>
      </w:r>
      <w:r>
        <w:rPr>
          <w:i w:val="false"/>
          <w:iCs w:val="false"/>
          <w:sz w:val="24"/>
          <w:szCs w:val="24"/>
        </w:rPr>
        <w:t>установлен в Проекте договора (Приложение № 2 к Документации о закупке)».</w:t>
      </w:r>
    </w:p>
    <w:p>
      <w:pPr>
        <w:pStyle w:val="Normal"/>
        <w:jc w:val="left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  <w:bookmarkEnd w:id="56"/>
      <w:bookmarkEnd w:id="5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Cs/>
          <w:sz w:val="24"/>
          <w:szCs w:val="24"/>
        </w:rPr>
      </w:pPr>
      <w:r>
        <w:rPr/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w="11906" w:h="16838"/>
      <w:pgMar w:left="1134" w:right="851" w:gutter="0" w:header="0" w:top="1134" w:footer="720" w:bottom="77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pStyle w:val="Heading2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3">
      <w:start w:val="1"/>
      <w:pStyle w:val="Heading4"/>
      <w:numFmt w:val="decimal"/>
      <w:lvlText w:val="%4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bullet"/>
      <w:lvlText w:val="–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Standard"/>
    <w:qFormat/>
    <w:pPr>
      <w:numPr>
        <w:ilvl w:val="0"/>
        <w:numId w:val="1"/>
      </w:numPr>
      <w:outlineLvl w:val="0"/>
    </w:pPr>
    <w:rPr>
      <w:szCs w:val="28"/>
    </w:rPr>
  </w:style>
  <w:style w:type="paragraph" w:styleId="Heading2">
    <w:name w:val="Heading 2"/>
    <w:basedOn w:val="Heading4"/>
    <w:next w:val="Standard"/>
    <w:qFormat/>
    <w:pPr>
      <w:numPr>
        <w:ilvl w:val="1"/>
        <w:numId w:val="1"/>
      </w:numPr>
      <w:outlineLvl w:val="1"/>
    </w:pPr>
    <w:rPr/>
  </w:style>
  <w:style w:type="paragraph" w:styleId="Heading3">
    <w:name w:val="Heading 3"/>
    <w:basedOn w:val="Standard"/>
    <w:next w:val="Standard"/>
    <w:autoRedefine/>
    <w:qFormat/>
    <w:rsid w:val="006956f0"/>
    <w:pPr>
      <w:keepNext w:val="true"/>
      <w:widowControl/>
      <w:numPr>
        <w:ilvl w:val="2"/>
        <w:numId w:val="8"/>
      </w:numPr>
      <w:suppressAutoHyphens w:val="true"/>
      <w:bidi w:val="0"/>
      <w:spacing w:before="120" w:after="60"/>
      <w:ind w:left="0" w:right="0" w:hanging="0"/>
      <w:jc w:val="center"/>
      <w:textAlignment w:val="baseline"/>
      <w:outlineLvl w:val="2"/>
    </w:pPr>
    <w:rPr>
      <w:rFonts w:eastAsia="Calibri"/>
      <w:b/>
      <w:szCs w:val="24"/>
    </w:rPr>
  </w:style>
  <w:style w:type="paragraph" w:styleId="Heading4">
    <w:name w:val="Heading 4"/>
    <w:basedOn w:val="Heading3"/>
    <w:next w:val="Standard"/>
    <w:qFormat/>
    <w:pPr>
      <w:numPr>
        <w:ilvl w:val="3"/>
        <w:numId w:val="1"/>
      </w:numPr>
      <w:outlineLvl w:val="3"/>
    </w:pPr>
    <w:rPr>
      <w:bCs/>
    </w:rPr>
  </w:style>
  <w:style w:type="paragraph" w:styleId="Heading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qFormat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qFormat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qFormat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 w:eastAsia="Cambria" w:cs="Cambria"/>
      <w:i/>
      <w:iCs/>
      <w:color w:val="243F60"/>
    </w:rPr>
  </w:style>
  <w:style w:type="character" w:styleId="7" w:customStyle="1">
    <w:name w:val="Заголовок 7 Знак"/>
    <w:qFormat/>
    <w:rPr>
      <w:rFonts w:ascii="Cambria" w:hAnsi="Cambria" w:eastAsia="Cambria" w:cs="Cambria"/>
      <w:i/>
      <w:iCs/>
      <w:color w:val="404040"/>
    </w:rPr>
  </w:style>
  <w:style w:type="character" w:styleId="8" w:customStyle="1">
    <w:name w:val="Заголовок 8 Знак"/>
    <w:qFormat/>
    <w:rPr>
      <w:rFonts w:ascii="Cambria" w:hAnsi="Cambria" w:eastAsia="Cambria" w:cs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eastAsia="Arial" w:cs="Arial"/>
      <w:sz w:val="22"/>
      <w:szCs w:val="22"/>
    </w:rPr>
  </w:style>
  <w:style w:type="character" w:styleId="Style1" w:customStyle="1">
    <w:name w:val="Название Знак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qFormat/>
    <w:rPr>
      <w:rFonts w:ascii="Calibri" w:hAnsi="Calibri" w:eastAsia="Calibri" w:cs="Calibri"/>
      <w:i/>
      <w:iCs/>
      <w:color w:val="000000"/>
    </w:rPr>
  </w:style>
  <w:style w:type="character" w:styleId="Style3" w:customStyle="1">
    <w:name w:val="Выделенная цитата Знак"/>
    <w:qFormat/>
    <w:rPr>
      <w:rFonts w:ascii="Calibri" w:hAnsi="Calibri" w:eastAsia="Calibri" w:cs="Calibri"/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qFormat/>
    <w:rPr>
      <w:rFonts w:eastAsia="Calibri"/>
      <w:sz w:val="24"/>
      <w:szCs w:val="24"/>
    </w:rPr>
  </w:style>
  <w:style w:type="character" w:styleId="11" w:customStyle="1">
    <w:name w:val="Подпункт Знак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FontStyle15" w:customStyle="1">
    <w:name w:val="Font Style15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4" w:customStyle="1">
    <w:name w:val="Текст Знак"/>
    <w:basedOn w:val="DefaultParagraphFont"/>
    <w:qFormat/>
    <w:rPr>
      <w:rFonts w:ascii="Calibri" w:hAnsi="Calibri" w:eastAsia="Calibri" w:cs="Calibri"/>
      <w:sz w:val="22"/>
      <w:szCs w:val="21"/>
      <w:lang w:eastAsia="en-US"/>
    </w:rPr>
  </w:style>
  <w:style w:type="character" w:styleId="210" w:customStyle="1">
    <w:name w:val="Основной текст (2) + 10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Style15" w:customStyle="1">
    <w:name w:val="Ссылка указателя"/>
    <w:qFormat/>
    <w:rPr/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Style17">
    <w:name w:val="Основной шрифт абзаца"/>
    <w:qFormat/>
    <w:rPr/>
  </w:style>
  <w:style w:type="paragraph" w:styleId="Style18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 w:customStyle="1">
    <w:name w:val="Указатель"/>
    <w:basedOn w:val="Style18"/>
    <w:qFormat/>
    <w:pPr/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20" w:customStyle="1">
    <w:name w:val="Название раздела инструкции"/>
    <w:basedOn w:val="Standard"/>
    <w:autoRedefine/>
    <w:qFormat/>
    <w:pPr>
      <w:jc w:val="center"/>
    </w:pPr>
    <w:rPr>
      <w:b/>
    </w:rPr>
  </w:style>
  <w:style w:type="paragraph" w:styleId="Style21" w:customStyle="1">
    <w:name w:val="Раздел положения"/>
    <w:basedOn w:val="Standard"/>
    <w:autoRedefine/>
    <w:qFormat/>
    <w:p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Standard"/>
    <w:autoRedefine/>
    <w:qFormat/>
    <w:pPr>
      <w:numPr>
        <w:ilvl w:val="0"/>
        <w:numId w:val="2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13" w:customStyle="1">
    <w:name w:val="Шапка 1"/>
    <w:basedOn w:val="Standard"/>
    <w:qFormat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Standard"/>
    <w:qFormat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Standard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Standard"/>
    <w:qFormat/>
    <w:pPr>
      <w:jc w:val="center"/>
    </w:pPr>
    <w:rPr>
      <w:szCs w:val="20"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extbodyindent" w:customStyle="1">
    <w:name w:val="Text body indent"/>
    <w:basedOn w:val="Standard"/>
    <w:qFormat/>
    <w:pPr>
      <w:ind w:left="360" w:hanging="0"/>
    </w:pPr>
    <w:rPr>
      <w:sz w:val="24"/>
      <w:szCs w:val="24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qFormat/>
    <w:pPr>
      <w:spacing w:lineRule="auto" w:line="480" w:before="0" w:after="120"/>
    </w:pPr>
    <w:rPr/>
  </w:style>
  <w:style w:type="paragraph" w:styleId="BlockText">
    <w:name w:val="Block Text"/>
    <w:basedOn w:val="Standard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Standard"/>
    <w:qFormat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Standard"/>
    <w:qFormat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Contents1" w:customStyle="1">
    <w:name w:val="Contents 1"/>
    <w:basedOn w:val="Standard"/>
    <w:next w:val="Standard"/>
    <w:autoRedefine/>
    <w:qFormat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Contents3" w:customStyle="1">
    <w:name w:val="Contents 3"/>
    <w:basedOn w:val="Standard"/>
    <w:next w:val="Standard"/>
    <w:autoRedefine/>
    <w:qFormat/>
    <w:rsid w:val="006956f0"/>
    <w:pPr>
      <w:tabs>
        <w:tab w:val="clear" w:pos="708"/>
        <w:tab w:val="right" w:pos="10201" w:leader="dot"/>
      </w:tabs>
      <w:ind w:left="567" w:hanging="0"/>
    </w:pPr>
    <w:rPr>
      <w:rFonts w:cs="Calibri"/>
      <w:sz w:val="20"/>
      <w:szCs w:val="20"/>
    </w:rPr>
  </w:style>
  <w:style w:type="paragraph" w:styleId="Style25" w:customStyle="1">
    <w:name w:val="Раздел регламента"/>
    <w:basedOn w:val="Standard"/>
    <w:qFormat/>
    <w:pPr/>
    <w:rPr/>
  </w:style>
  <w:style w:type="paragraph" w:styleId="Style26" w:customStyle="1">
    <w:name w:val="Приложение к регламенту"/>
    <w:basedOn w:val="Standard"/>
    <w:qFormat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rsid w:val="006956f0"/>
    <w:pPr>
      <w:tabs>
        <w:tab w:val="clear" w:pos="708"/>
        <w:tab w:val="right" w:pos="9921" w:leader="dot"/>
      </w:tabs>
      <w:spacing w:before="240" w:after="0"/>
      <w:ind w:left="567" w:hanging="0"/>
    </w:pPr>
    <w:rPr>
      <w:rFonts w:cs="Calibri"/>
      <w:bCs/>
      <w:sz w:val="20"/>
      <w:szCs w:val="20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 w:customStyle="1">
    <w:name w:val="Обычный (веб)1"/>
    <w:basedOn w:val="Standard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9" w:customStyle="1">
    <w:name w:val="Contents 9"/>
    <w:basedOn w:val="Standard"/>
    <w:next w:val="Standard"/>
    <w:autoRedefine/>
    <w:qFormat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pPr>
      <w:tabs>
        <w:tab w:val="clear" w:pos="708"/>
        <w:tab w:val="left" w:pos="1680" w:leader="none"/>
        <w:tab w:val="right" w:pos="10471" w:leader="none"/>
      </w:tabs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Standard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Standard"/>
    <w:next w:val="Standard"/>
    <w:qFormat/>
    <w:pPr>
      <w:ind w:left="1066" w:firstLine="709"/>
    </w:pPr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Standard"/>
    <w:uiPriority w:val="34"/>
    <w:qFormat/>
    <w:pPr>
      <w:ind w:left="720" w:hanging="0"/>
    </w:pPr>
    <w:rPr>
      <w:rFonts w:eastAsia="Calibri"/>
      <w:sz w:val="24"/>
      <w:szCs w:val="24"/>
    </w:rPr>
  </w:style>
  <w:style w:type="paragraph" w:styleId="Quote">
    <w:name w:val="Quote"/>
    <w:basedOn w:val="Standard"/>
    <w:next w:val="Standard"/>
    <w:qFormat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qFormat/>
    <w:pPr>
      <w:suppressLineNumbers/>
    </w:pPr>
    <w:rPr>
      <w:b/>
      <w:bCs/>
      <w:sz w:val="32"/>
      <w:szCs w:val="32"/>
    </w:rPr>
  </w:style>
  <w:style w:type="paragraph" w:styleId="ContentsHeading" w:customStyle="1">
    <w:name w:val="Contents Heading"/>
    <w:basedOn w:val="Heading1"/>
    <w:next w:val="Standard"/>
    <w:qFormat/>
    <w:pPr>
      <w:keepLines/>
      <w:numPr>
        <w:ilvl w:val="0"/>
        <w:numId w:val="0"/>
      </w:numPr>
      <w:spacing w:before="480" w:after="0"/>
      <w:ind w:left="0" w:right="0" w:hanging="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Standard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Standard"/>
    <w:qFormat/>
    <w:pPr>
      <w:jc w:val="both"/>
    </w:pPr>
    <w:rPr>
      <w:rFonts w:ascii="Garamond" w:hAnsi="Garamond" w:eastAsia="Garamond" w:cs="Garamond"/>
      <w:sz w:val="24"/>
      <w:szCs w:val="20"/>
    </w:rPr>
  </w:style>
  <w:style w:type="paragraph" w:styleId="ListBullet4" w:customStyle="1">
    <w:name w:val="List Bullet 4"/>
    <w:basedOn w:val="Standard"/>
    <w:qFormat/>
    <w:p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26" w:customStyle="1">
    <w:name w:val="Нумерованный список ур2"/>
    <w:basedOn w:val="Standard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29" w:customStyle="1">
    <w:name w:val="Пункт"/>
    <w:basedOn w:val="Standard"/>
    <w:qFormat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6" w:customStyle="1">
    <w:name w:val="Абзац списка1"/>
    <w:basedOn w:val="Standard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30" w:customStyle="1">
    <w:name w:val="Таблица"/>
    <w:basedOn w:val="Standard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numPr>
        <w:ilvl w:val="0"/>
        <w:numId w:val="4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1134" w:leader="none"/>
      </w:tabs>
      <w:spacing w:before="480" w:after="240"/>
      <w:ind w:left="567" w:right="0" w:hanging="567"/>
      <w:jc w:val="both"/>
    </w:pPr>
    <w:rPr>
      <w:rFonts w:ascii="Arial" w:hAnsi="Arial" w:eastAsia="Times New Roman" w:cs="Arial"/>
      <w:bCs/>
      <w:kern w:val="2"/>
      <w:sz w:val="40"/>
      <w:szCs w:val="20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28" w:customStyle="1">
    <w:name w:val="Заголовок 2 КВВ"/>
    <w:basedOn w:val="Standard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35" w:customStyle="1">
    <w:name w:val="Таблица текст"/>
    <w:basedOn w:val="Standard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Standard"/>
    <w:qFormat/>
    <w:pPr>
      <w:spacing w:before="280" w:after="280"/>
    </w:pPr>
    <w:rPr>
      <w:sz w:val="24"/>
      <w:szCs w:val="24"/>
    </w:rPr>
  </w:style>
  <w:style w:type="paragraph" w:styleId="18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Style36" w:customStyle="1">
    <w:name w:val="Текст"/>
    <w:basedOn w:val="Standard"/>
    <w:qFormat/>
    <w:pPr/>
    <w:rPr>
      <w:rFonts w:ascii="Calibri" w:hAnsi="Calibri" w:eastAsia="Calibri" w:cs="Calibri"/>
      <w:sz w:val="22"/>
      <w:szCs w:val="21"/>
      <w:lang w:eastAsia="en-US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Standard"/>
    <w:qFormat/>
    <w:pPr>
      <w:spacing w:before="280" w:after="280"/>
    </w:pPr>
    <w:rPr>
      <w:sz w:val="24"/>
      <w:szCs w:val="24"/>
    </w:rPr>
  </w:style>
  <w:style w:type="paragraph" w:styleId="Style37" w:customStyle="1">
    <w:name w:val="Содержимое врезки"/>
    <w:basedOn w:val="Standard"/>
    <w:qFormat/>
    <w:pPr/>
    <w:rPr/>
  </w:style>
  <w:style w:type="paragraph" w:styleId="Style38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pPr>
      <w:jc w:val="center"/>
    </w:pPr>
    <w:rPr>
      <w:b/>
      <w:bCs/>
    </w:rPr>
  </w:style>
  <w:style w:type="paragraph" w:styleId="TOC1">
    <w:name w:val="TOC 1"/>
    <w:basedOn w:val="Style19"/>
    <w:pPr/>
    <w:rPr/>
  </w:style>
  <w:style w:type="paragraph" w:styleId="TOC2">
    <w:name w:val="TOC 2"/>
    <w:basedOn w:val="Style19"/>
    <w:pPr/>
    <w:rPr/>
  </w:style>
  <w:style w:type="paragraph" w:styleId="TOC3">
    <w:name w:val="TOC 3"/>
    <w:basedOn w:val="Style19"/>
    <w:pPr/>
    <w:rPr/>
  </w:style>
  <w:style w:type="paragraph" w:styleId="TOC4">
    <w:name w:val="TOC 4"/>
    <w:basedOn w:val="Style19"/>
    <w:pPr/>
    <w:rPr/>
  </w:style>
  <w:style w:type="paragraph" w:styleId="Style40">
    <w:name w:val="Абзац списка"/>
    <w:basedOn w:val="Normal"/>
    <w:qFormat/>
    <w:pPr>
      <w:tabs>
        <w:tab w:val="clear" w:pos="708"/>
      </w:tabs>
      <w:suppressAutoHyphens w:val="true"/>
      <w:ind w:left="720" w:right="0" w:hanging="0"/>
    </w:pPr>
    <w:rPr>
      <w:rFonts w:eastAsia="Calibr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19" w:customStyle="1">
    <w:name w:val="Стиль1"/>
    <w:qFormat/>
  </w:style>
  <w:style w:type="numbering" w:styleId="29" w:customStyle="1">
    <w:name w:val="Стиль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3"/>
    <w:uiPriority w:val="39"/>
    <w:rsid w:val="00c06a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Application>AlterOffice/2025.3.0.0$Linux_X86_64 LibreOffice_project/4ba31b6a4271509a884f95065d0a726e9cb2bdbb</Application>
  <AppVersion>15.0000</AppVersion>
  <Pages>9</Pages>
  <Words>1541</Words>
  <Characters>9896</Characters>
  <CharactersWithSpaces>11092</CharactersWithSpaces>
  <Paragraphs>339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2022-12-27T08:28:00Z</dcterms:created>
  <dc:creator>Быстров Олег Геннадьевич</dc:creator>
  <dc:description/>
  <dc:language>ru-RU</dc:language>
  <cp:lastModifiedBy>atlasovatt@sed.local</cp:lastModifiedBy>
  <cp:lastPrinted>2024-07-18T15:46:00Z</cp:lastPrinted>
  <dcterms:modified xsi:type="dcterms:W3CDTF">2026-09-01T10:53:57Z</dcterms:modified>
  <cp:revision>24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