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УТВЕРЖДАЮ:</w:t>
      </w:r>
    </w:p>
    <w:p>
      <w:pPr>
        <w:pStyle w:val="Style33"/>
        <w:spacing w:lineRule="auto" w:line="276"/>
        <w:ind w:left="5670" w:right="0" w:hanging="0"/>
        <w:jc w:val="right"/>
        <w:rPr>
          <w:sz w:val="24"/>
          <w:szCs w:val="24"/>
        </w:rPr>
      </w:pPr>
      <w:r>
        <w:rPr>
          <w:sz w:val="24"/>
          <w:szCs w:val="24"/>
        </w:rPr>
        <w:t>Главный инженер</w:t>
      </w:r>
    </w:p>
    <w:p>
      <w:pPr>
        <w:pStyle w:val="Style33"/>
        <w:spacing w:lineRule="auto" w:line="276"/>
        <w:ind w:left="5670" w:right="0" w:hanging="0"/>
        <w:jc w:val="right"/>
        <w:rPr>
          <w:sz w:val="24"/>
          <w:szCs w:val="24"/>
        </w:rPr>
      </w:pPr>
      <w:r>
        <w:rPr>
          <w:sz w:val="24"/>
          <w:szCs w:val="24"/>
        </w:rPr>
        <w:t>АО «Сахаэнерго»</w:t>
      </w:r>
    </w:p>
    <w:p>
      <w:pPr>
        <w:pStyle w:val="Style33"/>
        <w:spacing w:lineRule="auto" w:line="276"/>
        <w:ind w:left="5670" w:right="0" w:hanging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 Н.М. Копырин</w:t>
      </w:r>
    </w:p>
    <w:p>
      <w:pPr>
        <w:pStyle w:val="Style33"/>
        <w:spacing w:lineRule="auto" w:line="276"/>
        <w:ind w:left="5670" w:right="0" w:hanging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«____»__________________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>
        <w:rPr>
          <w:rFonts w:eastAsia="Calibri"/>
          <w:b/>
          <w:sz w:val="24"/>
          <w:szCs w:val="24"/>
        </w:rPr>
        <w:t>Разработка проектов санитарно-защитных зон для объектов АО Сахаэнерго</w:t>
      </w:r>
      <w:r>
        <w:rPr>
          <w:rFonts w:eastAsia="Calibri"/>
          <w:b/>
          <w:i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</w:rPr>
          </w:pPr>
          <w:r>
            <w:fldChar w:fldCharType="begin"/>
          </w:r>
          <w:r>
            <w:rPr>
              <w:rStyle w:val="Style14"/>
              <w:vanish w:val="false"/>
            </w:rPr>
            <w:instrText xml:space="preserve"> TOC \o "1-4" \h</w:instrText>
          </w:r>
          <w:r>
            <w:rPr>
              <w:rStyle w:val="Style14"/>
              <w:vanish w:val="false"/>
            </w:rPr>
            <w:fldChar w:fldCharType="separate"/>
          </w:r>
          <w:hyperlink w:anchor="_Toc54643694">
            <w:r>
              <w:rPr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sz w:val="24"/>
              <w:szCs w:val="24"/>
            </w:rPr>
          </w:pPr>
          <w:hyperlink w:anchor="_Toc54643695">
            <w:r>
              <w:rPr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sz w:val="24"/>
              <w:szCs w:val="24"/>
            </w:rPr>
          </w:pPr>
          <w:hyperlink w:anchor="_Toc54643696">
            <w:r>
              <w:rPr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sz w:val="24"/>
              <w:szCs w:val="24"/>
            </w:rPr>
          </w:pPr>
          <w:hyperlink w:anchor="_Toc54643697">
            <w:r>
              <w:rPr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Цель оказания услуг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sz w:val="24"/>
              <w:szCs w:val="24"/>
            </w:rPr>
          </w:pPr>
          <w:hyperlink w:anchor="_Toc54643698">
            <w:r>
              <w:rPr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Таблица 1. Перечень объектов заказчика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sz w:val="24"/>
              <w:szCs w:val="24"/>
            </w:rPr>
          </w:pPr>
          <w:hyperlink w:anchor="_Toc54643700">
            <w:r>
              <w:rPr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/>
              <w:sz w:val="24"/>
              <w:szCs w:val="24"/>
            </w:rPr>
          </w:pPr>
          <w:hyperlink w:anchor="_Toc54643701">
            <w:r>
              <w:rPr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>Иные требования и сведения общего характера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6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</w:rPr>
          </w:pPr>
          <w:hyperlink w:anchor="_Toc54643702">
            <w:r>
              <w:rPr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6</w:t>
          </w:r>
        </w:p>
        <w:p>
          <w:pPr>
            <w:pStyle w:val="TOC4"/>
            <w:rPr>
              <w:rFonts w:ascii="Calibri" w:hAnsi="Calibri" w:eastAsia="新細明體" w:cs="Arial"/>
              <w:sz w:val="24"/>
              <w:szCs w:val="24"/>
            </w:rPr>
          </w:pPr>
          <w:hyperlink w:anchor="_Toc54643703">
            <w:r>
              <w:rPr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6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4"/>
              <w:szCs w:val="24"/>
            </w:rPr>
          </w:pPr>
          <w:hyperlink w:anchor="_Toc54643704">
            <w:r>
              <w:rPr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</w:rPr>
          </w:pPr>
          <w:hyperlink w:anchor="_Toc54643705">
            <w:r>
              <w:rPr>
                <w:rStyle w:val="Style14"/>
                <w:vanish w:val="false"/>
              </w:rPr>
              <w:t>Таблица 2. Перечень и объем оказываемых услуг</w:t>
              <w:tab/>
            </w:r>
          </w:hyperlink>
          <w:r>
            <w:rPr/>
            <w:t>6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4"/>
              <w:szCs w:val="24"/>
            </w:rPr>
          </w:pPr>
          <w:hyperlink w:anchor="_Toc54643706">
            <w:r>
              <w:rPr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7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</w:rPr>
          </w:pPr>
          <w:hyperlink w:anchor="_Toc54643707">
            <w:r>
              <w:rPr>
                <w:rStyle w:val="Style14"/>
                <w:vanish w:val="false"/>
              </w:rPr>
              <w:t>Таблица 3. Требования к срокам оказания услуг</w:t>
              <w:tab/>
            </w:r>
          </w:hyperlink>
          <w:r>
            <w:rPr/>
            <w:t>7</w:t>
          </w:r>
        </w:p>
        <w:p>
          <w:pPr>
            <w:pStyle w:val="TOC4"/>
            <w:rPr>
              <w:rFonts w:ascii="Calibri" w:hAnsi="Calibri" w:eastAsia="新細明體" w:cs="Arial"/>
              <w:sz w:val="24"/>
              <w:szCs w:val="24"/>
            </w:rPr>
          </w:pPr>
          <w:hyperlink w:anchor="_Toc54643708">
            <w:r>
              <w:rPr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8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</w:rPr>
          </w:pPr>
          <w:hyperlink w:anchor="_Toc54643709">
            <w:r>
              <w:rPr>
                <w:rStyle w:val="Style14"/>
                <w:vanish w:val="false"/>
              </w:rPr>
              <w:t>Таблица 4. Требования к качеству услуг</w:t>
              <w:tab/>
            </w:r>
          </w:hyperlink>
          <w:r>
            <w:rPr/>
            <w:t>8</w:t>
          </w:r>
          <w:r>
            <w:rPr/>
            <w:fldChar w:fldCharType="end"/>
          </w:r>
        </w:p>
      </w:sdtContent>
    </w:sdt>
    <w:p>
      <w:pPr>
        <w:pStyle w:val="Heading4"/>
        <w:numPr>
          <w:ilvl w:val="0"/>
          <w:numId w:val="0"/>
        </w:numPr>
        <w:ind w:left="0" w:right="0" w:hanging="0"/>
        <w:rPr/>
      </w:pPr>
      <w:r>
        <w:rPr/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Normal"/>
        <w:keepNext w:val="true"/>
        <w:keepLines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b/>
          <w:i/>
          <w:i/>
          <w:sz w:val="24"/>
          <w:szCs w:val="24"/>
        </w:rPr>
      </w:pPr>
      <w:bookmarkStart w:id="0" w:name="_Toc54643694"/>
      <w:r>
        <w:rPr>
          <w:b/>
        </w:rPr>
        <w:t>1. Общие сведения</w:t>
      </w:r>
      <w:bookmarkEnd w:id="0"/>
    </w:p>
    <w:p>
      <w:pPr>
        <w:pStyle w:val="Heading4"/>
        <w:numPr>
          <w:ilvl w:val="1"/>
          <w:numId w:val="3"/>
        </w:numPr>
        <w:ind w:left="0" w:right="0" w:hanging="0"/>
        <w:rPr>
          <w:b w:val="false"/>
          <w:i w:val="false"/>
          <w:i w:val="false"/>
          <w:shd w:fill="auto" w:val="clear"/>
        </w:rPr>
      </w:pPr>
      <w:bookmarkStart w:id="1" w:name="_Toc54643695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8487"/>
      </w:tblGrid>
      <w:tr>
        <w:trPr>
          <w:cantSplit w:val="true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b w:val="false"/>
                <w:bCs/>
                <w:i w:val="false"/>
                <w:i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ТТ</w:t>
            </w:r>
          </w:p>
        </w:tc>
        <w:tc>
          <w:tcPr>
            <w:tcW w:w="8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 w:eastAsia="Times New Roman" w:cs="Times New Roman"/>
                <w:b w:val="false"/>
                <w:bCs/>
                <w:i w:val="false"/>
                <w:i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Технические требования </w:t>
            </w:r>
          </w:p>
        </w:tc>
      </w:tr>
      <w:tr>
        <w:trPr>
          <w:cantSplit w:val="true"/>
        </w:trPr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СЗЗ</w:t>
            </w:r>
          </w:p>
        </w:tc>
        <w:tc>
          <w:tcPr>
            <w:tcW w:w="8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Санитарно-защитная зона</w:t>
            </w:r>
          </w:p>
        </w:tc>
      </w:tr>
      <w:tr>
        <w:trPr>
          <w:cantSplit w:val="true"/>
        </w:trPr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ГСМ</w:t>
            </w:r>
          </w:p>
        </w:tc>
        <w:tc>
          <w:tcPr>
            <w:tcW w:w="8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Горюче-смазочные материалы</w:t>
            </w:r>
          </w:p>
        </w:tc>
      </w:tr>
      <w:tr>
        <w:trPr>
          <w:cantSplit w:val="true"/>
        </w:trPr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ДЭС</w:t>
            </w:r>
          </w:p>
        </w:tc>
        <w:tc>
          <w:tcPr>
            <w:tcW w:w="8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  <w:t>Дизельная электростанция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0" w:right="0" w:hanging="0"/>
        <w:rPr>
          <w:b/>
        </w:rPr>
      </w:pPr>
      <w:bookmarkStart w:id="3" w:name="_Toc54643696"/>
      <w:bookmarkStart w:id="4" w:name="_Toc46743506"/>
      <w:r>
        <w:rPr>
          <w:b/>
        </w:rPr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«</w:t>
      </w:r>
      <w:r>
        <w:rPr>
          <w:b/>
          <w:sz w:val="24"/>
          <w:szCs w:val="24"/>
        </w:rPr>
        <w:t>Разработка проектов санитарно-защитных зон для объектов АО Сахаэнерго</w:t>
      </w:r>
      <w:r>
        <w:rPr>
          <w:rFonts w:eastAsia="Calibri"/>
          <w:i/>
          <w:sz w:val="24"/>
          <w:szCs w:val="24"/>
          <w:lang w:eastAsia="x-none"/>
        </w:rPr>
        <w:t>»</w:t>
        <w:br/>
      </w:r>
      <w:bookmarkStart w:id="5" w:name="_Toc54643697"/>
      <w:bookmarkStart w:id="6" w:name="_Toc46743507"/>
      <w:r>
        <w:rPr>
          <w:b/>
          <w:sz w:val="24"/>
          <w:szCs w:val="24"/>
        </w:rPr>
        <w:t xml:space="preserve">Цель </w:t>
      </w:r>
      <w:bookmarkEnd w:id="6"/>
      <w:r>
        <w:rPr>
          <w:b/>
          <w:sz w:val="24"/>
          <w:szCs w:val="24"/>
        </w:rPr>
        <w:t xml:space="preserve">оказания услуг </w:t>
      </w:r>
      <w:bookmarkEnd w:id="5"/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240"/>
        <w:jc w:val="both"/>
        <w:rPr>
          <w:sz w:val="24"/>
          <w:szCs w:val="24"/>
        </w:rPr>
      </w:pPr>
      <w:bookmarkStart w:id="7" w:name="_Toc54643698"/>
      <w:r>
        <w:rPr>
          <w:sz w:val="24"/>
          <w:szCs w:val="24"/>
        </w:rPr>
        <w:t>Разработка проектов санитарно-защитных зон для объектов АО «Сахаэнерго» в целях соблюдения природоохранных требований действующих нормативно-правовых актов РФ.</w:t>
      </w:r>
    </w:p>
    <w:p>
      <w:pPr>
        <w:pStyle w:val="Heading4"/>
        <w:keepNext w:val="true"/>
        <w:widowControl/>
        <w:numPr>
          <w:ilvl w:val="1"/>
          <w:numId w:val="3"/>
        </w:numPr>
        <w:suppressAutoHyphens w:val="true"/>
        <w:overflowPunct w:val="false"/>
        <w:bidi w:val="0"/>
        <w:spacing w:before="0" w:after="0"/>
        <w:ind w:left="0" w:right="0" w:hanging="0"/>
        <w:jc w:val="both"/>
        <w:rPr>
          <w:sz w:val="24"/>
          <w:szCs w:val="24"/>
        </w:rPr>
      </w:pPr>
      <w:bookmarkStart w:id="8" w:name="_Toc46743508"/>
      <w:r>
        <w:rPr>
          <w:b/>
          <w:sz w:val="24"/>
          <w:szCs w:val="24"/>
        </w:rPr>
        <w:t>Существующее положение</w:t>
      </w:r>
      <w:bookmarkEnd w:id="8"/>
      <w:r>
        <w:rPr>
          <w:b/>
          <w:sz w:val="24"/>
          <w:szCs w:val="24"/>
          <w:lang w:val="ru-RU"/>
        </w:rPr>
        <w:t xml:space="preserve"> </w:t>
      </w:r>
      <w:bookmarkEnd w:id="7"/>
    </w:p>
    <w:p>
      <w:pPr>
        <w:pStyle w:val="Normal"/>
        <w:tabs>
          <w:tab w:val="clear" w:pos="708"/>
          <w:tab w:val="left" w:pos="0" w:leader="none"/>
        </w:tabs>
        <w:spacing w:lineRule="auto" w:line="276"/>
        <w:rPr>
          <w:b/>
          <w:sz w:val="24"/>
          <w:szCs w:val="24"/>
        </w:rPr>
      </w:pPr>
      <w:bookmarkStart w:id="9" w:name="_Toc54643699"/>
      <w:r>
        <w:rPr>
          <w:b/>
          <w:sz w:val="24"/>
          <w:szCs w:val="24"/>
        </w:rPr>
        <w:t>Таблица 1. Перечень объектов заказчика</w:t>
      </w:r>
      <w:bookmarkEnd w:id="9"/>
    </w:p>
    <w:tbl>
      <w:tblPr>
        <w:tblW w:w="99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674"/>
        <w:gridCol w:w="2734"/>
        <w:gridCol w:w="3017"/>
        <w:gridCol w:w="3493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п/п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Количество источников выбросов 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1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2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3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4</w:t>
            </w:r>
          </w:p>
        </w:tc>
      </w:tr>
      <w:tr>
        <w:trPr>
          <w:trHeight w:val="39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1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Абый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Республика Саха (Якутия), Абыйский район, с. Абый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5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7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Наличие проекта НДВ от 2025 года</w:t>
            </w:r>
          </w:p>
        </w:tc>
      </w:tr>
      <w:tr>
        <w:trPr>
          <w:trHeight w:val="31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2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Кенг-Кюель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Республика Саха (Якутия), Абыйский район,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с. Кенг-Кюель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5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7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Сварочный пост — 1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Наличие проекта НДВ от 2025 года</w:t>
            </w:r>
          </w:p>
        </w:tc>
      </w:tr>
      <w:tr>
        <w:trPr>
          <w:trHeight w:val="31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3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Кубергане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Республика Саха (Якутия), Абыйский район, с. Куберганя, ул. Хабарова, 49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5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9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Наличие проекта НДВ от 2025 года</w:t>
            </w:r>
          </w:p>
        </w:tc>
      </w:tr>
      <w:tr>
        <w:trPr>
          <w:trHeight w:val="31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4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Суторуоха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Республика Саха (Якутия), Абыйский район,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с. Сутуруоха, ул Центральная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4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4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Наличие проекта НДВ от 2025 года</w:t>
            </w:r>
          </w:p>
        </w:tc>
      </w:tr>
      <w:tr>
        <w:trPr>
          <w:trHeight w:val="31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5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Сыаганнаах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en-US" w:bidi="ru-RU"/>
              </w:rPr>
              <w:t xml:space="preserve">Республика Саха (Якутия), Абыйский район,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en-US" w:bidi="ar-SA"/>
              </w:rPr>
              <w:t>с. Сыаганнах, ул. Ильяхова Е.Н. 66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5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8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Металлообработка — 1 шт;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Наличие проекта НДВ от 2026 года</w:t>
            </w:r>
          </w:p>
        </w:tc>
      </w:tr>
      <w:tr>
        <w:trPr>
          <w:trHeight w:val="31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6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Намы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Республика Саха (Якутия), Булунский район, с. Намы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5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7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Наличие проекта НДВ от 2025 года</w:t>
            </w:r>
          </w:p>
        </w:tc>
      </w:tr>
      <w:tr>
        <w:trPr>
          <w:trHeight w:val="31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7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Тополиное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Республика Саха (Якутия), Томпонский район, с. Тополиное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8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6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Наличие проекта НДВ от 2026 года</w:t>
            </w:r>
          </w:p>
        </w:tc>
      </w:tr>
      <w:tr>
        <w:trPr>
          <w:trHeight w:val="21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8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Иннях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Fb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Республика Саха (Якутия),  Олекминский район, с. Иннях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3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2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Наличие проекта НДВ от 2026 года</w:t>
            </w:r>
          </w:p>
        </w:tc>
      </w:tr>
      <w:tr>
        <w:trPr>
          <w:trHeight w:val="31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9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Чкалов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Fb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Республика Саха (Якутия), Хангаласский улус, с. Чкалов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4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3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Наличие проекта НДВ от 2020 года</w:t>
            </w:r>
          </w:p>
        </w:tc>
      </w:tr>
      <w:tr>
        <w:trPr>
          <w:trHeight w:val="31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10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с. Березовка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Республика Саха (Якутия),  Среднеколымский район, с. Березовка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6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8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Сварочный пост — 1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Наличие проекта НДВ от 2023 года</w:t>
            </w:r>
          </w:p>
        </w:tc>
      </w:tr>
      <w:tr>
        <w:trPr>
          <w:trHeight w:val="276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overflowPunct w:val="false"/>
              <w:bidi w:val="0"/>
              <w:spacing w:before="0" w:after="0"/>
              <w:ind w:left="1417" w:right="0" w:hanging="1474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11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ДЭС п. Усть -Янск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Республика Саха (Якутия), Усть-Янский улус, п. Усть-Янск, ул. Мира, 1/1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Выхлопные трубы ДЭС — 5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Резервуары склада ГСМ — 6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Сварочный пост — 1 шт.;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Внутренний проезд — 1 шт.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eastAsia="ru-RU" w:bidi="ar-SA"/>
              </w:rPr>
              <w:t>Наличие проекта НДВ от 2026 года</w:t>
            </w:r>
          </w:p>
        </w:tc>
      </w:tr>
    </w:tbl>
    <w:p>
      <w:pPr>
        <w:pStyle w:val="Heading4"/>
        <w:numPr>
          <w:ilvl w:val="1"/>
          <w:numId w:val="3"/>
        </w:numPr>
        <w:ind w:left="0" w:right="0" w:hanging="0"/>
        <w:rPr/>
      </w:pPr>
      <w:bookmarkStart w:id="10" w:name="_Toc46743509"/>
      <w:bookmarkStart w:id="11" w:name="_Hlk49857604"/>
      <w:bookmarkStart w:id="12" w:name="_Toc54643700"/>
      <w:r>
        <w:rPr>
          <w:lang w:val="ru-RU"/>
        </w:rPr>
        <w:t xml:space="preserve"> </w:t>
      </w:r>
      <w:r>
        <w:rPr>
          <w:b/>
        </w:rPr>
        <w:t xml:space="preserve">Информация в отношении исполнения договора, </w:t>
      </w:r>
      <w:bookmarkStart w:id="13" w:name="_Hlk46492347"/>
      <w:r>
        <w:rPr>
          <w:b/>
        </w:rPr>
        <w:t xml:space="preserve">которая должна быть учтена при подготовке заявки </w:t>
      </w:r>
      <w:bookmarkEnd w:id="13"/>
      <w:r>
        <w:rPr>
          <w:b/>
        </w:rPr>
        <w:t>(в том числе перечень ресурсов, услуг и документов, предоставляемых</w:t>
      </w:r>
      <w:r>
        <w:rPr/>
        <w:t xml:space="preserve">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  <w:bookmarkEnd w:id="11"/>
      <w:r>
        <w:rPr>
          <w:lang w:val="ru-RU"/>
        </w:rPr>
        <w:t xml:space="preserve"> </w:t>
      </w:r>
      <w:bookmarkEnd w:id="12"/>
    </w:p>
    <w:p>
      <w:pPr>
        <w:pStyle w:val="Heading3"/>
        <w:numPr>
          <w:ilvl w:val="2"/>
          <w:numId w:val="3"/>
        </w:numPr>
        <w:ind w:left="0" w:right="0" w:hanging="0"/>
        <w:rPr/>
      </w:pPr>
      <w:bookmarkStart w:id="14" w:name="_Toc54643701"/>
      <w:bookmarkStart w:id="15" w:name="_Toc50125126"/>
      <w:bookmarkEnd w:id="15"/>
      <w:r>
        <w:rPr/>
        <w:t>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вопросов, связанных с оказанием Услуг.</w:t>
      </w:r>
    </w:p>
    <w:p>
      <w:pPr>
        <w:pStyle w:val="Heading3"/>
        <w:numPr>
          <w:ilvl w:val="2"/>
          <w:numId w:val="3"/>
        </w:numPr>
        <w:ind w:left="0" w:right="0" w:hanging="0"/>
        <w:rPr/>
      </w:pPr>
      <w:r>
        <w:rPr/>
        <w:t>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информацию, необходимые Исполнителю для выполнения обязательств по Договору.</w:t>
      </w:r>
    </w:p>
    <w:p>
      <w:pPr>
        <w:pStyle w:val="Heading3"/>
        <w:numPr>
          <w:ilvl w:val="2"/>
          <w:numId w:val="3"/>
        </w:numPr>
        <w:ind w:left="0" w:right="0" w:hanging="0"/>
        <w:rPr/>
      </w:pPr>
      <w:r>
        <w:rPr/>
        <w:t>Наличие специализированных программ</w:t>
      </w:r>
      <w:r>
        <w:rPr>
          <w:lang w:val="ru-RU"/>
        </w:rPr>
        <w:t>ных продуктов для проведения расчетов</w:t>
      </w:r>
      <w:r>
        <w:rPr/>
        <w:t>: АТП-РНВ-Котельная-ДЭС-Сварка-ПДВ-УПРЗА-Шум-АЗС-Дизель-Среднесуточные-Эколог</w:t>
      </w:r>
      <w:r>
        <w:rPr>
          <w:lang w:val="ru-RU"/>
        </w:rPr>
        <w:t xml:space="preserve"> и т.д.</w:t>
      </w:r>
      <w:r>
        <w:rPr/>
        <w:t xml:space="preserve">, а также опыт работы </w:t>
      </w:r>
      <w:r>
        <w:rPr>
          <w:lang w:val="ru-RU"/>
        </w:rPr>
        <w:t xml:space="preserve">с ними </w:t>
      </w:r>
      <w:r>
        <w:rPr/>
        <w:t>(с приложением подтверждающих документов).</w:t>
      </w:r>
    </w:p>
    <w:p>
      <w:pPr>
        <w:pStyle w:val="Normal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</w:r>
    </w:p>
    <w:p>
      <w:pPr>
        <w:pStyle w:val="Heading4"/>
        <w:numPr>
          <w:ilvl w:val="0"/>
          <w:numId w:val="0"/>
        </w:numPr>
        <w:ind w:left="0" w:right="0" w:hanging="0"/>
        <w:rPr>
          <w:b w:val="false"/>
          <w:i w:val="false"/>
          <w:i w:val="false"/>
          <w:shd w:fill="auto" w:val="clear"/>
        </w:rPr>
      </w:pPr>
      <w:r>
        <w:rPr>
          <w:b/>
          <w:lang w:val="ru-RU"/>
        </w:rPr>
        <w:t xml:space="preserve">1.6. </w:t>
      </w:r>
      <w:r>
        <w:rPr>
          <w:b/>
        </w:rPr>
        <w:t>Иные требования и сведения общего характера</w:t>
      </w:r>
      <w:r>
        <w:rPr>
          <w:b/>
          <w:lang w:val="ru-RU"/>
        </w:rPr>
        <w:t xml:space="preserve"> </w:t>
      </w:r>
      <w:bookmarkEnd w:id="14"/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1.6.1. Установление санитарно-защитных зон включает в себя:</w:t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Проекты санитарно-защитных зон для объектов АО «Сахаэнерго» указанных в Таблице 1 ТТ «Перечень объектов заказчика» – 1</w:t>
      </w:r>
      <w:r>
        <w:rPr/>
        <w:t>1</w:t>
      </w:r>
      <w:r>
        <w:rPr/>
        <w:t xml:space="preserve"> томов.</w:t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1.6.2. Проект СЗЗ должен содержать в своем составе и оформлен в соответствии с регламентом на составление проектных документов:</w:t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-   Сведения о размерах СЗЗ;</w:t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- Сведения о границах СЗЗ (наименования административно-территориальных единиц и графическое описание местоположения границ такой зоны, перечень координат характерных точек этих границ в системе координат, используемой для ведения ЕГРН, в том числе в электронном виде);</w:t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- обоснование размеров и границ СЗЗ в соответствии с требованиями законодательства в области обеспечения благополучия населения, в том числе с учетом расчетов рассеивания выбросов вредных (загрязняющих) веществ в атмосферном воздухе, физического воздействия на атмосферный воздух, оценки риска для здоровья человека (при необходимости);</w:t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- перечень ограничений использования земельных участков, расположенных в границах СЗЗ;</w:t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- обоснование возможности использования земельных участков в границах СЗЗ, в том числе с учетом расчетов рассеивания загрязнения атмосферного воздуха, физического воздействия на атмосферный воздух и оценки риска для здоровья человека (в случае, если в проекте не предусмотрено установление таких ограничений использования земельных участков).</w:t>
      </w:r>
    </w:p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  <w:t>1.6.3. В стоимость услуг включаются расходы по проведению санитарно-эпидемиологической экспертизы, оформление фоновой справки о загрязнении атмосферного воздуха.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"/>
        </w:numPr>
        <w:ind w:left="0" w:right="0" w:hanging="0"/>
        <w:rPr>
          <w:b/>
        </w:rPr>
      </w:pPr>
      <w:bookmarkStart w:id="16" w:name="_Toc51339693"/>
      <w:bookmarkStart w:id="17" w:name="_Toc54643702"/>
      <w:r>
        <w:rPr>
          <w:b/>
          <w:lang w:val="ru-RU"/>
        </w:rPr>
        <w:t>Требования</w:t>
      </w:r>
      <w:r>
        <w:rPr>
          <w:b/>
        </w:rPr>
        <w:t xml:space="preserve"> к продукции</w:t>
      </w:r>
      <w:bookmarkEnd w:id="16"/>
      <w:bookmarkEnd w:id="17"/>
    </w:p>
    <w:p>
      <w:pPr>
        <w:pStyle w:val="ListParagraph"/>
        <w:numPr>
          <w:ilvl w:val="0"/>
          <w:numId w:val="9"/>
        </w:numPr>
        <w:ind w:left="0" w:right="0" w:hanging="0"/>
        <w:jc w:val="both"/>
        <w:rPr>
          <w:lang w:val="x-none" w:eastAsia="x-none"/>
        </w:rPr>
      </w:pPr>
      <w:r>
        <w:rPr>
          <w:lang w:val="x-none" w:eastAsia="x-none"/>
        </w:rPr>
        <w:t>Федеральный закон от 10.01.2002 г. N7-ФЗ «Об охране окружающей среды»;</w:t>
      </w:r>
    </w:p>
    <w:p>
      <w:pPr>
        <w:pStyle w:val="ListParagraph"/>
        <w:numPr>
          <w:ilvl w:val="0"/>
          <w:numId w:val="9"/>
        </w:numPr>
        <w:ind w:left="0" w:right="0" w:hanging="0"/>
        <w:jc w:val="both"/>
        <w:rPr>
          <w:lang w:val="x-none" w:eastAsia="x-none"/>
        </w:rPr>
      </w:pPr>
      <w:r>
        <w:rPr>
          <w:lang w:val="x-none" w:eastAsia="x-none"/>
        </w:rPr>
        <w:t>Федеральный закон от 04.05.1999 г. N96-ФЗ «Об охране атмосферного воздуха»;</w:t>
      </w:r>
    </w:p>
    <w:p>
      <w:pPr>
        <w:pStyle w:val="ListParagraph"/>
        <w:numPr>
          <w:ilvl w:val="0"/>
          <w:numId w:val="9"/>
        </w:numPr>
        <w:ind w:left="0" w:right="0" w:hanging="0"/>
        <w:jc w:val="both"/>
        <w:rPr>
          <w:lang w:val="x-none" w:eastAsia="x-none"/>
        </w:rPr>
      </w:pPr>
      <w:r>
        <w:rPr>
          <w:lang w:val="x-none" w:eastAsia="x-none"/>
        </w:rPr>
        <w:t>Федеральный закон от 03.08.2018 г.№ 342-ФЗ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>
      <w:pPr>
        <w:pStyle w:val="ListParagraph"/>
        <w:numPr>
          <w:ilvl w:val="0"/>
          <w:numId w:val="9"/>
        </w:numPr>
        <w:ind w:left="0" w:right="0" w:hanging="0"/>
        <w:jc w:val="both"/>
        <w:rPr>
          <w:lang w:val="x-none" w:eastAsia="x-none"/>
        </w:rPr>
      </w:pPr>
      <w:r>
        <w:rPr>
          <w:lang w:val="x-none" w:eastAsia="x-none"/>
        </w:rPr>
        <w:t>Постановление Правительства РФ от 03.03.2018 г. N222 «Об утверждении Правил установления санитарно-защитных зон и использования земельных участков, расположенных в границах санитарно-защитных зон»;</w:t>
      </w:r>
    </w:p>
    <w:p>
      <w:pPr>
        <w:pStyle w:val="ListParagraph"/>
        <w:numPr>
          <w:ilvl w:val="0"/>
          <w:numId w:val="9"/>
        </w:numPr>
        <w:ind w:left="0" w:right="0" w:hanging="0"/>
        <w:jc w:val="both"/>
        <w:rPr>
          <w:lang w:val="x-none" w:eastAsia="x-none"/>
        </w:rPr>
      </w:pPr>
      <w:r>
        <w:rPr>
          <w:lang w:val="x-none" w:eastAsia="x-none"/>
        </w:rPr>
        <w:t>Приказ Минприроды от 06.06.2017 г. N273 «Об утверждении методов расчетов рассеивания выбросов вредных (загрязняющих) веществ в атмосферном воздухе».</w:t>
      </w:r>
    </w:p>
    <w:p>
      <w:pPr>
        <w:pStyle w:val="Heading4"/>
        <w:numPr>
          <w:ilvl w:val="1"/>
          <w:numId w:val="3"/>
        </w:numPr>
        <w:ind w:left="0" w:right="0" w:hanging="0"/>
        <w:rPr>
          <w:b/>
        </w:rPr>
      </w:pPr>
      <w:bookmarkStart w:id="18" w:name="_Toc54643703"/>
      <w:r>
        <w:rPr>
          <w:b/>
        </w:rPr>
        <w:t xml:space="preserve">Требования к объемам и срокам </w:t>
      </w:r>
      <w:r>
        <w:rPr>
          <w:b/>
          <w:lang w:val="ru-RU"/>
        </w:rPr>
        <w:t>оказания услуг</w:t>
      </w:r>
      <w:bookmarkEnd w:id="18"/>
    </w:p>
    <w:p>
      <w:pPr>
        <w:pStyle w:val="Heading3"/>
        <w:numPr>
          <w:ilvl w:val="2"/>
          <w:numId w:val="3"/>
        </w:numPr>
        <w:ind w:left="0" w:right="0" w:hanging="0"/>
        <w:rPr>
          <w:sz w:val="24"/>
          <w:szCs w:val="24"/>
        </w:rPr>
      </w:pPr>
      <w:bookmarkStart w:id="19" w:name="_Toc54643704"/>
      <w:r>
        <w:rPr>
          <w:b/>
          <w:sz w:val="24"/>
          <w:szCs w:val="24"/>
        </w:rPr>
        <w:t>Требования к перечню и объему услуг</w:t>
      </w:r>
      <w:bookmarkEnd w:id="19"/>
    </w:p>
    <w:p>
      <w:pPr>
        <w:pStyle w:val="Heading1"/>
        <w:numPr>
          <w:ilvl w:val="0"/>
          <w:numId w:val="0"/>
        </w:numPr>
        <w:ind w:left="0" w:right="0" w:hanging="0"/>
        <w:rPr>
          <w:sz w:val="24"/>
          <w:szCs w:val="24"/>
        </w:rPr>
      </w:pPr>
      <w:bookmarkStart w:id="20" w:name="_Toc51339695"/>
      <w:bookmarkStart w:id="21" w:name="_Toc54643705"/>
      <w:r>
        <w:rPr>
          <w:b/>
          <w:sz w:val="24"/>
          <w:szCs w:val="24"/>
        </w:rPr>
        <w:t xml:space="preserve">Таблица 2. Перечень </w:t>
      </w:r>
      <w:bookmarkEnd w:id="20"/>
      <w:r>
        <w:rPr>
          <w:b/>
          <w:sz w:val="24"/>
          <w:szCs w:val="24"/>
        </w:rPr>
        <w:t>и объем оказываемых услуг</w:t>
      </w:r>
      <w:bookmarkEnd w:id="21"/>
    </w:p>
    <w:tbl>
      <w:tblPr>
        <w:tblW w:w="10207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365"/>
        <w:gridCol w:w="1134"/>
        <w:gridCol w:w="776"/>
        <w:gridCol w:w="4365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97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Проект СЗЗ ДЭС с. Абый </w:t>
            </w:r>
            <w:r>
              <w:rPr>
                <w:iCs/>
                <w:sz w:val="20"/>
                <w:szCs w:val="20"/>
              </w:rPr>
              <w:t>Белогор</w:t>
            </w:r>
            <w:r>
              <w:rPr>
                <w:iCs/>
                <w:sz w:val="20"/>
                <w:szCs w:val="20"/>
              </w:rPr>
              <w:t xml:space="preserve">ского РЭС </w:t>
            </w:r>
            <w:r>
              <w:rPr>
                <w:sz w:val="20"/>
                <w:szCs w:val="20"/>
              </w:rPr>
              <w:t>(включая выгрузку из расчетных программ)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Запрос выписки из ЕГРН с координатами (об объекте недвижимости) запрашивается самостоятельно за счет Исполнителя;</w:t>
            </w:r>
          </w:p>
          <w:p>
            <w:pPr>
              <w:pStyle w:val="ListParagraph"/>
              <w:widowControl w:val="false"/>
              <w:suppressAutoHyphens w:val="true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-Выполнение кадастровых работ, которые должны содержать наименование административно-территориальных единиц и графическое описание местоположения границ такой зоны, перечень координат характерных точек ее границ в системе координат, используемой для ведения ЕГРН (описание местоположения границ/сведения о границах санитарно-защитной зоны) (на электронном носителе xml-файл, PDF);</w:t>
            </w:r>
          </w:p>
          <w:p>
            <w:pPr>
              <w:pStyle w:val="ListParagraph"/>
              <w:widowControl w:val="false"/>
              <w:suppressAutoHyphens w:val="true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-Один экземпляр в электронном виде, в формате разработки и формате PDF (CD-диск), акт об оказании услуг;</w:t>
            </w:r>
          </w:p>
          <w:p>
            <w:pPr>
              <w:pStyle w:val="ListParagraph"/>
              <w:widowControl w:val="false"/>
              <w:suppressAutoHyphens w:val="true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-Оригиналы положительных экспертных заключений и санитарно-эпидемиологические заключения по каждой производственной территории в отдельности;</w:t>
            </w:r>
          </w:p>
          <w:p>
            <w:pPr>
              <w:pStyle w:val="ListParagraph"/>
              <w:widowControl w:val="false"/>
              <w:suppressAutoHyphens w:val="true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 связи с возможными изменениями законодательства РФ в ходе исполнения договорных обязательств, возможно внесение корректировок в техническое требование в части оказываемых услуг без увеличения контрактной стоимости;</w:t>
            </w:r>
          </w:p>
          <w:p>
            <w:pPr>
              <w:pStyle w:val="ListParagraph"/>
              <w:widowControl w:val="false"/>
              <w:suppressAutoHyphens w:val="true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-Разработанная природоохранная документация предварительно согласовывается с Заказчиком.</w:t>
            </w:r>
          </w:p>
        </w:tc>
      </w:tr>
      <w:tr>
        <w:trPr>
          <w:trHeight w:val="979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Проект СЗЗ ДЭС с. Кенг-Кюель </w:t>
            </w:r>
            <w:r>
              <w:rPr>
                <w:iCs/>
                <w:sz w:val="20"/>
                <w:szCs w:val="20"/>
              </w:rPr>
              <w:t>Белогор</w:t>
            </w:r>
            <w:r>
              <w:rPr>
                <w:iCs/>
                <w:sz w:val="20"/>
                <w:szCs w:val="20"/>
              </w:rPr>
              <w:t xml:space="preserve">ского РЭС </w:t>
            </w:r>
            <w:r>
              <w:rPr>
                <w:sz w:val="20"/>
                <w:szCs w:val="20"/>
              </w:rPr>
              <w:t>(включая выгрузку из расчетных программ)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7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Проект СЗЗ ДЭС с. Кубергане </w:t>
            </w:r>
            <w:r>
              <w:rPr>
                <w:iCs/>
                <w:sz w:val="20"/>
                <w:szCs w:val="20"/>
              </w:rPr>
              <w:t>Белогор</w:t>
            </w:r>
            <w:r>
              <w:rPr>
                <w:iCs/>
                <w:sz w:val="20"/>
                <w:szCs w:val="20"/>
              </w:rPr>
              <w:t xml:space="preserve">ского РЭС </w:t>
            </w:r>
            <w:r>
              <w:rPr>
                <w:sz w:val="20"/>
                <w:szCs w:val="20"/>
              </w:rPr>
              <w:t>(включая выгрузку из расчетных программ)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Проект СЗЗ ДЭС с. Суторуоха </w:t>
            </w:r>
            <w:r>
              <w:rPr>
                <w:iCs/>
                <w:sz w:val="20"/>
                <w:szCs w:val="20"/>
              </w:rPr>
              <w:t>Белогор</w:t>
            </w:r>
            <w:r>
              <w:rPr>
                <w:iCs/>
                <w:sz w:val="20"/>
                <w:szCs w:val="20"/>
              </w:rPr>
              <w:t xml:space="preserve">ского РЭС </w:t>
            </w:r>
            <w:r>
              <w:rPr>
                <w:sz w:val="20"/>
                <w:szCs w:val="20"/>
              </w:rPr>
              <w:t>(включая выгрузку из расчетных программ)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9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Проект СЗЗ ДЭС с. Сыаганнаах </w:t>
            </w:r>
            <w:r>
              <w:rPr>
                <w:iCs/>
                <w:sz w:val="20"/>
                <w:szCs w:val="20"/>
              </w:rPr>
              <w:t>Белогор</w:t>
            </w:r>
            <w:r>
              <w:rPr>
                <w:iCs/>
                <w:sz w:val="20"/>
                <w:szCs w:val="20"/>
              </w:rPr>
              <w:t xml:space="preserve">ского РЭС </w:t>
            </w:r>
            <w:r>
              <w:rPr>
                <w:sz w:val="20"/>
                <w:szCs w:val="20"/>
              </w:rPr>
              <w:t>(включая выгрузку из расчетных программ)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7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Проект СЗЗ ДЭС с. Намы </w:t>
            </w:r>
            <w:r>
              <w:rPr>
                <w:iCs/>
                <w:sz w:val="20"/>
                <w:szCs w:val="20"/>
              </w:rPr>
              <w:t>Булунских ЭС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(включая выгрузку из расчетных программ)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8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Проект СЗЗ ДЭС с. Тополиное </w:t>
            </w:r>
            <w:r>
              <w:rPr>
                <w:iCs/>
                <w:sz w:val="20"/>
                <w:szCs w:val="20"/>
              </w:rPr>
              <w:t>Оймяконского РЭС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(включая выгрузку из расчетных программ)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9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Проект СЗЗ ДЭС с. Иннях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Олекминского РЭС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(включая выгрузку из расчетных программ)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91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Проект СЗЗ ДЭС с. Чкалов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ПЦ-2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(включая выгрузку из расчетных программ)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91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Проект СЗЗ ДЭС с. Березовка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Среднеколымского РЭС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(включая выгрузку из расчетных программ)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91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Проект СЗЗ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ДЭС п. Усть -Янск Янских ЭС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(включая выгрузку из расчетных программ)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3"/>
        <w:numPr>
          <w:ilvl w:val="0"/>
          <w:numId w:val="0"/>
        </w:numPr>
        <w:ind w:left="0" w:right="0" w:hanging="0"/>
        <w:rPr/>
      </w:pPr>
      <w:r>
        <w:rPr/>
      </w:r>
    </w:p>
    <w:p>
      <w:pPr>
        <w:pStyle w:val="Heading3"/>
        <w:numPr>
          <w:ilvl w:val="2"/>
          <w:numId w:val="3"/>
        </w:numPr>
        <w:ind w:left="0" w:right="0" w:hanging="0"/>
        <w:rPr>
          <w:b/>
        </w:rPr>
      </w:pPr>
      <w:r>
        <w:rPr>
          <w:b/>
        </w:rPr>
        <w:t>Требования к срокам оказания услуг</w:t>
      </w:r>
    </w:p>
    <w:p>
      <w:pPr>
        <w:pStyle w:val="Heading1"/>
        <w:numPr>
          <w:ilvl w:val="0"/>
          <w:numId w:val="0"/>
        </w:numPr>
        <w:ind w:left="0" w:right="0" w:hanging="0"/>
        <w:rPr>
          <w:b/>
          <w:lang w:val="ru-RU"/>
        </w:rPr>
      </w:pPr>
      <w:bookmarkStart w:id="22" w:name="_Toc54643707"/>
      <w:bookmarkStart w:id="23" w:name="_Toc51339697"/>
      <w:bookmarkStart w:id="24" w:name="_Toc50125127"/>
      <w:bookmarkStart w:id="25" w:name="_Toc50125126_Копия_1"/>
      <w:bookmarkEnd w:id="25"/>
      <w:r>
        <w:rPr>
          <w:b/>
        </w:rPr>
        <w:t xml:space="preserve">Таблица </w:t>
      </w:r>
      <w:r>
        <w:rPr>
          <w:b/>
          <w:lang w:val="ru-RU"/>
        </w:rPr>
        <w:t>3</w:t>
      </w:r>
      <w:r>
        <w:rPr>
          <w:b/>
        </w:rPr>
        <w:t xml:space="preserve">. </w:t>
      </w:r>
      <w:bookmarkStart w:id="26" w:name="_Hlk50465284"/>
      <w:r>
        <w:rPr>
          <w:b/>
        </w:rPr>
        <w:t xml:space="preserve">Требования </w:t>
      </w:r>
      <w:r>
        <w:rPr>
          <w:b/>
          <w:lang w:val="ru-RU"/>
        </w:rPr>
        <w:t>к</w:t>
      </w:r>
      <w:r>
        <w:rPr>
          <w:b/>
        </w:rPr>
        <w:t xml:space="preserve"> срокам </w:t>
      </w:r>
      <w:bookmarkEnd w:id="23"/>
      <w:bookmarkEnd w:id="24"/>
      <w:bookmarkEnd w:id="26"/>
      <w:r>
        <w:rPr>
          <w:b/>
          <w:lang w:val="ru-RU"/>
        </w:rPr>
        <w:t>оказания услуг</w:t>
      </w:r>
      <w:bookmarkEnd w:id="22"/>
    </w:p>
    <w:tbl>
      <w:tblPr>
        <w:tblW w:w="100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3974"/>
        <w:gridCol w:w="2410"/>
        <w:gridCol w:w="3119"/>
      </w:tblGrid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началу срока оказания услуг/ этапа услуг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ind w:left="0" w:right="57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ind w:left="0" w:right="57" w:hanging="0"/>
              <w:jc w:val="center"/>
              <w:rPr>
                <w:sz w:val="20"/>
                <w:szCs w:val="20"/>
              </w:rPr>
            </w:pPr>
            <w:bookmarkStart w:id="27" w:name="_Toc46743510"/>
            <w:r>
              <w:rPr>
                <w:b/>
                <w:sz w:val="20"/>
                <w:szCs w:val="20"/>
              </w:rPr>
              <w:t>4</w:t>
            </w:r>
            <w:bookmarkEnd w:id="27"/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проектов санитарно-защитной зоны для производственных объектов АО «Сахаэнерго»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календарных дней с момента получения Исполнителем исходных данных от Заказчика на разработку одного тома</w:t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 проектов санитарно-защитной зоны в аккредитованной в установленном порядке организации на право проведения санитарно-эпидемиологических экспертиз проектной документации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санитарно-эпидемиологического заключения проектов санитарно-защитной зоны в Управлении Роспотребнадзора по РС (Я)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0" w:right="0" w:hanging="0"/>
        <w:rPr>
          <w:b/>
        </w:rPr>
      </w:pPr>
      <w:bookmarkStart w:id="28" w:name="_Toc51339698"/>
      <w:bookmarkStart w:id="29" w:name="_Toc46743511"/>
      <w:bookmarkStart w:id="30" w:name="_Toc54643708"/>
      <w:bookmarkStart w:id="31" w:name="_Toc54643709"/>
      <w:r>
        <w:rPr>
          <w:b/>
        </w:rPr>
        <w:t xml:space="preserve">Требования к </w:t>
      </w:r>
      <w:bookmarkEnd w:id="29"/>
      <w:r>
        <w:rPr>
          <w:b/>
          <w:lang w:val="ru-RU"/>
        </w:rPr>
        <w:t>качеству услуг</w:t>
      </w:r>
      <w:bookmarkEnd w:id="30"/>
    </w:p>
    <w:p>
      <w:pPr>
        <w:pStyle w:val="Heading1"/>
        <w:numPr>
          <w:ilvl w:val="0"/>
          <w:numId w:val="0"/>
        </w:numPr>
        <w:ind w:left="0" w:right="0" w:hanging="0"/>
        <w:rPr>
          <w:sz w:val="24"/>
          <w:szCs w:val="24"/>
        </w:rPr>
      </w:pPr>
      <w:r>
        <w:rPr>
          <w:b/>
          <w:sz w:val="24"/>
          <w:szCs w:val="24"/>
        </w:rPr>
        <w:t>Таблица </w:t>
      </w:r>
      <w:r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</w:rPr>
        <w:t xml:space="preserve">. Требования к </w:t>
      </w:r>
      <w:bookmarkEnd w:id="28"/>
      <w:r>
        <w:rPr>
          <w:b/>
          <w:sz w:val="24"/>
          <w:szCs w:val="24"/>
          <w:lang w:val="ru-RU"/>
        </w:rPr>
        <w:t>качеству услуг</w:t>
      </w:r>
      <w:bookmarkEnd w:id="31"/>
      <w:r>
        <w:rPr>
          <w:b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1-7 Таблицы 2): </w:t>
      </w:r>
      <w:r>
        <w:rPr>
          <w:b/>
          <w:sz w:val="24"/>
          <w:szCs w:val="24"/>
        </w:rPr>
        <w:t xml:space="preserve">Разработка проектов санитарно-защитных зон для объектов 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АО Сахаэнерго (1 часть)</w:t>
      </w:r>
    </w:p>
    <w:tbl>
      <w:tblPr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7"/>
        <w:gridCol w:w="3403"/>
        <w:gridCol w:w="2691"/>
        <w:gridCol w:w="2928"/>
        <w:gridCol w:w="2744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</w:t>
            </w:r>
            <w:bookmarkStart w:id="32" w:name="_GoBack"/>
            <w:bookmarkEnd w:id="32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анием/ указание характеристик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90 календарных дней с момента получения Исполнителем исходных данных от Заказчика на разработку одного тома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Проект СЗЗ должен содержать в своем составе и оформлен в соответствии с регламентом на составление проектных документов, указанных в п. 1.6.2.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Запрос выписки из ЕГРН с координатами (об объекте недвижимости),прохождение санитарно-эпидемиологической экспертизы проектной документации осуществляется за счет Исполнителя.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результатам оказания услуги Исполнитель направляет в адрес Заказчика акт оказанных услуг и окончательный счет /счет-фактуру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Наличие программных продуктов и опыта работы, указанных в п. 1.5.3.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85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>Зам. Главного инженера - начальник ПТУ</w:t>
        <w:tab/>
      </w:r>
      <w:r>
        <w:rPr>
          <w:sz w:val="24"/>
          <w:szCs w:val="24"/>
        </w:rPr>
        <w:t>Брызгалов Р.Н.</w:t>
      </w:r>
    </w:p>
    <w:p>
      <w:pPr>
        <w:pStyle w:val="Normal"/>
        <w:tabs>
          <w:tab w:val="clear" w:pos="708"/>
          <w:tab w:val="center" w:pos="7639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2"/>
          <w:szCs w:val="24"/>
        </w:rPr>
      </w:pPr>
      <w:r>
        <w:rPr>
          <w:sz w:val="22"/>
          <w:szCs w:val="24"/>
        </w:rPr>
        <w:t>Исп. Атласова Т.Т.</w:t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rPr>
          <w:i/>
          <w:i/>
          <w:iCs/>
          <w:sz w:val="24"/>
          <w:szCs w:val="24"/>
          <w:shd w:fill="FFFF99" w:val="clear"/>
        </w:rPr>
      </w:pPr>
      <w:r>
        <w:rPr>
          <w:sz w:val="22"/>
          <w:szCs w:val="24"/>
        </w:rPr>
        <w:t>т. 1013</w:t>
      </w:r>
    </w:p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lang w:val="ru-RU"/>
        </w:rPr>
      </w:pPr>
      <w:r>
        <w:rPr>
          <w:lang w:val="ru-RU"/>
        </w:rPr>
        <w:t xml:space="preserve">3. </w:t>
      </w:r>
      <w:bookmarkStart w:id="34" w:name="_Toc54643710"/>
      <w:bookmarkStart w:id="35" w:name="_Toc53395937"/>
      <w:bookmarkStart w:id="36" w:name="_Toc53393312"/>
      <w:r>
        <w:rPr>
          <w:lang w:val="ru-RU"/>
        </w:rPr>
        <w:t>Требования к документации по ценообразованию</w:t>
      </w:r>
      <w:bookmarkEnd w:id="35"/>
      <w:bookmarkEnd w:id="36"/>
      <w:r>
        <w:rPr>
          <w:lang w:val="ru-RU"/>
        </w:rPr>
        <w:t xml:space="preserve"> на этапе закупки</w:t>
      </w:r>
      <w:bookmarkEnd w:id="3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Heading1"/>
        <w:keepLines/>
        <w:numPr>
          <w:ilvl w:val="0"/>
          <w:numId w:val="0"/>
        </w:numPr>
        <w:ind w:left="357" w:right="0" w:hanging="0"/>
        <w:rPr>
          <w:i w:val="false"/>
          <w:i w:val="false"/>
          <w:iCs w:val="false"/>
          <w:caps/>
          <w:shd w:fill="auto" w:val="clear"/>
        </w:rPr>
      </w:pPr>
      <w:r>
        <w:rPr>
          <w:i w:val="false"/>
          <w:iCs w:val="false"/>
          <w:caps/>
          <w:shd w:fill="auto" w:val="clear"/>
        </w:rPr>
      </w:r>
    </w:p>
    <w:p>
      <w:pPr>
        <w:pStyle w:val="Normal"/>
        <w:rPr>
          <w:iCs/>
          <w:caps/>
        </w:rPr>
      </w:pPr>
      <w:r>
        <w:rPr>
          <w:iCs/>
          <w:caps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lang w:val="ru-RU"/>
        </w:rPr>
      </w:pPr>
      <w:r>
        <w:rPr>
          <w:lang w:val="ru-RU"/>
        </w:rPr>
        <w:t xml:space="preserve">4. </w:t>
      </w:r>
      <w:bookmarkStart w:id="37" w:name="_Toc54643711"/>
      <w:bookmarkStart w:id="38" w:name="_Toc54281228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37"/>
      <w:bookmarkEnd w:id="3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numPr>
          <w:ilvl w:val="1"/>
          <w:numId w:val="9"/>
        </w:numPr>
        <w:suppressAutoHyphens w:val="true"/>
        <w:bidi w:val="0"/>
        <w:spacing w:before="0" w:after="120"/>
        <w:ind w:left="0" w:right="0" w:firstLine="57"/>
        <w:jc w:val="both"/>
        <w:textAlignment w:val="baseline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lang w:eastAsia="x-none"/>
        </w:rPr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Normal"/>
        <w:widowControl w:val="false"/>
        <w:numPr>
          <w:ilvl w:val="1"/>
          <w:numId w:val="9"/>
        </w:numPr>
        <w:suppressAutoHyphens w:val="true"/>
        <w:bidi w:val="0"/>
        <w:ind w:left="0" w:right="0" w:firstLine="57"/>
        <w:jc w:val="both"/>
        <w:textAlignment w:val="baseline"/>
        <w:rPr>
          <w:i w:val="false"/>
          <w:i w:val="false"/>
          <w:iCs w:val="false"/>
          <w:sz w:val="24"/>
          <w:szCs w:val="24"/>
        </w:rPr>
      </w:pP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>Порядок формировани</w:t>
      </w:r>
      <w:r>
        <w:rPr>
          <w:i w:val="false"/>
          <w:iCs w:val="false"/>
          <w:sz w:val="24"/>
          <w:szCs w:val="24"/>
        </w:rPr>
        <w:t>я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i w:val="false"/>
          <w:iCs w:val="false"/>
          <w:sz w:val="24"/>
          <w:szCs w:val="24"/>
          <w:lang w:eastAsia="x-none"/>
        </w:rPr>
        <w:t xml:space="preserve">на этапе исполнения договора 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>стоимост</w:t>
      </w:r>
      <w:r>
        <w:rPr>
          <w:i w:val="false"/>
          <w:iCs w:val="false"/>
          <w:sz w:val="24"/>
          <w:szCs w:val="24"/>
        </w:rPr>
        <w:t>и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i w:val="false"/>
          <w:iCs w:val="false"/>
          <w:sz w:val="24"/>
          <w:szCs w:val="24"/>
          <w:lang w:eastAsia="x-none"/>
        </w:rPr>
        <w:t>выполняемых услуг</w:t>
      </w:r>
      <w:r>
        <w:rPr>
          <w:rFonts w:eastAsia="Calibri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i w:val="false"/>
          <w:iCs w:val="false"/>
          <w:sz w:val="24"/>
          <w:szCs w:val="24"/>
          <w:lang w:eastAsia="x-none"/>
        </w:rPr>
        <w:t xml:space="preserve">по заявке заказчика </w:t>
      </w:r>
      <w:r>
        <w:rPr>
          <w:i w:val="false"/>
          <w:iCs w:val="false"/>
          <w:sz w:val="24"/>
          <w:szCs w:val="24"/>
        </w:rPr>
        <w:t>установлен в Проекте договора (Приложение № 2 к Документации о закупке)».</w:t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0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785" w:hanging="70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3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ind w:left="0" w:right="0" w:hanging="0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1"/>
        <w:numId w:val="3"/>
      </w:numPr>
      <w:ind w:left="7237" w:right="0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4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1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29"/>
    <w:qFormat/>
    <w:rPr>
      <w:sz w:val="26"/>
      <w:szCs w:val="26"/>
    </w:rPr>
  </w:style>
  <w:style w:type="character" w:styleId="31">
    <w:name w:val="УРОВЕНЬ_Абзац_тип3 Знак"/>
    <w:link w:val="35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2">
    <w:name w:val="УРОВЕНЬ_1. Знак"/>
    <w:link w:val="18"/>
    <w:qFormat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8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3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2">
    <w:name w:val="Раздел регламента"/>
    <w:basedOn w:val="Normal"/>
    <w:qFormat/>
    <w:pPr/>
    <w:rPr/>
  </w:style>
  <w:style w:type="paragraph" w:styleId="Style23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5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08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4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numPr>
        <w:ilvl w:val="0"/>
        <w:numId w:val="0"/>
      </w:num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5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>
    <w:name w:val="Подподпункт"/>
    <w:basedOn w:val="Style21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0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right="0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8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3">
    <w:name w:val="Стиль начало"/>
    <w:basedOn w:val="Normal"/>
    <w:qFormat/>
    <w:pPr>
      <w:spacing w:lineRule="auto" w:line="264"/>
    </w:pPr>
    <w:rPr>
      <w:szCs w:val="20"/>
    </w:rPr>
  </w:style>
  <w:style w:type="paragraph" w:styleId="141">
    <w:name w:val="Стиль14"/>
    <w:basedOn w:val="Normal"/>
    <w:qFormat/>
    <w:pPr>
      <w:spacing w:lineRule="auto" w:line="264"/>
      <w:ind w:left="0" w:right="0" w:firstLine="720"/>
      <w:jc w:val="both"/>
    </w:pPr>
    <w:rPr>
      <w:szCs w:val="20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paragraph" w:styleId="Fb">
    <w:name w:val="ОбычнУfbй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19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Application>AlterOffice/2025.3.0.0$Linux_X86_64 LibreOffice_project/4ba31b6a4271509a884f95065d0a726e9cb2bdbb</Application>
  <AppVersion>15.0000</AppVersion>
  <Pages>11</Pages>
  <Words>1731</Words>
  <Characters>10886</Characters>
  <CharactersWithSpaces>12395</CharactersWithSpaces>
  <Paragraphs>295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atlasovatt@sed.local</cp:lastModifiedBy>
  <dcterms:modified xsi:type="dcterms:W3CDTF">2026-09-01T11:40:15Z</dcterms:modified>
  <cp:revision>333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