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i/>
          <w:i/>
          <w:sz w:val="26"/>
          <w:szCs w:val="26"/>
        </w:rPr>
      </w:pPr>
      <w:r>
        <w:rPr>
          <w:rStyle w:val="Style8"/>
          <w:rFonts w:eastAsia="Calibri"/>
          <w:b/>
          <w:bCs/>
          <w:i w:val="false"/>
          <w:iCs w:val="false"/>
          <w:sz w:val="26"/>
          <w:szCs w:val="26"/>
          <w:shd w:fill="FFFFFF" w:val="clear"/>
        </w:rPr>
        <w:t>«ОКПД2 71.12.40.129 Оказание услуг по метрологической поверке измерительных приборов инженерных систем  административно-офисных зданий для нужд АО «СК РусГидро»»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bCs/>
          <w:i w:val="false"/>
          <w:i w:val="false"/>
          <w:iCs w:val="false"/>
          <w:sz w:val="26"/>
          <w:szCs w:val="26"/>
          <w:highlight w:val="none"/>
          <w:shd w:fill="FFFFFF" w:val="clear"/>
        </w:rPr>
      </w:pPr>
      <w:r>
        <w:rPr>
          <w:rFonts w:eastAsia="Calibri"/>
          <w:b/>
          <w:bCs/>
          <w:i w:val="false"/>
          <w:iCs w:val="false"/>
          <w:sz w:val="26"/>
          <w:szCs w:val="26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i/>
          <w:i/>
          <w:sz w:val="26"/>
          <w:szCs w:val="26"/>
        </w:rPr>
      </w:pPr>
      <w:r>
        <w:rPr>
          <w:rStyle w:val="Style8"/>
          <w:rFonts w:eastAsia="Calibri"/>
          <w:b/>
          <w:bCs/>
          <w:i w:val="false"/>
          <w:iCs w:val="false"/>
          <w:sz w:val="26"/>
          <w:szCs w:val="26"/>
          <w:shd w:fill="FFFFFF" w:val="clear"/>
        </w:rPr>
        <w:t xml:space="preserve">Лот № </w:t>
      </w:r>
    </w:p>
    <w:p>
      <w:pPr>
        <w:pStyle w:val="Normal"/>
        <w:keepNext w:val="true"/>
        <w:keepLines/>
        <w:jc w:val="both"/>
        <w:rPr>
          <w:b/>
          <w:bCs/>
          <w:i w:val="false"/>
          <w:i w:val="false"/>
          <w:iCs w:val="false"/>
          <w:sz w:val="26"/>
          <w:szCs w:val="26"/>
          <w:highlight w:val="none"/>
          <w:shd w:fill="FFFFFF" w:val="clear"/>
        </w:rPr>
      </w:pPr>
      <w:r>
        <w:rPr>
          <w:b/>
          <w:bCs/>
          <w:i w:val="false"/>
          <w:iCs w:val="false"/>
          <w:sz w:val="26"/>
          <w:szCs w:val="26"/>
          <w:shd w:fill="FFFFFF" w:val="clear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8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Существующее положение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0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1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Иные требования и сведения общего характера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1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2">
            <w:r>
              <w:rPr>
                <w:webHidden/>
                <w:rStyle w:val="Style14"/>
                <w:vanish w:val="false"/>
              </w:rPr>
              <w:t>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Требования к оформлению и составлению документации по ценообразованию</w:t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3695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705"/>
        <w:gridCol w:w="7077"/>
      </w:tblGrid>
      <w:tr>
        <w:trPr>
          <w:cantSplit w:val="true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“СК РусГидро”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 “Сервисная Компания РусГидро»</w:t>
            </w:r>
          </w:p>
        </w:tc>
      </w:tr>
      <w:tr>
        <w:trPr>
          <w:cantSplit w:val="true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 “Сервисная Компания РусГидро»</w:t>
            </w:r>
          </w:p>
        </w:tc>
      </w:tr>
      <w:tr>
        <w:trPr>
          <w:cantSplit w:val="true"/>
        </w:trPr>
        <w:tc>
          <w:tcPr>
            <w:tcW w:w="2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7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или юридическое лицо, которое обязуется под свою ответственность по заданию заказчика оказать определенные виды услуг к оговоренному сроку за согласованную Исполнителем и Заказчиком оплату</w:t>
            </w:r>
          </w:p>
        </w:tc>
      </w:tr>
      <w:tr>
        <w:trPr>
          <w:cantSplit w:val="true"/>
        </w:trPr>
        <w:tc>
          <w:tcPr>
            <w:tcW w:w="2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Стороны</w:t>
            </w:r>
          </w:p>
        </w:tc>
        <w:tc>
          <w:tcPr>
            <w:tcW w:w="7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и Исполнитель по Договору</w:t>
            </w:r>
          </w:p>
        </w:tc>
      </w:tr>
      <w:tr>
        <w:trPr>
          <w:cantSplit w:val="true"/>
        </w:trPr>
        <w:tc>
          <w:tcPr>
            <w:tcW w:w="2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</w:t>
            </w:r>
          </w:p>
        </w:tc>
        <w:tc>
          <w:tcPr>
            <w:tcW w:w="7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Заказчика</w:t>
            </w:r>
          </w:p>
        </w:tc>
      </w:tr>
      <w:tr>
        <w:trPr>
          <w:cantSplit w:val="true"/>
        </w:trPr>
        <w:tc>
          <w:tcPr>
            <w:tcW w:w="2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 измерительных приборов</w:t>
            </w:r>
          </w:p>
        </w:tc>
        <w:tc>
          <w:tcPr>
            <w:tcW w:w="7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проверочных операций, цель которых — подтвердить, что приборы точно измеряют и соответствует установленным метрологическим требованиям</w:t>
            </w:r>
          </w:p>
        </w:tc>
      </w:tr>
      <w:tr>
        <w:trPr>
          <w:cantSplit w:val="true"/>
        </w:trPr>
        <w:tc>
          <w:tcPr>
            <w:tcW w:w="2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требование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</w:rPr>
        <w:t>«ОКПД2 71.12.40.129 Оказание услуг по метрологической поверке измерительных приборов инженерных систем  административно-офисных зданий для нужд АО «СК РусГидро»»</w:t>
      </w:r>
      <w:bookmarkStart w:id="5" w:name="_Toc46743507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54643697"/>
      <w:r>
        <w:rPr>
          <w:shd w:fill="FFFFFF" w:val="clear"/>
        </w:rPr>
        <w:t xml:space="preserve">Цель </w:t>
      </w:r>
      <w:bookmarkEnd w:id="5"/>
      <w:r>
        <w:rPr>
          <w:shd w:fill="FFFFFF" w:val="clear"/>
          <w:lang w:val="ru-RU"/>
        </w:rPr>
        <w:t>оказания услуг</w:t>
      </w:r>
      <w:r>
        <w:rPr>
          <w:shd w:fill="FFFFFF" w:val="clear"/>
        </w:rPr>
        <w:t xml:space="preserve"> 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</w:rPr>
        <w:t>1.3.1. Установление соответствия метрологических характеристик средств измерения ГОСТам или техническим условиям завода-изготовителя.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24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</w:rPr>
        <w:t>1.3.2. Подтверждение соответствия средств измерений метрологическим требованиям.</w:t>
      </w:r>
    </w:p>
    <w:p>
      <w:pPr>
        <w:pStyle w:val="Heading4"/>
        <w:numPr>
          <w:ilvl w:val="1"/>
          <w:numId w:val="3"/>
        </w:numPr>
        <w:rPr/>
      </w:pPr>
      <w:bookmarkStart w:id="7" w:name="_Toc54643698"/>
      <w:bookmarkStart w:id="8" w:name="_Toc46743508"/>
      <w:r>
        <w:rPr/>
        <w:t>Существующее положение</w:t>
      </w:r>
      <w:bookmarkEnd w:id="8"/>
      <w:r>
        <w:rPr>
          <w:lang w:val="ru-RU"/>
        </w:rPr>
        <w:t xml:space="preserve"> </w:t>
      </w:r>
      <w:bookmarkEnd w:id="7"/>
    </w:p>
    <w:p>
      <w:pPr>
        <w:pStyle w:val="Normal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  <w:lang w:val="ru-RU"/>
        </w:rPr>
        <w:t>1.4.1. Порядок оказания услуг: согласно Приложения №1, в соответствии с действующей нормативно-технической документацией РФ и условиями Договора, в объеме, установленном настоящими техническими требованиями.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9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99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2"/>
        <w:gridCol w:w="1708"/>
        <w:gridCol w:w="2550"/>
        <w:gridCol w:w="2204"/>
        <w:gridCol w:w="2799"/>
      </w:tblGrid>
      <w:tr>
        <w:trPr/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Объект №1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п.п.1.4 проекта Договора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Административное здание 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Объекты Заказчика являются зданиями с ограниченным допуском. Проход в здания осуществляется на основании пропусков, оформленных на основании паспортов Российской Федерации.</w:t>
            </w:r>
          </w:p>
        </w:tc>
      </w:tr>
      <w:tr>
        <w:trPr>
          <w:trHeight w:val="881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Объект №2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Индивидуальный жилой дом</w:t>
            </w:r>
          </w:p>
        </w:tc>
        <w:tc>
          <w:tcPr>
            <w:tcW w:w="2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Объект №3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Индивидуальный жилой дом</w:t>
            </w:r>
          </w:p>
        </w:tc>
        <w:tc>
          <w:tcPr>
            <w:tcW w:w="2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0" w:name="_Toc54643700"/>
      <w:bookmarkStart w:id="11" w:name="_Toc46743509"/>
      <w:bookmarkStart w:id="12" w:name="_Hlk49857604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  <w:bookmarkEnd w:id="11"/>
      <w:bookmarkEnd w:id="12"/>
    </w:p>
    <w:p>
      <w:pPr>
        <w:pStyle w:val="BodyText"/>
        <w:rPr/>
      </w:pPr>
      <w:r>
        <w:rPr>
          <w:rStyle w:val="Style8"/>
          <w:b w:val="false"/>
          <w:i w:val="false"/>
          <w:iCs w:val="false"/>
          <w:sz w:val="24"/>
          <w:szCs w:val="24"/>
          <w:shd w:fill="FFFFFF" w:val="clear"/>
        </w:rPr>
        <w:t>1.5.1. На этапе заключения Договора специалисты Исполнителя могут ознакомиться с обслуживаемым объектом. Для ознакомления Исполнителю необходимо согласовать время посещения. Координаты ответственных специалистов Заказчика будут предоставлены Исполнителю на этапе заключения договора.</w:t>
      </w:r>
    </w:p>
    <w:p>
      <w:pPr>
        <w:pStyle w:val="BodyText"/>
        <w:rPr/>
      </w:pPr>
      <w:r>
        <w:rPr>
          <w:rStyle w:val="Style8"/>
          <w:b w:val="false"/>
          <w:i w:val="false"/>
          <w:iCs w:val="false"/>
          <w:sz w:val="24"/>
          <w:szCs w:val="24"/>
          <w:shd w:fill="FFFFFF" w:val="clear"/>
        </w:rPr>
        <w:t>1.5.2. Контроль соблюдения сроков, качества и объема услуг, оказываемых Исполнителем, осуществляет Заказчик, либо привлеченное Заказчиком третье лицо.</w:t>
      </w:r>
      <w:bookmarkStart w:id="14" w:name="_Hlk48209761"/>
    </w:p>
    <w:p>
      <w:pPr>
        <w:pStyle w:val="Heading4"/>
        <w:numPr>
          <w:ilvl w:val="1"/>
          <w:numId w:val="3"/>
        </w:numPr>
        <w:rPr/>
      </w:pPr>
      <w:bookmarkStart w:id="15" w:name="_Toc54643701"/>
      <w:bookmarkStart w:id="16" w:name="_Toc50125126"/>
      <w:bookmarkStart w:id="17" w:name="_Toc46743510"/>
      <w:bookmarkEnd w:id="14"/>
      <w:bookmarkEnd w:id="16"/>
      <w:bookmarkEnd w:id="17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5"/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1.5.1. При оказании услуг Исполнитель обязан руководствоваться следующими нормативно-правовыми актами: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- Федеральный закон от 26 июня 2008 г. N 102-ФЗ "Об обеспечении единства измерений".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FFFFFF" w:val="clear"/>
          <w:lang w:eastAsia="x-none"/>
        </w:rPr>
        <w:t>- Приказ Министерства промышленности и торговли РФ от 31 июля 2020 г.    № 2510 "Об утверждении порядка проведения поверки средств измерений, требований к знаку поверки и содержанию свидетельства о поверке".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Toc51339693"/>
      <w:bookmarkStart w:id="19" w:name="_Toc5464370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8"/>
      <w:bookmarkEnd w:id="19"/>
    </w:p>
    <w:p>
      <w:pPr>
        <w:pStyle w:val="Heading4"/>
        <w:numPr>
          <w:ilvl w:val="1"/>
          <w:numId w:val="3"/>
        </w:numPr>
        <w:rPr/>
      </w:pPr>
      <w:bookmarkStart w:id="20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</w:p>
    <w:p>
      <w:pPr>
        <w:pStyle w:val="Heading3"/>
        <w:numPr>
          <w:ilvl w:val="2"/>
          <w:numId w:val="3"/>
        </w:numPr>
        <w:rPr/>
      </w:pPr>
      <w:bookmarkStart w:id="21" w:name="_Toc54643704"/>
      <w:r>
        <w:rPr>
          <w:lang w:val="ru-RU"/>
        </w:rPr>
        <w:t>Требования к перечню и объему услуг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2" w:name="_Toc54643705"/>
      <w:bookmarkStart w:id="2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>и объем оказываемых услуг</w:t>
      </w:r>
      <w:bookmarkEnd w:id="2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3"/>
        <w:gridCol w:w="2118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left"/>
              <w:rPr/>
            </w:pPr>
            <w:r>
              <w:rPr>
                <w:rStyle w:val="Style8"/>
                <w:b w:val="false"/>
                <w:bCs/>
                <w:i w:val="false"/>
                <w:iCs w:val="false"/>
                <w:sz w:val="24"/>
                <w:szCs w:val="24"/>
                <w:shd w:fill="FFFFFF" w:val="clear"/>
                <w:lang w:val="en-US"/>
              </w:rPr>
              <w:t>Оказание услуг по метрологической поверке измерительных приборов инженерных систем  административно-офисных зданий для нужд АО «СК РусГидро»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>ведомостью объемов услуг</w:t>
            </w:r>
            <w:r>
              <w:rPr>
                <w:sz w:val="24"/>
                <w:szCs w:val="24"/>
              </w:rPr>
              <w:t xml:space="preserve">  (Приложение №1 к настоящим Техническим требованиям)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4" w:name="_Toc54643706"/>
      <w:bookmarkStart w:id="25" w:name="_Toc51339696"/>
      <w:r>
        <w:rPr>
          <w:lang w:val="ru-RU"/>
        </w:rPr>
        <w:t xml:space="preserve">Требования </w:t>
      </w:r>
      <w:bookmarkEnd w:id="25"/>
      <w:r>
        <w:rPr>
          <w:lang w:val="ru-RU"/>
        </w:rPr>
        <w:t>к срокам оказания услуг</w:t>
      </w:r>
      <w:bookmarkEnd w:id="2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54643707"/>
      <w:bookmarkStart w:id="27" w:name="_Toc50125127"/>
      <w:bookmarkStart w:id="28" w:name="_Toc51339697"/>
      <w:bookmarkStart w:id="29" w:name="_Toc50125126_Копия_1"/>
      <w:bookmarkEnd w:id="2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0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7"/>
      <w:bookmarkEnd w:id="28"/>
      <w:bookmarkEnd w:id="30"/>
      <w:r>
        <w:rPr>
          <w:sz w:val="24"/>
          <w:szCs w:val="24"/>
          <w:lang w:val="ru-RU"/>
        </w:rPr>
        <w:t>оказания услуг</w:t>
      </w:r>
      <w:bookmarkEnd w:id="2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метрологической поверке измерительных приборов инженерных систем  административно-офисных зданий для нужд АО «СК РусГидро»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84"/>
              <w:jc w:val="center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284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>18 месяцев 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1" w:name="_Toc54643709"/>
      <w:bookmarkStart w:id="32" w:name="_Toc51339698"/>
      <w:bookmarkStart w:id="33" w:name="_Toc54643708"/>
      <w:bookmarkStart w:id="34" w:name="_Toc46743511"/>
      <w:bookmarkStart w:id="35" w:name="_Toc46743510_Копия_1"/>
      <w:bookmarkEnd w:id="35"/>
      <w:r>
        <w:rPr/>
        <w:t xml:space="preserve">Требования к </w:t>
      </w:r>
      <w:bookmarkEnd w:id="34"/>
      <w:r>
        <w:rPr>
          <w:lang w:val="ru-RU"/>
        </w:rPr>
        <w:t xml:space="preserve">качеству </w:t>
      </w:r>
      <w:bookmarkEnd w:id="33"/>
      <w:r>
        <w:rPr>
          <w:lang w:val="ru-RU"/>
        </w:rPr>
        <w:t>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2"/>
      <w:r>
        <w:rPr>
          <w:sz w:val="24"/>
          <w:szCs w:val="24"/>
          <w:lang w:val="ru-RU"/>
        </w:rPr>
        <w:t xml:space="preserve">качеству </w:t>
      </w:r>
      <w:bookmarkEnd w:id="31"/>
      <w:r>
        <w:rPr>
          <w:sz w:val="24"/>
          <w:szCs w:val="24"/>
          <w:lang w:val="ru-RU"/>
        </w:rPr>
        <w:t>продукции</w:t>
      </w:r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услуг/этапа услуг (позиция №</w:t>
      </w:r>
      <w:r>
        <w:rPr>
          <w:rStyle w:val="Style8"/>
          <w:b/>
          <w:bCs/>
          <w:i w:val="false"/>
          <w:iCs w:val="false"/>
          <w:sz w:val="24"/>
          <w:szCs w:val="24"/>
          <w:shd w:fill="FFFFFF" w:val="clear"/>
        </w:rPr>
        <w:t xml:space="preserve"> 1 </w:t>
      </w:r>
      <w:r>
        <w:rPr>
          <w:b/>
          <w:bCs/>
          <w:sz w:val="24"/>
          <w:szCs w:val="24"/>
        </w:rPr>
        <w:t xml:space="preserve">Таблицы 2): 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  <w:lang w:val="en-US"/>
        </w:rPr>
        <w:t>Оказание услуг по метрологической поверке измерительных приборов инженерных систем  административно-офисных зданий для нужд АО «СК РусГидро»</w:t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6"/>
        <w:gridCol w:w="2499"/>
        <w:gridCol w:w="5735"/>
        <w:gridCol w:w="3190"/>
        <w:gridCol w:w="2525"/>
      </w:tblGrid>
      <w:tr>
        <w:trPr/>
        <w:tc>
          <w:tcPr>
            <w:tcW w:w="9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4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73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7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9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6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6"/>
          </w:p>
        </w:tc>
        <w:tc>
          <w:tcPr>
            <w:tcW w:w="24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оказания такого вида услуг, в строгом соответствии с условиями настоящего Договора и приложений к нему.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Устройства, оборудование, комплектующие, расходные материалы, применяемые при оказании услуг, подлежащие сертификации, должны быть сертифицированы в соответствии с законодательством Российской Федерации, являться новыми, исправными, пригодными к использованию с учетом гарантийных сроков, установленных производителем.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гарантирует качество оказания услуг в соответствии с нормативными правовыми актами Российской Федерации.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минимизации рисков, связанных с выполнением услуг по поверке СИ Исполнитель обязан выполнять услуги собственными силами и средствами, без привлечения З-х лиц.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поверки наносятся на средства измерений, которые по результатам поверки соответствуют метрологическим требованиям, и конструкция которых предусматривает возможность нанесения знаков поверки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измерений удостоверяют специальным знаком (оттиск, наклейка или иным способом изготовленное условное изображение, нанесенное на СИ), а в паспорт прибора вносится запись «поверка выполнена» - она заверяется личной подписью поверителя. Здесь же ставится дата мероприятия.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методик поверки</w:t>
            </w:r>
          </w:p>
        </w:tc>
        <w:tc>
          <w:tcPr>
            <w:tcW w:w="573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операции при поверке должны строго соответствовать утверждённым методикам. В них детально прописаны последовательность действий, условия проведения, используемые средства измерений и допустимые погрешности.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аттестованных средств поверки.</w:t>
            </w:r>
          </w:p>
        </w:tc>
        <w:tc>
          <w:tcPr>
            <w:tcW w:w="57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поверке необходимо применять эталонные приборы, указанные в методиках, или другие аттестованные средства, чьи метрологические характеристики не хуже, чем у эталонных. Все используемые средства измерений должны иметь действующие свидетельства о поверке, а испытательное оборудование — аттестаты.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7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Проход в здания осуществляется на основании пропусков, оформленных на основании паспортов Российской Федерации.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1224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началом работ Исполнитель обязан проинформировать Заказчика о всех требованиях, которые необходимо соблюсти при представлении средств измерений на поверку.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90" w:hRule="atLeast"/>
        </w:trPr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 менты</w:t>
            </w:r>
          </w:p>
        </w:tc>
        <w:tc>
          <w:tcPr>
            <w:tcW w:w="57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в соответствии с Федеральным законом №102-ФЗ «Об обеспечении единства измерений», Приказом Минпромторга России №2510, ГОСТ Р 8.905-2015.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654" w:hRule="atLeast"/>
        </w:trPr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Оборудование</w:t>
            </w:r>
          </w:p>
        </w:tc>
        <w:tc>
          <w:tcPr>
            <w:tcW w:w="57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эталонных (образцовых) средств измерений.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 xml:space="preserve">Квалификация персонала. </w:t>
            </w:r>
          </w:p>
        </w:tc>
        <w:tc>
          <w:tcPr>
            <w:tcW w:w="57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Поверку должны проводить специалисты, имеющие соответствующую аккредитацию (для аккредитованных организаций и государственных региональных центров метрологии) и компетентность для выполнения конкретных операций.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надлежащим образом оформить документацию по проведенной процедуре поверки СИ (Свидетельства о поверке, Протоколы поверки) в соответствии с Приказом Минпромторга России от 31.07.2020г.     № 2510.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проведенных работ, СИ прошедшие метрологическое обслуживание (поверку), должны иметь соответствующие знаки поверки и зарегистрированы в ФГИС «Аршин»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услуги должны быть оказаны до окончания срока действия договора.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Нормативные документы</w:t>
            </w:r>
          </w:p>
        </w:tc>
        <w:tc>
          <w:tcPr>
            <w:tcW w:w="57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Соблюдение Исполнителем следующих нормативных документов: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Приказа Минпромторга России от 31.07.2020 № 2510. "Об утверждении порядка проведения поверки средств измерений, требований к знаку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поверки и содержанию свидетельства о поверке" (Зарегистрировано в Минюсте России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20.11.2020 N 61033);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ГОСТа 8.568-2017 «Государственная система обеспечения единства измерений. Аттестация испытательного оборудования»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ГОСТа Р 8.905-2015 «Государственная система обеспечения единства измерений. Манометры показывающие. Рабочие средства измерений. Метрологические требования и методы испытаний»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Правил промышленной безопасности (приказ Ростехнадзора от 15.12.2020 № 536);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Технической документации производителя манометра.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1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свидетельств о поверке с установленным сроком действия. (Гарантия на выполненные работы должна быть не менее 1 года).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оказываемым услугам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99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Порядок взаимодействия</w:t>
            </w:r>
          </w:p>
        </w:tc>
        <w:tc>
          <w:tcPr>
            <w:tcW w:w="5735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Исполнитель должен учесть, что место и вид работ должны предварительно быть согласованы с Заказчиком.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Исполнитель несет полную материальную ответственность за причинение ущерба имуществу Заказчика в ходе проведения работ по вине Исполнителя.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5.2.</w:t>
            </w:r>
          </w:p>
        </w:tc>
        <w:tc>
          <w:tcPr>
            <w:tcW w:w="2499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режиму предприятия.</w:t>
            </w:r>
          </w:p>
        </w:tc>
        <w:tc>
          <w:tcPr>
            <w:tcW w:w="5735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Учитывая контролируемый режим входа на объекты, Исполнитель должен до начала работ представить заказчику заявку для оформления пропуска и списки с указанием рабочих, которые будут выполнять работы на объектах, а также номера автомашин по доставке материалов на объекты;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Исполнитель обязан соблюдать внутри объектовый режим, правила охраны труда, пожарной безопасности, действующие у Заказчика;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Исполнитель несет полную ответственность за соблюдение правил охраны труда и пожарной безопасности при оказании услуг.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2499" w:type="dxa"/>
            <w:tcBorders>
              <w:top w:val="nil"/>
            </w:tcBorders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режиму безопасности и гигиене труда. Соблюдение норм, правил и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требований</w:t>
            </w:r>
          </w:p>
        </w:tc>
        <w:tc>
          <w:tcPr>
            <w:tcW w:w="5735" w:type="dxa"/>
            <w:tcBorders>
              <w:top w:val="nil"/>
            </w:tcBorders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безопасность оказываемых услуг для жизни и здоровья сотрудников учреждения и третьих лиц, а также за предотвращение причинения вреда имуществу указанных лиц.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Предоставление услуг не должно препятствовать или создавать неудобства в работе учреждения. Соблюдение правил действующего внутреннего распорядка, контрольно-пропускного режима, внутренних положений и инструкций учреждения.</w:t>
            </w:r>
          </w:p>
        </w:tc>
        <w:tc>
          <w:tcPr>
            <w:tcW w:w="31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>
              <w:top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34" w:type="dxa"/>
            <w:gridSpan w:val="2"/>
            <w:tcBorders>
              <w:top w:val="nil"/>
            </w:tcBorders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Особые условия</w:t>
            </w:r>
          </w:p>
        </w:tc>
        <w:tc>
          <w:tcPr>
            <w:tcW w:w="31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8234" w:type="dxa"/>
            <w:gridSpan w:val="2"/>
            <w:tcBorders>
              <w:top w:val="nil"/>
            </w:tcBorders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Не передавать информацию и документы, полученные от Заказчика, третьим лицам без предварительного письменного согласия Заказчика.</w:t>
            </w:r>
          </w:p>
        </w:tc>
        <w:tc>
          <w:tcPr>
            <w:tcW w:w="31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5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b w:val="false"/>
          <w:i/>
          <w:lang w:val="ru-RU"/>
        </w:rPr>
        <w:t xml:space="preserve"> </w:t>
      </w:r>
      <w:r>
        <w:rPr/>
        <w:t>В составе заявки необходимо предоставить</w:t>
      </w:r>
      <w:r>
        <w:rPr>
          <w:lang w:val="ru-RU"/>
        </w:rPr>
        <w:t>:</w:t>
      </w:r>
    </w:p>
    <w:p>
      <w:pPr>
        <w:pStyle w:val="Normal"/>
        <w:rPr>
          <w:lang w:val="ru-RU"/>
        </w:rPr>
      </w:pPr>
      <w:r>
        <w:rPr/>
        <w:t>-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213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7" w:name="_Toc54643710"/>
      <w:bookmarkStart w:id="38" w:name="_Toc53395937"/>
      <w:bookmarkStart w:id="39" w:name="_Toc53393312"/>
      <w:bookmarkStart w:id="40" w:name="_Toc46743519"/>
      <w:bookmarkStart w:id="41" w:name="_Toc51339699"/>
      <w:bookmarkEnd w:id="40"/>
      <w:bookmarkEnd w:id="41"/>
      <w:r>
        <w:rPr>
          <w:lang w:val="ru-RU"/>
        </w:rPr>
        <w:t>Требования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bidi w:val="0"/>
        <w:spacing w:before="0" w:after="0"/>
        <w:ind w:left="0" w:right="0" w:firstLine="51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>3.1. 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rFonts w:cs="Times New Roman"/>
          <w:b w:val="false"/>
          <w:bCs w:val="false"/>
          <w:i/>
          <w:iCs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>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563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i w:val="false"/>
          <w:iCs w:val="false"/>
          <w:sz w:val="24"/>
          <w:szCs w:val="24"/>
        </w:rPr>
        <w:t xml:space="preserve">   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3.2 Дополнительные документы по ценообразованию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  <w:lang w:val="ru-RU"/>
        </w:rPr>
        <w:t>(сметная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 документация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  <w:lang w:val="ru-RU"/>
        </w:rPr>
        <w:t>)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 в состав заявки Участника не включа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  <w:lang w:val="ru-RU"/>
        </w:rPr>
        <w:t>ю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>тся.</w:t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2" w:name="_Toc54281228"/>
      <w:bookmarkStart w:id="43" w:name="_Toc54643711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42"/>
      <w:bookmarkEnd w:id="4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60" w:after="0"/>
        <w:ind w:left="0" w:right="0" w:hanging="0"/>
        <w:jc w:val="both"/>
        <w:rPr/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shd w:fill="FFFFFF" w:val="clear"/>
          <w:vertAlign w:val="baseline"/>
          <w:em w:val="none"/>
          <w:lang w:val="ru-RU" w:eastAsia="ru-RU" w:bidi="ar-SA"/>
        </w:rPr>
        <w:t xml:space="preserve"> 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shd w:fill="FFFFFF" w:val="clear"/>
          <w:vertAlign w:val="baseline"/>
          <w:em w:val="none"/>
          <w:lang w:val="ru-RU" w:eastAsia="ru-RU" w:bidi="ar-SA"/>
        </w:rPr>
        <w:t>4.1. По результатам настоящей закупки заключается договор с Участником, стоимость предложения которого является наименьшей.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60" w:after="0"/>
        <w:ind w:left="0" w:right="0" w:hanging="0"/>
        <w:jc w:val="both"/>
        <w:rPr/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shd w:fill="FFFFFF" w:val="clear"/>
          <w:vertAlign w:val="baseline"/>
          <w:em w:val="none"/>
          <w:lang w:val="ru-RU" w:eastAsia="ru-RU" w:bidi="ar-SA"/>
        </w:rPr>
        <w:t xml:space="preserve">   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shd w:fill="FFFFFF" w:val="clear"/>
          <w:vertAlign w:val="baseline"/>
          <w:em w:val="none"/>
          <w:lang w:val="ru-RU" w:eastAsia="ru-RU" w:bidi="ar-SA"/>
        </w:rPr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закупке)».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  <w:bookmarkStart w:id="44" w:name="_Hlk142661975_Копия_1"/>
      <w:bookmarkStart w:id="45" w:name="_Toc46743519_Копия_1_Копия_1"/>
      <w:bookmarkStart w:id="46" w:name="_Toc51339699_Копия_1_Копия_1"/>
      <w:bookmarkStart w:id="47" w:name="_Hlk142661975_Копия_1"/>
      <w:bookmarkStart w:id="48" w:name="_Toc46743519_Копия_1_Копия_1"/>
      <w:bookmarkStart w:id="49" w:name="_Toc51339699_Копия_1_Копия_1"/>
      <w:bookmarkEnd w:id="47"/>
      <w:bookmarkEnd w:id="48"/>
      <w:bookmarkEnd w:id="49"/>
      <w:r>
        <w:br w:type="page"/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  <w:bookmarkStart w:id="50" w:name="_Toc46743519_Копия_1"/>
      <w:bookmarkStart w:id="51" w:name="_Toc51339699_Копия_1"/>
      <w:bookmarkStart w:id="52" w:name="_Toc46743519_Копия_1"/>
      <w:bookmarkStart w:id="53" w:name="_Toc51339699_Копия_1"/>
      <w:bookmarkEnd w:id="52"/>
      <w:bookmarkEnd w:id="5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r>
        <w:rPr>
          <w:iCs/>
          <w:lang w:val="ru-RU"/>
        </w:rPr>
        <w:t>Приложения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FFFFFF" w:val="clear"/>
        </w:rPr>
        <w:t>Приложение №1: Ведомость объемов услуг.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  <w:bookmarkStart w:id="54" w:name="_Ref40301253"/>
      <w:bookmarkStart w:id="55" w:name="_Ref40301253"/>
      <w:bookmarkEnd w:id="55"/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br w:type="page"/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/>
        <w:t>Приложение №1 к Техническим требованиям</w:t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jc w:val="center"/>
        <w:rPr/>
      </w:pPr>
      <w:r>
        <w:rPr>
          <w:b/>
          <w:bCs/>
        </w:rPr>
        <w:t>Ведомость объемов услуг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5"/>
        <w:gridCol w:w="4565"/>
        <w:gridCol w:w="1766"/>
        <w:gridCol w:w="2268"/>
        <w:gridCol w:w="1046"/>
        <w:gridCol w:w="857"/>
        <w:gridCol w:w="902"/>
        <w:gridCol w:w="1246"/>
        <w:gridCol w:w="1183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Модель, харак-теристики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Расположение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Периодичность**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объем*</w:t>
            </w:r>
          </w:p>
        </w:tc>
      </w:tr>
      <w:tr>
        <w:trPr/>
        <w:tc>
          <w:tcPr>
            <w:tcW w:w="1456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№1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ДМ05-МП-ЗУ 100. Р-1,6 МПа-1,5 G ½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«Промтех»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У 33.2-14307481-031: 2005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УУТЭ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(0-1,6МПа)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ИТП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0-25ATM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(0-2,5МПа)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ИТП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150 мм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БТ-51.211 (О-160С) 61/2.150.1,5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ИТП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100мм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БТ-51.211 (О-160С) 61/2.100.1,5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ИТП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64 мм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БТ-51.211 (0-160) 61/2.64.1,5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ИТП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100мм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БТ-51.211 (О-100 С) 61/2.100.1,5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ИТП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64мм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БТ-51.211 (О-100 С) 61/2.64.1,5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ИТП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биметаллического 300мм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БТ-51.211 (0-100 С) 61/2.300.1,5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ИТП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DN15, PN16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ХВС, ГВС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0-6 бар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ТМ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Холодоснабжение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термометра 0-50 оС с гильзой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БТ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Холодоснабжение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Поверка термоманометра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ТМТБ-31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Холодоснабжение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(0-1,6МПа)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 ХВС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(0-1,6МПа)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ПНС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(0-1,6МПа)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-1 этаж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(0-1,6МПа)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этаж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Поверка манометра 0-16ATM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(0-1,6МПа)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этаж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/>
        <w:tc>
          <w:tcPr>
            <w:tcW w:w="1456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№2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термометра</w:t>
            </w:r>
            <w:r>
              <w:rPr>
                <w:sz w:val="24"/>
                <w:szCs w:val="24"/>
              </w:rPr>
              <w:t>(шкала 0-120°С)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Росма</w:t>
            </w:r>
          </w:p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БТ-51.211 (0-120С) 61/2.100.1,5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Система отопления и ГВС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манометра</w:t>
            </w:r>
            <w:r>
              <w:rPr>
                <w:sz w:val="24"/>
                <w:szCs w:val="24"/>
              </w:rPr>
              <w:t xml:space="preserve"> (шкала 0-16 bar)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(0-1,6МПа)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Система отопления и ГВС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56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№3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термометра</w:t>
            </w:r>
            <w:r>
              <w:rPr>
                <w:sz w:val="24"/>
                <w:szCs w:val="24"/>
              </w:rPr>
              <w:t xml:space="preserve"> (шкала 0-120°С)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Росма</w:t>
            </w:r>
          </w:p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БТ-51.211 (О-160С) 61/2.100.1,5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Система отопления и ГВС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манометра</w:t>
            </w:r>
            <w:r>
              <w:rPr>
                <w:sz w:val="24"/>
                <w:szCs w:val="24"/>
              </w:rPr>
              <w:t xml:space="preserve"> (шкала 0-16 bar)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(0-1,6МПа)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Система отопления и ГВС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Поверка манометра</w:t>
            </w:r>
            <w:r>
              <w:rPr>
                <w:sz w:val="24"/>
                <w:szCs w:val="24"/>
              </w:rPr>
              <w:t xml:space="preserve"> (шкала 0-3 bar)</w:t>
            </w:r>
          </w:p>
        </w:tc>
        <w:tc>
          <w:tcPr>
            <w:tcW w:w="17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Росма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ТМ-510 Р. 00 (0-0,3МПа) G1/2. 1,5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Оборудование бассейна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 по заявке Заказчика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before="0" w:after="120"/>
        <w:jc w:val="left"/>
        <w:rPr>
          <w:bCs/>
          <w:i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*Информация об общем объеме услуг имеет информационно-справочный характер и приведена исходя из планируемого к приобретению Заказчиком объема услуг. Указание количества не налагает на Заказчика обязательств по приобретению услуг в полном объёме, указанном в настоящих Технических требованиях.</w:t>
      </w:r>
    </w:p>
    <w:p>
      <w:pPr>
        <w:pStyle w:val="Normal"/>
        <w:spacing w:before="0" w:after="120"/>
        <w:jc w:val="left"/>
        <w:rPr/>
      </w:pPr>
      <w:r>
        <w:rPr>
          <w:bCs/>
          <w:i/>
          <w:iCs/>
          <w:sz w:val="24"/>
          <w:szCs w:val="24"/>
        </w:rPr>
        <w:t>** Услуги оказываются по предварительной заявке Заказчика, направленной не ранее чем за 2 календарных дня до начала оказания услуг (Приложение №1) на электронную почту или по телефону с момента заключения договора и в течение 18 месяцев. Срок оказания услуг - в течение 10 календарных дней с даты получения Заявки.</w:t>
      </w:r>
    </w:p>
    <w:p>
      <w:pPr>
        <w:pStyle w:val="Normal"/>
        <w:spacing w:before="0"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/>
      </w:r>
    </w:p>
    <w:sectPr>
      <w:headerReference w:type="default" r:id="rId9"/>
      <w:headerReference w:type="first" r:id="rId10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964E-2ACE-4132-B9BC-50F0488B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Application>AlterOffice/3.4.0.9$Linux_X86_64 LibreOffice_project/b8daf9e823b1a5463a2f48435ddc2e8696e7d4fc</Application>
  <AppVersion>15.0000</AppVersion>
  <Pages>16</Pages>
  <Words>2313</Words>
  <Characters>14726</Characters>
  <CharactersWithSpaces>16582</CharactersWithSpaces>
  <Paragraphs>496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lisitchenkoma@corp.gidroogk.com</cp:lastModifiedBy>
  <cp:lastPrinted>2006-07-26T14:04:00Z</cp:lastPrinted>
  <dcterms:modified xsi:type="dcterms:W3CDTF">2026-09-02T15:58:31Z</dcterms:modified>
  <cp:revision>37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