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7.xml" ContentType="application/vnd.openxmlformats-officedocument.wordprocessingml.footer+xml"/>
  <Override PartName="/word/_rels/document.xml.rels" ContentType="application/vnd.openxmlformats-package.relationships+xml"/>
  <Override PartName="/word/footer6.xml" ContentType="application/vnd.openxmlformats-officedocument.wordprocessingml.foot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Standard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Standard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Standard"/>
        <w:jc w:val="center"/>
        <w:rPr>
          <w:rFonts w:eastAsia="Calibri"/>
          <w:b/>
          <w:sz w:val="26"/>
          <w:szCs w:val="26"/>
        </w:rPr>
      </w:pPr>
      <w:r>
        <w:rPr/>
      </w:r>
    </w:p>
    <w:p>
      <w:pPr>
        <w:pStyle w:val="Normal"/>
        <w:bidi w:val="0"/>
        <w:jc w:val="center"/>
        <w:rPr/>
      </w:pPr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ru-RU" w:eastAsia="ru-RU" w:bidi="ar-SA"/>
        </w:rPr>
        <w:t>ОКПД2 — 71.20.1</w:t>
      </w:r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ru-RU" w:eastAsia="ru-RU" w:bidi="ar-SA"/>
        </w:rPr>
        <w:t>9</w:t>
      </w:r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ru-RU" w:eastAsia="ru-RU" w:bidi="ar-SA"/>
        </w:rPr>
        <w:t xml:space="preserve">.190 </w:t>
      </w:r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ru-RU" w:eastAsia="ru-RU" w:bidi="ar-SA"/>
        </w:rPr>
        <w:t>Оказание услуг по разработке раздела оценки риска для здоровья населения (ОРЗН) для</w:t>
      </w:r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ru-RU" w:eastAsia="ru-RU" w:bidi="ar-SA"/>
        </w:rPr>
        <w:t xml:space="preserve"> объектов Акционерного общества «Сахаэнерго»</w:t>
      </w:r>
    </w:p>
    <w:p>
      <w:pPr>
        <w:pStyle w:val="Standard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Standard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Standard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Contents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rStyle w:val="Style15"/>
            </w:rPr>
            <w:instrText xml:space="preserve"> TOC \o "1-4" \h</w:instrText>
          </w:r>
          <w:r>
            <w:rPr>
              <w:rStyle w:val="Style15"/>
            </w:rPr>
            <w:fldChar w:fldCharType="separate"/>
          </w:r>
          <w:hyperlink w:anchor="__RefHeading___Toc1741_82466936">
            <w:r>
              <w:rPr>
                <w:rStyle w:val="Style15"/>
              </w:rPr>
              <w:t>1. Общие сведения</w:t>
              <w:tab/>
              <w:t>3</w:t>
            </w:r>
          </w:hyperlink>
        </w:p>
        <w:p>
          <w:pPr>
            <w:pStyle w:val="Contents4"/>
            <w:tabs>
              <w:tab w:val="clear" w:pos="1680"/>
              <w:tab w:val="clear" w:pos="10471"/>
              <w:tab w:val="right" w:pos="9921" w:leader="dot"/>
              <w:tab w:val="right" w:pos="10481" w:leader="dot"/>
            </w:tabs>
            <w:rPr/>
          </w:pPr>
          <w:hyperlink w:anchor="__RefHeading___Toc1743_82466936">
            <w:r>
              <w:rPr>
                <w:rStyle w:val="Style15"/>
              </w:rPr>
              <w:t>1.1. Обозначения и сокращения</w:t>
              <w:tab/>
              <w:t>3</w:t>
            </w:r>
          </w:hyperlink>
        </w:p>
        <w:p>
          <w:pPr>
            <w:pStyle w:val="Contents4"/>
            <w:tabs>
              <w:tab w:val="clear" w:pos="1680"/>
              <w:tab w:val="clear" w:pos="10471"/>
              <w:tab w:val="right" w:pos="9921" w:leader="dot"/>
              <w:tab w:val="right" w:pos="10481" w:leader="dot"/>
            </w:tabs>
            <w:rPr/>
          </w:pPr>
          <w:hyperlink w:anchor="__RefHeading___Toc1745_82466936">
            <w:r>
              <w:rPr>
                <w:rStyle w:val="Style15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Contents4"/>
            <w:tabs>
              <w:tab w:val="clear" w:pos="1680"/>
              <w:tab w:val="clear" w:pos="10471"/>
              <w:tab w:val="right" w:pos="9921" w:leader="dot"/>
              <w:tab w:val="right" w:pos="10481" w:leader="dot"/>
            </w:tabs>
            <w:rPr/>
          </w:pPr>
          <w:hyperlink w:anchor="__RefHeading___Toc1747_82466936">
            <w:r>
              <w:rPr>
                <w:rStyle w:val="Style15"/>
              </w:rPr>
              <w:t>1.3. Цель оказания услуг</w:t>
              <w:tab/>
              <w:t>4</w:t>
            </w:r>
          </w:hyperlink>
        </w:p>
        <w:p>
          <w:pPr>
            <w:pStyle w:val="Contents1"/>
            <w:tabs>
              <w:tab w:val="clear" w:pos="708"/>
              <w:tab w:val="right" w:pos="9921" w:leader="dot"/>
            </w:tabs>
            <w:rPr/>
          </w:pPr>
          <w:hyperlink w:anchor="__RefHeading___Toc1749_82466936">
            <w:r>
              <w:rPr>
                <w:rStyle w:val="Style15"/>
              </w:rPr>
              <w:t>Таблица 1. Перечень объектов заказчика</w:t>
              <w:tab/>
              <w:t>4</w:t>
            </w:r>
          </w:hyperlink>
        </w:p>
        <w:p>
          <w:pPr>
            <w:pStyle w:val="Contents4"/>
            <w:tabs>
              <w:tab w:val="clear" w:pos="1680"/>
              <w:tab w:val="clear" w:pos="10471"/>
              <w:tab w:val="right" w:pos="9921" w:leader="dot"/>
              <w:tab w:val="right" w:pos="10481" w:leader="dot"/>
            </w:tabs>
            <w:rPr/>
          </w:pPr>
          <w:hyperlink w:anchor="__RefHeading___Toc1751_82466936">
            <w:r>
              <w:rPr>
                <w:rStyle w:val="Style15"/>
              </w:rPr>
              <w:t>1.4. Иные требования и сведения общего характера.</w:t>
              <w:tab/>
              <w:t>4</w:t>
            </w:r>
          </w:hyperlink>
        </w:p>
        <w:p>
          <w:pPr>
            <w:pStyle w:val="Contents3"/>
            <w:tabs>
              <w:tab w:val="right" w:pos="9921" w:leader="dot"/>
              <w:tab w:val="right" w:pos="10201" w:leader="dot"/>
            </w:tabs>
            <w:rPr/>
          </w:pPr>
          <w:hyperlink w:anchor="__RefHeading___Toc1753_82466936">
            <w:r>
              <w:rPr>
                <w:rStyle w:val="Style15"/>
              </w:rPr>
              <w:t>1.4.1. Краткая характеристика и основные показатели объекта:</w:t>
              <w:tab/>
              <w:t>4</w:t>
            </w:r>
          </w:hyperlink>
        </w:p>
        <w:p>
          <w:pPr>
            <w:pStyle w:val="Contents3"/>
            <w:tabs>
              <w:tab w:val="right" w:pos="9921" w:leader="dot"/>
              <w:tab w:val="right" w:pos="10201" w:leader="dot"/>
            </w:tabs>
            <w:rPr/>
          </w:pPr>
          <w:hyperlink w:anchor="__RefHeading___Toc1755_82466936">
            <w:r>
              <w:rPr>
                <w:rStyle w:val="Style15"/>
              </w:rPr>
              <w:t>1.4.2. Основные требования к конструктивным решениям</w:t>
              <w:tab/>
              <w:t>4</w:t>
            </w:r>
          </w:hyperlink>
        </w:p>
        <w:p>
          <w:pPr>
            <w:pStyle w:val="Contents1"/>
            <w:tabs>
              <w:tab w:val="clear" w:pos="708"/>
              <w:tab w:val="right" w:pos="9921" w:leader="dot"/>
            </w:tabs>
            <w:rPr/>
          </w:pPr>
          <w:hyperlink w:anchor="__RefHeading___Toc1757_82466936">
            <w:r>
              <w:rPr>
                <w:rStyle w:val="Style15"/>
              </w:rPr>
              <w:t>2. Требования к продукции</w:t>
              <w:tab/>
              <w:t>5</w:t>
            </w:r>
          </w:hyperlink>
        </w:p>
        <w:p>
          <w:pPr>
            <w:pStyle w:val="Contents4"/>
            <w:tabs>
              <w:tab w:val="clear" w:pos="1680"/>
              <w:tab w:val="clear" w:pos="10471"/>
              <w:tab w:val="right" w:pos="9921" w:leader="dot"/>
              <w:tab w:val="right" w:pos="10481" w:leader="dot"/>
            </w:tabs>
            <w:rPr/>
          </w:pPr>
          <w:hyperlink w:anchor="__RefHeading___Toc1759_82466936">
            <w:r>
              <w:rPr>
                <w:rStyle w:val="Style15"/>
              </w:rPr>
              <w:t>2.1. Требования к объемам и срокам оказания услуг</w:t>
              <w:tab/>
              <w:t>5</w:t>
            </w:r>
          </w:hyperlink>
        </w:p>
        <w:p>
          <w:pPr>
            <w:pStyle w:val="Contents3"/>
            <w:tabs>
              <w:tab w:val="right" w:pos="9921" w:leader="dot"/>
              <w:tab w:val="right" w:pos="10201" w:leader="dot"/>
            </w:tabs>
            <w:rPr/>
          </w:pPr>
          <w:hyperlink w:anchor="__RefHeading___Toc1761_82466936">
            <w:r>
              <w:rPr>
                <w:rStyle w:val="Style15"/>
              </w:rPr>
              <w:t>2.1.1. Требования к перечню и объему услуг</w:t>
              <w:tab/>
              <w:t>5</w:t>
            </w:r>
          </w:hyperlink>
        </w:p>
        <w:p>
          <w:pPr>
            <w:pStyle w:val="Contents1"/>
            <w:tabs>
              <w:tab w:val="clear" w:pos="708"/>
              <w:tab w:val="right" w:pos="9921" w:leader="dot"/>
            </w:tabs>
            <w:rPr/>
          </w:pPr>
          <w:hyperlink w:anchor="__RefHeading___Toc1763_82466936">
            <w:r>
              <w:rPr>
                <w:rStyle w:val="Style15"/>
              </w:rPr>
              <w:t>Таблица 2. Перечень и объем оказываемых услуг</w:t>
              <w:tab/>
              <w:t>5</w:t>
            </w:r>
          </w:hyperlink>
        </w:p>
        <w:p>
          <w:pPr>
            <w:pStyle w:val="Contents3"/>
            <w:tabs>
              <w:tab w:val="right" w:pos="9921" w:leader="dot"/>
              <w:tab w:val="right" w:pos="10201" w:leader="dot"/>
            </w:tabs>
            <w:rPr/>
          </w:pPr>
          <w:hyperlink w:anchor="__RefHeading___Toc1765_82466936">
            <w:r>
              <w:rPr>
                <w:rStyle w:val="Style15"/>
              </w:rPr>
              <w:t>2.1.2. Требования к срокам оказания услуг</w:t>
              <w:tab/>
              <w:t>5</w:t>
            </w:r>
          </w:hyperlink>
        </w:p>
        <w:p>
          <w:pPr>
            <w:pStyle w:val="Contents1"/>
            <w:tabs>
              <w:tab w:val="clear" w:pos="708"/>
              <w:tab w:val="right" w:pos="9921" w:leader="dot"/>
            </w:tabs>
            <w:rPr/>
          </w:pPr>
          <w:hyperlink w:anchor="__RefHeading___Toc1767_82466936">
            <w:r>
              <w:rPr>
                <w:rStyle w:val="Style15"/>
              </w:rPr>
              <w:t>Таблица 3. Требования к срокам оказания услуг</w:t>
              <w:tab/>
              <w:t>5</w:t>
            </w:r>
          </w:hyperlink>
        </w:p>
        <w:p>
          <w:pPr>
            <w:pStyle w:val="Contents2"/>
            <w:rPr/>
          </w:pPr>
          <w:hyperlink w:anchor="__RefHeading___Toc1769_82466936">
            <w:r>
              <w:rPr>
                <w:rStyle w:val="Style15"/>
              </w:rPr>
              <w:t>2.2. Требования к качеству услуг</w:t>
              <w:tab/>
              <w:t>6</w:t>
            </w:r>
          </w:hyperlink>
        </w:p>
        <w:p>
          <w:pPr>
            <w:pStyle w:val="Contents1"/>
            <w:tabs>
              <w:tab w:val="clear" w:pos="708"/>
              <w:tab w:val="right" w:pos="9921" w:leader="dot"/>
            </w:tabs>
            <w:rPr/>
          </w:pPr>
          <w:hyperlink w:anchor="__RefHeading___Toc1771_82466936">
            <w:r>
              <w:rPr>
                <w:rStyle w:val="Style15"/>
              </w:rPr>
              <w:t>Таблица 4. Требования к качеству услуг</w:t>
              <w:tab/>
              <w:t>6</w:t>
            </w:r>
          </w:hyperlink>
          <w:r>
            <w:rPr>
              <w:rStyle w:val="Style15"/>
            </w:rPr>
            <w:fldChar w:fldCharType="end"/>
          </w:r>
        </w:p>
      </w:sdtContent>
    </w:sdt>
    <w:p>
      <w:pPr>
        <w:pStyle w:val="Standard"/>
        <w:tabs>
          <w:tab w:val="clear" w:pos="708"/>
          <w:tab w:val="right" w:pos="9921" w:leader="dot"/>
        </w:tabs>
        <w:rPr/>
      </w:pPr>
      <w:r>
        <w:rPr/>
      </w:r>
      <w:bookmarkStart w:id="2" w:name="__RefHeading___Toc1741_82466936"/>
      <w:bookmarkStart w:id="3" w:name="__RefHeading___Toc1741_82466936"/>
    </w:p>
    <w:p>
      <w:pPr>
        <w:pStyle w:val="Heading3"/>
        <w:widowControl/>
        <w:numPr>
          <w:ilvl w:val="0"/>
          <w:numId w:val="0"/>
        </w:numPr>
        <w:suppressAutoHyphens w:val="true"/>
        <w:ind w:left="0" w:right="0" w:hanging="0"/>
        <w:jc w:val="center"/>
        <w:textAlignment w:val="baseline"/>
        <w:rPr/>
      </w:pPr>
      <w:r>
        <w:rPr/>
      </w:r>
      <w:r>
        <w:br w:type="page"/>
      </w:r>
    </w:p>
    <w:p>
      <w:pPr>
        <w:pStyle w:val="Heading3"/>
        <w:numPr>
          <w:ilvl w:val="0"/>
          <w:numId w:val="0"/>
        </w:numPr>
        <w:ind w:left="0" w:right="0" w:hanging="0"/>
        <w:rPr/>
      </w:pPr>
      <w:r>
        <w:rPr/>
        <w:t>1.</w:t>
        <w:tab/>
      </w:r>
      <w:bookmarkStart w:id="4" w:name="_Toc124266665"/>
      <w:r>
        <w:rPr/>
        <w:t>Общие сведения</w:t>
      </w:r>
      <w:bookmarkEnd w:id="3"/>
      <w:bookmarkEnd w:id="4"/>
    </w:p>
    <w:p>
      <w:pPr>
        <w:pStyle w:val="Heading4"/>
        <w:numPr>
          <w:ilvl w:val="0"/>
          <w:numId w:val="0"/>
        </w:numPr>
        <w:tabs>
          <w:tab w:val="clear" w:pos="708"/>
          <w:tab w:val="left" w:pos="426" w:leader="none"/>
        </w:tabs>
        <w:ind w:left="0" w:right="0" w:hanging="0"/>
        <w:jc w:val="left"/>
        <w:rPr>
          <w:sz w:val="24"/>
        </w:rPr>
      </w:pPr>
      <w:bookmarkStart w:id="5" w:name="__RefHeading___Toc1743_82466936"/>
      <w:bookmarkEnd w:id="5"/>
      <w:r>
        <w:rPr>
          <w:sz w:val="24"/>
        </w:rPr>
        <w:t>1.1.</w:t>
        <w:tab/>
      </w:r>
      <w:bookmarkStart w:id="6" w:name="_Toc46743505"/>
      <w:bookmarkStart w:id="7" w:name="_Toc124266666"/>
      <w:r>
        <w:rPr>
          <w:sz w:val="24"/>
        </w:rPr>
        <w:t>Обозначения и сокращения</w:t>
      </w:r>
      <w:bookmarkEnd w:id="6"/>
      <w:bookmarkEnd w:id="7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 w:val="false"/>
                <w:bCs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 w:val="false"/>
                <w:bCs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highlight w:val="none"/>
                <w:shd w:fill="auto" w:val="clear"/>
              </w:rPr>
            </w:pPr>
            <w:r>
              <w:rPr>
                <w:b w:val="false"/>
                <w:bCs/>
                <w:i w:val="false"/>
                <w:sz w:val="24"/>
                <w:szCs w:val="24"/>
                <w:shd w:fill="auto" w:val="clear"/>
              </w:rPr>
              <w:t>СЗЗ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highlight w:val="none"/>
                <w:shd w:fill="auto" w:val="clear"/>
              </w:rPr>
            </w:pPr>
            <w:r>
              <w:rPr>
                <w:b w:val="false"/>
                <w:bCs/>
                <w:i w:val="false"/>
                <w:sz w:val="24"/>
                <w:szCs w:val="24"/>
                <w:shd w:fill="auto" w:val="clear"/>
              </w:rPr>
              <w:t>Санитарно-защитная зона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highlight w:val="none"/>
                <w:shd w:fill="auto" w:val="clear"/>
              </w:rPr>
            </w:pPr>
            <w:r>
              <w:rPr>
                <w:b w:val="false"/>
                <w:bCs/>
                <w:i w:val="false"/>
                <w:sz w:val="24"/>
                <w:szCs w:val="24"/>
                <w:shd w:fill="auto" w:val="clear"/>
              </w:rPr>
              <w:t>ОРЗН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highlight w:val="none"/>
                <w:shd w:fill="auto" w:val="clear"/>
              </w:rPr>
            </w:pPr>
            <w:r>
              <w:rPr>
                <w:b w:val="false"/>
                <w:bCs/>
                <w:i w:val="false"/>
                <w:sz w:val="24"/>
                <w:szCs w:val="24"/>
                <w:shd w:fill="auto" w:val="clear"/>
              </w:rPr>
              <w:t>Оценка риска здоровью населения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highlight w:val="none"/>
                <w:shd w:fill="auto" w:val="clear"/>
              </w:rPr>
            </w:pPr>
            <w:r>
              <w:rPr>
                <w:b w:val="false"/>
                <w:bCs/>
                <w:i w:val="false"/>
                <w:sz w:val="24"/>
                <w:szCs w:val="24"/>
                <w:shd w:fill="auto" w:val="clear"/>
              </w:rPr>
              <w:t>ДЭС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highlight w:val="none"/>
                <w:shd w:fill="auto" w:val="clear"/>
              </w:rPr>
            </w:pPr>
            <w:r>
              <w:rPr>
                <w:b w:val="false"/>
                <w:bCs/>
                <w:i w:val="false"/>
                <w:sz w:val="24"/>
                <w:szCs w:val="24"/>
                <w:shd w:fill="auto" w:val="clear"/>
              </w:rPr>
              <w:t>Дизельная электростанция</w:t>
            </w:r>
          </w:p>
        </w:tc>
      </w:tr>
    </w:tbl>
    <w:p>
      <w:pPr>
        <w:pStyle w:val="Heading4"/>
        <w:numPr>
          <w:ilvl w:val="0"/>
          <w:numId w:val="0"/>
        </w:numPr>
        <w:tabs>
          <w:tab w:val="clear" w:pos="708"/>
          <w:tab w:val="left" w:pos="426" w:leader="none"/>
        </w:tabs>
        <w:ind w:left="0" w:right="0" w:hanging="0"/>
        <w:jc w:val="left"/>
        <w:rPr>
          <w:sz w:val="24"/>
        </w:rPr>
      </w:pPr>
      <w:bookmarkStart w:id="8" w:name="__RefHeading___Toc1745_82466936"/>
      <w:bookmarkStart w:id="9" w:name="_Toc46743506"/>
      <w:bookmarkEnd w:id="8"/>
      <w:r>
        <w:rPr>
          <w:sz w:val="24"/>
        </w:rPr>
        <w:t>1.2.</w:t>
        <w:tab/>
      </w:r>
      <w:bookmarkStart w:id="10" w:name="_Toc124266667"/>
      <w:r>
        <w:rPr>
          <w:sz w:val="24"/>
        </w:rPr>
        <w:t>Наименование закупаемой продукции</w:t>
      </w:r>
      <w:bookmarkEnd w:id="9"/>
      <w:bookmarkEnd w:id="10"/>
    </w:p>
    <w:p>
      <w:pPr>
        <w:pStyle w:val="Standard"/>
        <w:tabs>
          <w:tab w:val="clear" w:pos="708"/>
          <w:tab w:val="left" w:pos="993" w:leader="none"/>
          <w:tab w:val="left" w:pos="1134" w:leader="none"/>
        </w:tabs>
        <w:spacing w:lineRule="auto" w:line="276"/>
        <w:jc w:val="both"/>
        <w:rPr>
          <w:sz w:val="24"/>
          <w:szCs w:val="24"/>
        </w:rPr>
      </w:pPr>
      <w:r>
        <w:rPr>
          <w:rFonts w:eastAsia="Calibri"/>
          <w:bCs/>
          <w:i/>
          <w:kern w:val="2"/>
          <w:sz w:val="24"/>
          <w:szCs w:val="24"/>
          <w:lang w:val="ru-RU" w:eastAsia="en-US"/>
        </w:rPr>
        <w:t>ОКПД2 — 71.20.19.190 Оказание услуг по разработке раздела оценки риска для здоровья населения (ОРЗН) для объектов Акционерного общества «Сахаэнерго»</w:t>
      </w:r>
      <w:bookmarkStart w:id="11" w:name="_Toc46743507"/>
    </w:p>
    <w:p>
      <w:pPr>
        <w:pStyle w:val="Heading4"/>
        <w:numPr>
          <w:ilvl w:val="0"/>
          <w:numId w:val="0"/>
        </w:numPr>
        <w:tabs>
          <w:tab w:val="clear" w:pos="708"/>
          <w:tab w:val="left" w:pos="426" w:leader="none"/>
        </w:tabs>
        <w:ind w:left="0" w:right="0" w:hanging="0"/>
        <w:jc w:val="left"/>
        <w:rPr>
          <w:sz w:val="24"/>
        </w:rPr>
      </w:pPr>
      <w:bookmarkStart w:id="12" w:name="__RefHeading___Toc1747_82466936"/>
      <w:bookmarkEnd w:id="12"/>
      <w:r>
        <w:rPr>
          <w:sz w:val="24"/>
        </w:rPr>
        <w:t>1.3.</w:t>
        <w:tab/>
      </w:r>
      <w:bookmarkStart w:id="13" w:name="_Toc124266668"/>
      <w:r>
        <w:rPr>
          <w:sz w:val="24"/>
        </w:rPr>
        <w:t xml:space="preserve">Цель </w:t>
      </w:r>
      <w:bookmarkEnd w:id="11"/>
      <w:r>
        <w:rPr>
          <w:sz w:val="24"/>
        </w:rPr>
        <w:t>оказания услуг</w:t>
      </w:r>
      <w:bookmarkEnd w:id="13"/>
    </w:p>
    <w:p>
      <w:pPr>
        <w:pStyle w:val="Standard"/>
        <w:jc w:val="both"/>
        <w:rPr/>
      </w:pP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>Р</w:t>
      </w: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>азработк</w:t>
      </w: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>а</w:t>
      </w: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 xml:space="preserve"> раздела оценк</w:t>
      </w: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>а</w:t>
      </w: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 xml:space="preserve"> риска для здоровья населения (ОРЗН) для объектов Акционерного общества «Сахаэнерго» в целях </w:t>
      </w: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 xml:space="preserve">обоснования достаточности границ санитарно-защитной зоны для объектов АО «Сахаэнерго». </w:t>
      </w: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>Оказать услуги</w:t>
      </w: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 xml:space="preserve"> в соответствии с требованиями действующих нормативно-методических документов по оценке риска, с установлением вероятности развития и степени выраженности неблагоприятных последствий для здоровья человека или здоровья будущих поколений, обусловленных воздействием химических и физических факторов.</w:t>
      </w:r>
    </w:p>
    <w:p>
      <w:pPr>
        <w:pStyle w:val="Standard"/>
        <w:tabs>
          <w:tab w:val="clear" w:pos="708"/>
          <w:tab w:val="left" w:pos="426" w:leader="none"/>
        </w:tabs>
        <w:rPr/>
      </w:pPr>
      <w:r>
        <w:rPr>
          <w:rFonts w:eastAsia="Calibri"/>
          <w:b/>
          <w:bCs/>
          <w:sz w:val="24"/>
          <w:szCs w:val="24"/>
        </w:rPr>
        <w:t>1.4.</w:t>
        <w:tab/>
      </w:r>
      <w:bookmarkStart w:id="14" w:name="_Toc161754192"/>
      <w:bookmarkStart w:id="15" w:name="_Toc46743508"/>
      <w:r>
        <w:rPr>
          <w:rFonts w:eastAsia="Calibri"/>
          <w:b/>
          <w:bCs/>
          <w:sz w:val="24"/>
          <w:szCs w:val="24"/>
        </w:rPr>
        <w:t>Существующее положение</w:t>
      </w:r>
      <w:bookmarkEnd w:id="14"/>
      <w:bookmarkEnd w:id="15"/>
    </w:p>
    <w:p>
      <w:pPr>
        <w:pStyle w:val="Standard"/>
        <w:tabs>
          <w:tab w:val="clear" w:pos="708"/>
          <w:tab w:val="left" w:pos="0" w:leader="none"/>
        </w:tabs>
        <w:spacing w:lineRule="auto" w:line="276"/>
        <w:rPr>
          <w:sz w:val="24"/>
          <w:szCs w:val="24"/>
        </w:rPr>
      </w:pPr>
      <w:r>
        <w:rPr>
          <w:b/>
          <w:sz w:val="24"/>
          <w:szCs w:val="24"/>
        </w:rPr>
        <w:t>Таблица 1. Перечень объектов заказчика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95"/>
        <w:gridCol w:w="2037"/>
        <w:gridCol w:w="3514"/>
        <w:gridCol w:w="3975"/>
      </w:tblGrid>
      <w:tr>
        <w:trPr/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ИЗАВ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выбрасываемых в атмосферный воздух загрязняющих веществ</w:t>
            </w:r>
          </w:p>
        </w:tc>
      </w:tr>
      <w:tr>
        <w:trPr/>
        <w:tc>
          <w:tcPr>
            <w:tcW w:w="3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ДЭС с.Таймылыр Булунских ЭС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Выхлопные трубы ДЭС — 6 шт.;</w:t>
            </w:r>
          </w:p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Дыхательные клапаны резервуаров склада ГСМ — 2 шт.;</w:t>
            </w:r>
          </w:p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Установка по обезвреживанию отходов — 1 шт.;</w:t>
            </w:r>
          </w:p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Внутренний проезд а/т по территории — 1 шт.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0328 Углерод (Пигмент черный);</w:t>
            </w:r>
          </w:p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2. 0703 </w:t>
            </w:r>
            <w:r>
              <w:rPr>
                <w:b w:val="false"/>
                <w:sz w:val="20"/>
                <w:szCs w:val="20"/>
              </w:rPr>
              <w:t>Бенз/а/пирен;</w:t>
            </w:r>
          </w:p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3. 2902 </w:t>
            </w:r>
            <w:r>
              <w:rPr>
                <w:b w:val="false"/>
                <w:sz w:val="20"/>
                <w:szCs w:val="20"/>
              </w:rPr>
              <w:t>Взвешенные вещества;</w:t>
            </w:r>
          </w:p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 0301 Азота диоксид (Двуокись азота; пероксид азота);</w:t>
            </w:r>
          </w:p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0304 Азот (II) оксид (Азот монооксид);</w:t>
            </w:r>
          </w:p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0316 Гидрохлорид (по молекуле HCl) (Водород хлорид);</w:t>
            </w:r>
          </w:p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0330 Сера диоксид;</w:t>
            </w:r>
          </w:p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0333 Дигидросульфид (Водород сернистый,</w:t>
            </w:r>
          </w:p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дигидросульфид, гидросульфид);</w:t>
            </w:r>
          </w:p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0337 Углерода оксид (Углерод окись; углерод моноокись; угарный газ);</w:t>
            </w:r>
          </w:p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0342 Фториды газообразные;</w:t>
            </w:r>
          </w:p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 1325 Формальдегид (Муравьиный альдегид, оксометан, метиленоксид); </w:t>
            </w:r>
          </w:p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2732 Керосин (Керосин прямой перегонки; керосин дезодорированный); </w:t>
            </w:r>
          </w:p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 2754 Алканы C12-C19 (в пересчете на С)</w:t>
            </w:r>
          </w:p>
        </w:tc>
      </w:tr>
      <w:tr>
        <w:trPr/>
        <w:tc>
          <w:tcPr>
            <w:tcW w:w="3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ДЭС п.Батагай Верхоянских ЭС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Выхлопные трубы ДЭС — 11 шт.;</w:t>
            </w:r>
          </w:p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Дыхательные клапаны резервуаров склада ГСМ — 12 шт.;</w:t>
            </w:r>
          </w:p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Ворота гаража — 1 шт;</w:t>
            </w:r>
          </w:p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Установка по обезвреживанию отходов — 1 шт.;</w:t>
            </w:r>
          </w:p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Внутренний проезд а/т по территории — 1 шт.</w:t>
            </w:r>
          </w:p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Токарный цех — 1 шт.;</w:t>
            </w:r>
          </w:p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Сварочный пост — 1 шт;</w:t>
            </w:r>
          </w:p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Ремонтный цех — 1 шт;</w:t>
            </w:r>
          </w:p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Столярный участок -1 шт;</w:t>
            </w:r>
          </w:p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Топливораздаточная колонка — 1 шт. 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1. 0328 Углерод (Пигмент черный);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 xml:space="preserve">2. 0703 </w:t>
            </w:r>
            <w:r>
              <w:rPr>
                <w:b w:val="false"/>
                <w:sz w:val="20"/>
                <w:szCs w:val="20"/>
                <w:shd w:fill="auto" w:val="clear"/>
              </w:rPr>
              <w:t>Бенз/а/пирен;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 xml:space="preserve">3. 2902 </w:t>
            </w:r>
            <w:r>
              <w:rPr>
                <w:b w:val="false"/>
                <w:sz w:val="20"/>
                <w:szCs w:val="20"/>
                <w:shd w:fill="auto" w:val="clear"/>
              </w:rPr>
              <w:t>Взвешенные вещества;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4.  0301 Азота диоксид (Двуокись азота; пероксид азота);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5. 0304 Азот (II) оксид (Азот монооксид);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6. 0316 Гидрохлорид (по молекуле HCl) (Водород хлорид);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7. 0330 Сера диоксид;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8. 0333 Дигидросульфид (Водород сернистый,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дигидросульфид, гидросульфид);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9. 0337 Углерода оксид (Углерод окись; углерод моноокись; угарный газ);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10. 0342 Фториды газообразные;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 xml:space="preserve">11. 1325 Формальдегид (Муравьиный альдегид, оксометан, метиленоксид); 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 xml:space="preserve">12. 2732 Керосин (Керосин прямой перегонки; керосин дезодорированный); </w:t>
            </w:r>
          </w:p>
          <w:p>
            <w:pPr>
              <w:pStyle w:val="Style38"/>
              <w:spacing w:lineRule="auto" w:line="24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13. 2754 Алканы C12-C19 (в пересчете на С)</w:t>
            </w:r>
          </w:p>
          <w:p>
            <w:pPr>
              <w:pStyle w:val="Style38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14. </w:t>
            </w: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0123 Железа оксид;</w:t>
            </w:r>
          </w:p>
          <w:p>
            <w:pPr>
              <w:pStyle w:val="Style38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5</w:t>
            </w: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 0143 Марганец и его соединения (в пересчете на марганец (IV) оксид)</w:t>
            </w:r>
          </w:p>
          <w:p>
            <w:pPr>
              <w:pStyle w:val="Style38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6</w:t>
            </w: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 0344 Фториды плохо растворимые</w:t>
            </w:r>
          </w:p>
          <w:p>
            <w:pPr>
              <w:pStyle w:val="Style38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7</w:t>
            </w: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 2908 Пыль неорганическая: 70-20% SiO2</w:t>
            </w:r>
          </w:p>
          <w:p>
            <w:pPr>
              <w:pStyle w:val="Style38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8</w:t>
            </w: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 2930 Пыль абразивная</w:t>
            </w:r>
          </w:p>
          <w:p>
            <w:pPr>
              <w:pStyle w:val="Style38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9</w:t>
            </w: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 2704 Бензин (нефтяной, малосернистый) (в пересчете на углерод)</w:t>
            </w:r>
          </w:p>
        </w:tc>
      </w:tr>
      <w:tr>
        <w:trPr/>
        <w:tc>
          <w:tcPr>
            <w:tcW w:w="3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МАЭК п.Черский Нижнеколымского РЭС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1. Выхлопные трубы ДЭС — 6 шт.;</w:t>
            </w:r>
          </w:p>
          <w:p>
            <w:pPr>
              <w:pStyle w:val="Style38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2. Дыхательные клапаны резервуаров склада ГСМ — 6 шт.;</w:t>
            </w:r>
          </w:p>
          <w:p>
            <w:pPr>
              <w:pStyle w:val="Style38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3. Установка по обезвреживанию отходов — 1 шт.;</w:t>
            </w:r>
          </w:p>
          <w:p>
            <w:pPr>
              <w:pStyle w:val="Style38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4. Внутренний проезд а/т по территории — 1 шт.</w:t>
            </w:r>
          </w:p>
          <w:p>
            <w:pPr>
              <w:pStyle w:val="Style38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5. Участок металлообработки — 1 шт.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1. 0328 Углерод (Пигмент черный);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 xml:space="preserve">2. 0703 </w:t>
            </w:r>
            <w:r>
              <w:rPr>
                <w:b w:val="false"/>
                <w:sz w:val="20"/>
                <w:szCs w:val="20"/>
                <w:shd w:fill="auto" w:val="clear"/>
              </w:rPr>
              <w:t>Бенз/а/пирен;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 xml:space="preserve">3. 2902 </w:t>
            </w:r>
            <w:r>
              <w:rPr>
                <w:b w:val="false"/>
                <w:sz w:val="20"/>
                <w:szCs w:val="20"/>
                <w:shd w:fill="auto" w:val="clear"/>
              </w:rPr>
              <w:t>Взвешенные вещества;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4.  0301 Азота диоксид (Двуокись азота; пероксид азота);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5. 0304 Азот (II) оксид (Азот монооксид);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6. 0316 Гидрохлорид (по молекуле HCl) (Водород хлорид);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7. 0330 Сера диоксид;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8. 0333 Дигидросульфид (Водород сернистый,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дигидросульфид, гидросульфид);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9. 0337 Углерода оксид (Углерод окись;</w:t>
            </w:r>
          </w:p>
          <w:p>
            <w:pPr>
              <w:pStyle w:val="Normal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углерод моноокись; угарный газ);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10. 0342 Фториды газообразные;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 xml:space="preserve">11. 1325 Формальдегид (Муравьиный альдегид, оксометан, метиленоксид); 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 xml:space="preserve">12. 2732 Керосин (Керосин прямой перегонки; керосин дезодорированный); </w:t>
            </w:r>
          </w:p>
          <w:p>
            <w:pPr>
              <w:pStyle w:val="Style38"/>
              <w:spacing w:lineRule="auto" w:line="24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13. 2754 Алканы C12-C19 (в пересчете на С)</w:t>
            </w:r>
          </w:p>
          <w:p>
            <w:pPr>
              <w:pStyle w:val="Style38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14. </w:t>
            </w: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0123 Железа оксид;</w:t>
            </w:r>
          </w:p>
          <w:p>
            <w:pPr>
              <w:pStyle w:val="Style38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5</w:t>
            </w: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 2930 Пыль абразивная.</w:t>
            </w:r>
          </w:p>
        </w:tc>
      </w:tr>
      <w:tr>
        <w:trPr/>
        <w:tc>
          <w:tcPr>
            <w:tcW w:w="3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РПБ г.Олекминск Олекминского РЭС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1. Выхлопные трубы ДЭС — 2 шт.;</w:t>
            </w:r>
          </w:p>
          <w:p>
            <w:pPr>
              <w:pStyle w:val="Style38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2. Дыхательные клапаны резервуаров склада ГСМ — 8 шт.;</w:t>
            </w:r>
          </w:p>
          <w:p>
            <w:pPr>
              <w:pStyle w:val="Style38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3. Сварочный пост — 1 шт.;</w:t>
            </w:r>
          </w:p>
          <w:p>
            <w:pPr>
              <w:pStyle w:val="Style38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4. Сверлильный станок — 1 шт.;</w:t>
            </w:r>
          </w:p>
          <w:p>
            <w:pPr>
              <w:pStyle w:val="Style38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5. Заточный станок — 1 шт;</w:t>
            </w:r>
          </w:p>
          <w:p>
            <w:pPr>
              <w:pStyle w:val="Style38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6. Установка по обезвреживанию отходов — 1 шт.;</w:t>
            </w:r>
          </w:p>
          <w:p>
            <w:pPr>
              <w:pStyle w:val="Style38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7. Ворота гаража — 1 шт.;</w:t>
            </w:r>
          </w:p>
          <w:p>
            <w:pPr>
              <w:pStyle w:val="Style38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7. Внутренний проезд а/т по территории — 1 шт.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1. 0328 Углерод (Пигмент черный);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 xml:space="preserve">2. 0703 </w:t>
            </w:r>
            <w:r>
              <w:rPr>
                <w:b w:val="false"/>
                <w:sz w:val="20"/>
                <w:szCs w:val="20"/>
                <w:shd w:fill="auto" w:val="clear"/>
              </w:rPr>
              <w:t>Бенз/а/пирен;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 xml:space="preserve">3. 2902 </w:t>
            </w:r>
            <w:r>
              <w:rPr>
                <w:b w:val="false"/>
                <w:sz w:val="20"/>
                <w:szCs w:val="20"/>
                <w:shd w:fill="auto" w:val="clear"/>
              </w:rPr>
              <w:t>Взвешенные вещества;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4.  0301 Азота диоксид (Двуокись азота; пероксид азота);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5. 0304 Азот (II) оксид (Азот монооксид);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6. 0316 Гидрохлорид (по молекуле HCl) (Водород хлорид);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7. 0330 Сера диоксид;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8. 0333 Дигидросульфид (Водород сернистый,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дигидросульфид, гидросульфид);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9. 0337 Углерода оксид (Углерод окись;</w:t>
            </w:r>
          </w:p>
          <w:p>
            <w:pPr>
              <w:pStyle w:val="Normal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углерод моноокись; угарный газ);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10. 0342 Фториды газообразные;</w:t>
            </w:r>
          </w:p>
          <w:p>
            <w:pPr>
              <w:pStyle w:val="Style38"/>
              <w:spacing w:lineRule="auto" w:line="240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 xml:space="preserve">11. 2732 Керосин (Керосин прямой перегонки; керосин дезодорированный); </w:t>
            </w:r>
          </w:p>
          <w:p>
            <w:pPr>
              <w:pStyle w:val="Style38"/>
              <w:spacing w:lineRule="auto" w:line="24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2</w:t>
            </w: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 2754 Алканы C12-C19 (в пересчете на С)</w:t>
            </w:r>
          </w:p>
          <w:p>
            <w:pPr>
              <w:pStyle w:val="Style38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13. </w:t>
            </w: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0123 Железа оксид;</w:t>
            </w:r>
          </w:p>
          <w:p>
            <w:pPr>
              <w:pStyle w:val="Style38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4</w:t>
            </w: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 0143 Марганец и его соединения (в пересчете на марганец (IV) оксид);</w:t>
            </w:r>
          </w:p>
          <w:p>
            <w:pPr>
              <w:pStyle w:val="Style38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5</w:t>
            </w: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 2930 Пыль абразивная.</w:t>
            </w:r>
          </w:p>
          <w:p>
            <w:pPr>
              <w:pStyle w:val="Style38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16. </w:t>
            </w: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2704 Бензин (нефтяной, малосернистый) (в пересчете на углерод)</w:t>
            </w:r>
          </w:p>
        </w:tc>
      </w:tr>
      <w:tr>
        <w:trPr/>
        <w:tc>
          <w:tcPr>
            <w:tcW w:w="3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ДЭС с.Синск Производственного центра - 2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1. Выхлопные трубы ДЭС — 6 шт.;</w:t>
            </w:r>
          </w:p>
          <w:p>
            <w:pPr>
              <w:pStyle w:val="Style38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2. Дыхательные клапаны резервуаров склада ГСМ — 12 шт.;</w:t>
            </w:r>
          </w:p>
          <w:p>
            <w:pPr>
              <w:pStyle w:val="Style38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3. Установка по обезвреживанию отходов — 1 шт.;</w:t>
            </w:r>
          </w:p>
          <w:p>
            <w:pPr>
              <w:pStyle w:val="Style38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4. Внутренний проезд а/т по территории — 1 шт.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spacing w:lineRule="auto" w:line="24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1. 0328 Углерод (Пигмент черный);</w:t>
            </w:r>
          </w:p>
          <w:p>
            <w:pPr>
              <w:pStyle w:val="Style38"/>
              <w:spacing w:lineRule="auto" w:line="24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2. 0703 Бенз/а/пирен;</w:t>
            </w:r>
          </w:p>
          <w:p>
            <w:pPr>
              <w:pStyle w:val="Style38"/>
              <w:spacing w:lineRule="auto" w:line="24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3. 2902 Взвешенные вещества;</w:t>
            </w:r>
          </w:p>
          <w:p>
            <w:pPr>
              <w:pStyle w:val="Style38"/>
              <w:spacing w:lineRule="auto" w:line="24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4.  0301 Азота диоксид (Двуокись азота; пероксид азота);</w:t>
            </w:r>
          </w:p>
          <w:p>
            <w:pPr>
              <w:pStyle w:val="Style38"/>
              <w:spacing w:lineRule="auto" w:line="24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5. 0304 Азот (II) оксид (Азот монооксид);</w:t>
            </w:r>
          </w:p>
          <w:p>
            <w:pPr>
              <w:pStyle w:val="Style38"/>
              <w:spacing w:lineRule="auto" w:line="24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6. 0316 Гидрохлорид (по молекуле HCl) (Водород хлорид);</w:t>
            </w:r>
          </w:p>
          <w:p>
            <w:pPr>
              <w:pStyle w:val="Style38"/>
              <w:spacing w:lineRule="auto" w:line="24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7. 0330 Сера диоксид;</w:t>
            </w:r>
          </w:p>
          <w:p>
            <w:pPr>
              <w:pStyle w:val="Style38"/>
              <w:spacing w:lineRule="auto" w:line="24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8. 0333 Дигидросульфид (Водород сернистый,</w:t>
            </w:r>
          </w:p>
          <w:p>
            <w:pPr>
              <w:pStyle w:val="Style38"/>
              <w:spacing w:lineRule="auto" w:line="24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дигидросульфид, гидросульфид);</w:t>
            </w:r>
          </w:p>
          <w:p>
            <w:pPr>
              <w:pStyle w:val="Style38"/>
              <w:spacing w:lineRule="auto" w:line="24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9. 0337 Углерода оксид (Углерод окись; углерод моноокись; угарный газ);</w:t>
            </w:r>
          </w:p>
          <w:p>
            <w:pPr>
              <w:pStyle w:val="Style38"/>
              <w:spacing w:lineRule="auto" w:line="24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10. 0342 Фториды газообразные;</w:t>
            </w:r>
          </w:p>
          <w:p>
            <w:pPr>
              <w:pStyle w:val="Style38"/>
              <w:spacing w:lineRule="auto" w:line="24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11. 1325 Формальдегид (Муравьиный альдегид, оксометан, метиленоксид); </w:t>
            </w:r>
          </w:p>
          <w:p>
            <w:pPr>
              <w:pStyle w:val="Style38"/>
              <w:spacing w:lineRule="auto" w:line="24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12. 2732 Керосин (Керосин прямой перегонки; керосин дезодорированный); </w:t>
            </w:r>
          </w:p>
          <w:p>
            <w:pPr>
              <w:pStyle w:val="Style38"/>
              <w:spacing w:lineRule="auto" w:line="24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13. 2754 Алканы C12-C19 (в пересчете на С)</w:t>
            </w:r>
          </w:p>
        </w:tc>
      </w:tr>
      <w:tr>
        <w:trPr/>
        <w:tc>
          <w:tcPr>
            <w:tcW w:w="3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ДЭС с.Исит Производственного центра - 2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1. Выхлопные трубы ДЭС — 5 шт.;</w:t>
            </w:r>
          </w:p>
          <w:p>
            <w:pPr>
              <w:pStyle w:val="Style38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2. Дыхательные клапаны резервуаров склада ГСМ — 8 шт.;</w:t>
            </w:r>
          </w:p>
          <w:p>
            <w:pPr>
              <w:pStyle w:val="Style38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3. Установка по обезвреживанию отходов — 1 шт.;</w:t>
            </w:r>
          </w:p>
          <w:p>
            <w:pPr>
              <w:pStyle w:val="Style38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4. Внутренний проезд а/т по территории — 1 шт.</w:t>
            </w:r>
          </w:p>
          <w:p>
            <w:pPr>
              <w:pStyle w:val="Style38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5. Участок металлообработки — 1 шт.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spacing w:lineRule="auto" w:line="24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1. 0328 Углерод (Пигмент черный);</w:t>
            </w:r>
          </w:p>
          <w:p>
            <w:pPr>
              <w:pStyle w:val="Style38"/>
              <w:spacing w:lineRule="auto" w:line="24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2. 0703 Бенз/а/пирен;</w:t>
            </w:r>
          </w:p>
          <w:p>
            <w:pPr>
              <w:pStyle w:val="Style38"/>
              <w:spacing w:lineRule="auto" w:line="24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3. 2902 Взвешенные вещества;</w:t>
            </w:r>
          </w:p>
          <w:p>
            <w:pPr>
              <w:pStyle w:val="Style38"/>
              <w:spacing w:lineRule="auto" w:line="24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4.  0301 Азота диоксид (Двуокись азота; пероксид азота);</w:t>
            </w:r>
          </w:p>
          <w:p>
            <w:pPr>
              <w:pStyle w:val="Style38"/>
              <w:spacing w:lineRule="auto" w:line="24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5. 0304 Азот (II) оксид (Азот монооксид);</w:t>
            </w:r>
          </w:p>
          <w:p>
            <w:pPr>
              <w:pStyle w:val="Style38"/>
              <w:spacing w:lineRule="auto" w:line="24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6. 0316 Гидрохлорид (по молекуле HCl) (Водород хлорид);</w:t>
            </w:r>
          </w:p>
          <w:p>
            <w:pPr>
              <w:pStyle w:val="Style38"/>
              <w:spacing w:lineRule="auto" w:line="24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7. 0330 Сера диоксид;</w:t>
            </w:r>
          </w:p>
          <w:p>
            <w:pPr>
              <w:pStyle w:val="Style38"/>
              <w:spacing w:lineRule="auto" w:line="24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8. 0333 Дигидросульфид (Водород сернистый,</w:t>
            </w:r>
          </w:p>
          <w:p>
            <w:pPr>
              <w:pStyle w:val="Style38"/>
              <w:spacing w:lineRule="auto" w:line="24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дигидросульфид, гидросульфид);</w:t>
            </w:r>
          </w:p>
          <w:p>
            <w:pPr>
              <w:pStyle w:val="Style38"/>
              <w:spacing w:lineRule="auto" w:line="24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9. 0337 Углерода оксид (Углерод окись; углерод моноокись; угарный газ);</w:t>
            </w:r>
          </w:p>
          <w:p>
            <w:pPr>
              <w:pStyle w:val="Style38"/>
              <w:spacing w:lineRule="auto" w:line="24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10. 0342 Фториды газообразные;</w:t>
            </w:r>
          </w:p>
          <w:p>
            <w:pPr>
              <w:pStyle w:val="Style38"/>
              <w:spacing w:lineRule="auto" w:line="24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11. 1325 Формальдегид (Муравьиный альдегид, оксометан, метиленоксид); </w:t>
            </w:r>
          </w:p>
          <w:p>
            <w:pPr>
              <w:pStyle w:val="Style38"/>
              <w:spacing w:lineRule="auto" w:line="24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12. 2732 Керосин (Керосин прямой перегонки; керосин дезодорированный); </w:t>
            </w:r>
          </w:p>
          <w:p>
            <w:pPr>
              <w:pStyle w:val="Style38"/>
              <w:spacing w:lineRule="auto" w:line="24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13. 2754 Алканы C12-C19 (в пересчете на С)</w:t>
            </w:r>
          </w:p>
          <w:p>
            <w:pPr>
              <w:pStyle w:val="Style38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4</w:t>
            </w: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 0123 Железа оксид;</w:t>
            </w:r>
          </w:p>
          <w:p>
            <w:pPr>
              <w:pStyle w:val="Style38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15. </w:t>
            </w: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2930 Пыль абразивная.</w:t>
            </w:r>
          </w:p>
        </w:tc>
      </w:tr>
    </w:tbl>
    <w:p>
      <w:pPr>
        <w:sectPr>
          <w:headerReference w:type="first" r:id="rId2"/>
          <w:footerReference w:type="default" r:id="rId3"/>
          <w:type w:val="nextPage"/>
          <w:pgSz w:w="11906" w:h="16838"/>
          <w:pgMar w:left="1134" w:right="851" w:gutter="0" w:header="680" w:top="1134" w:footer="720" w:bottom="777"/>
          <w:pgNumType w:fmt="decimal"/>
          <w:formProt w:val="false"/>
          <w:titlePg/>
          <w:textDirection w:val="lrTb"/>
          <w:docGrid w:type="default" w:linePitch="100" w:charSpace="8192"/>
        </w:sectPr>
        <w:pStyle w:val="Standard"/>
        <w:tabs>
          <w:tab w:val="clear" w:pos="708"/>
          <w:tab w:val="left" w:pos="0" w:leader="none"/>
        </w:tabs>
        <w:spacing w:lineRule="auto" w:line="276"/>
        <w:rPr>
          <w:sz w:val="24"/>
          <w:szCs w:val="24"/>
        </w:rPr>
      </w:pPr>
      <w:r>
        <w:rPr/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426" w:leader="none"/>
        </w:tabs>
        <w:ind w:left="0" w:hanging="0"/>
        <w:jc w:val="both"/>
        <w:outlineLvl w:val="3"/>
        <w:rPr>
          <w:sz w:val="24"/>
        </w:rPr>
      </w:pPr>
      <w:bookmarkStart w:id="16" w:name="_Toc124266670"/>
      <w:r>
        <w:rPr>
          <w:rFonts w:eastAsia="Calibri"/>
          <w:b/>
          <w:bCs/>
          <w:sz w:val="24"/>
        </w:rPr>
        <w:t>1.5.</w:t>
        <w:tab/>
      </w:r>
      <w:bookmarkStart w:id="17" w:name="_Toc161754193"/>
      <w:r>
        <w:rPr>
          <w:rFonts w:eastAsia="Calibri"/>
          <w:b/>
          <w:bCs/>
          <w:sz w:val="24"/>
        </w:rPr>
        <w:t xml:space="preserve">Информация в отношении исполнения договора, </w:t>
      </w:r>
      <w:bookmarkStart w:id="18" w:name="_Hlk46492347"/>
      <w:r>
        <w:rPr>
          <w:rFonts w:eastAsia="Calibri"/>
          <w:b/>
          <w:bCs/>
          <w:sz w:val="24"/>
        </w:rPr>
        <w:t xml:space="preserve">которая должна быть учтена при подготовке заявки </w:t>
      </w:r>
      <w:bookmarkEnd w:id="18"/>
      <w:r>
        <w:rPr>
          <w:rFonts w:eastAsia="Calibri"/>
          <w:b/>
          <w:bCs/>
          <w:sz w:val="24"/>
        </w:rPr>
        <w:t>(в том числе перечень ресурсов, услуг и документов, предоставляемых заказчиком на этапе исполнения договора)</w:t>
      </w:r>
      <w:bookmarkEnd w:id="16"/>
      <w:bookmarkEnd w:id="17"/>
    </w:p>
    <w:p>
      <w:pPr>
        <w:pStyle w:val="Standard"/>
        <w:numPr>
          <w:ilvl w:val="0"/>
          <w:numId w:val="0"/>
        </w:numPr>
        <w:tabs>
          <w:tab w:val="clear" w:pos="708"/>
          <w:tab w:val="left" w:pos="426" w:leader="none"/>
        </w:tabs>
        <w:ind w:left="0" w:hanging="0"/>
        <w:jc w:val="both"/>
        <w:outlineLvl w:val="3"/>
        <w:rPr>
          <w:rFonts w:ascii="Times New Roman" w:hAnsi="Times New Roman"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</w:pPr>
      <w:bookmarkStart w:id="19" w:name="_Toc50125126_Копия_1"/>
      <w:bookmarkEnd w:id="19"/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>1.5.1. 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вопросов, связанных с оказанием Услуг.</w:t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426" w:leader="none"/>
        </w:tabs>
        <w:ind w:left="0" w:hanging="0"/>
        <w:jc w:val="both"/>
        <w:outlineLvl w:val="3"/>
        <w:rPr>
          <w:rFonts w:ascii="Times New Roman" w:hAnsi="Times New Roman"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 xml:space="preserve">1.5.2. 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информацию, необходимые Исполнителю для выполнения обязательств по Договору, </w:t>
      </w: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>в том числе: разработанные проекты СЗЗ, отчетные файлы расчетов рассеивания (УПРЗА «Эколог») и расчеты уровня шума (Эколог - Шум).</w:t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426" w:leader="none"/>
        </w:tabs>
        <w:ind w:left="0" w:hanging="0"/>
        <w:jc w:val="both"/>
        <w:outlineLvl w:val="3"/>
        <w:rPr>
          <w:rFonts w:ascii="Times New Roman" w:hAnsi="Times New Roman"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 xml:space="preserve">1.5.3. Наличие специализированных программных продуктов для проведения расчетов: УПРЗА-Эколог </w:t>
      </w: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>и Эколог-Шум</w:t>
      </w: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 xml:space="preserve"> и т.д., а также опыт работы с ними (с приложением подтверждающих документов).</w:t>
      </w:r>
    </w:p>
    <w:p>
      <w:pPr>
        <w:pStyle w:val="Standard"/>
        <w:keepNext w:val="true"/>
        <w:numPr>
          <w:ilvl w:val="0"/>
          <w:numId w:val="0"/>
        </w:numPr>
        <w:ind w:left="0" w:hanging="0"/>
        <w:jc w:val="both"/>
        <w:outlineLvl w:val="3"/>
        <w:rPr>
          <w:sz w:val="24"/>
        </w:rPr>
      </w:pPr>
      <w:r>
        <w:rPr>
          <w:sz w:val="24"/>
        </w:rPr>
      </w:r>
    </w:p>
    <w:p>
      <w:pPr>
        <w:pStyle w:val="Standard"/>
        <w:numPr>
          <w:ilvl w:val="0"/>
          <w:numId w:val="0"/>
        </w:numPr>
        <w:ind w:left="0" w:hanging="0"/>
        <w:jc w:val="both"/>
        <w:outlineLvl w:val="3"/>
        <w:rPr>
          <w:sz w:val="24"/>
        </w:rPr>
      </w:pPr>
      <w:bookmarkStart w:id="20" w:name="_Toc161754196"/>
      <w:r>
        <w:rPr>
          <w:rFonts w:eastAsia="Calibri"/>
          <w:b/>
          <w:bCs/>
          <w:sz w:val="24"/>
        </w:rPr>
        <w:t>1.6. Иные требования и сведения общего характера</w:t>
      </w:r>
      <w:bookmarkEnd w:id="20"/>
    </w:p>
    <w:p>
      <w:pPr>
        <w:pStyle w:val="Standard"/>
        <w:numPr>
          <w:ilvl w:val="0"/>
          <w:numId w:val="0"/>
        </w:numPr>
        <w:ind w:left="0" w:hanging="0"/>
        <w:jc w:val="both"/>
        <w:outlineLvl w:val="3"/>
        <w:rPr>
          <w:rFonts w:ascii="Times New Roman" w:hAnsi="Times New Roman"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 xml:space="preserve">1.6.1. Разработка </w:t>
      </w: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 xml:space="preserve">раздела по оценке риска для здоровья населения (ОРЗН) </w:t>
      </w: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>включает в себя:</w:t>
      </w:r>
    </w:p>
    <w:p>
      <w:pPr>
        <w:pStyle w:val="Standard"/>
        <w:numPr>
          <w:ilvl w:val="0"/>
          <w:numId w:val="0"/>
        </w:numPr>
        <w:jc w:val="both"/>
        <w:outlineLvl w:val="3"/>
        <w:rPr/>
      </w:pP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>- идентификацию опасности — выявление потенциально вредных факторов, оценка связи между изучаемым фактором и нарушениями состояния здоровья человека, составление перечня приоритетных поллютантов;</w:t>
      </w:r>
    </w:p>
    <w:p>
      <w:pPr>
        <w:pStyle w:val="Standard"/>
        <w:numPr>
          <w:ilvl w:val="0"/>
          <w:numId w:val="0"/>
        </w:numPr>
        <w:jc w:val="both"/>
        <w:outlineLvl w:val="3"/>
        <w:rPr/>
      </w:pP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>- оценку зависимости «доза — ответ» — выявление количественных связей между показателями состояния здоровья и уровнями экспозиции;</w:t>
      </w:r>
    </w:p>
    <w:p>
      <w:pPr>
        <w:pStyle w:val="Standard"/>
        <w:numPr>
          <w:ilvl w:val="0"/>
          <w:numId w:val="0"/>
        </w:numPr>
        <w:jc w:val="both"/>
        <w:outlineLvl w:val="3"/>
        <w:rPr/>
      </w:pP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>- оценку экспозиции (моделирование уровней загрязнения приземного слоя атмосферы) на территориях в зоне влияния выбросов предприяти</w:t>
      </w: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>я</w:t>
      </w: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>;</w:t>
      </w:r>
    </w:p>
    <w:p>
      <w:pPr>
        <w:pStyle w:val="Standard"/>
        <w:numPr>
          <w:ilvl w:val="0"/>
          <w:numId w:val="0"/>
        </w:numPr>
        <w:jc w:val="both"/>
        <w:outlineLvl w:val="3"/>
        <w:rPr/>
      </w:pP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>- количественн</w:t>
      </w: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>ую</w:t>
      </w: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 xml:space="preserve"> оценк</w:t>
      </w: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>у</w:t>
      </w: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 xml:space="preserve"> риска хронических неканцерогенных и канцерогенных эффектов для здоровья населения с учетом выбросов предприяти</w:t>
      </w: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>я;</w:t>
      </w:r>
    </w:p>
    <w:p>
      <w:pPr>
        <w:pStyle w:val="Standard"/>
        <w:numPr>
          <w:ilvl w:val="0"/>
          <w:numId w:val="0"/>
        </w:numPr>
        <w:jc w:val="both"/>
        <w:outlineLvl w:val="3"/>
        <w:rPr>
          <w:rFonts w:ascii="Times New Roman" w:hAnsi="Times New Roman"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>- характеристику риска — анализ всех полученных данных, расчет рисков, сравнение рисков с допустимыми (приемлемыми) уровнями;</w:t>
      </w:r>
    </w:p>
    <w:p>
      <w:pPr>
        <w:pStyle w:val="Normal"/>
        <w:widowControl w:val="false"/>
        <w:numPr>
          <w:ilvl w:val="1"/>
        </w:numPr>
        <w:shd w:val="clear" w:color="auto" w:fill="FFFFFF"/>
        <w:spacing w:lineRule="auto" w:line="216"/>
        <w:ind w:hanging="0"/>
        <w:jc w:val="both"/>
        <w:rPr>
          <w:rFonts w:ascii="Times New Roman" w:hAnsi="Times New Roman" w:eastAsia="Times New Roman" w:cs="Times New Roman"/>
          <w:kern w:val="0"/>
          <w:lang w:eastAsia="ru-RU"/>
          <w14:ligatures w14:val="none"/>
        </w:rPr>
      </w:pP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  <w14:ligatures w14:val="none"/>
        </w:rPr>
        <w:t xml:space="preserve">- оценку вклада источников </w:t>
      </w: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  <w14:ligatures w14:val="none"/>
        </w:rPr>
        <w:t>выбросов предприятия, в суммарный уровень риска для здоровья населения;</w:t>
      </w:r>
    </w:p>
    <w:p>
      <w:pPr>
        <w:pStyle w:val="Normal"/>
        <w:widowControl w:val="false"/>
        <w:shd w:val="clear" w:color="auto" w:fill="FFFFFF"/>
        <w:spacing w:lineRule="auto" w:line="216"/>
        <w:ind w:hanging="0"/>
        <w:jc w:val="both"/>
        <w:rPr>
          <w:rFonts w:ascii="Times New Roman" w:hAnsi="Times New Roman" w:eastAsia="Times New Roman" w:cs="Times New Roman"/>
          <w:kern w:val="0"/>
          <w:lang w:eastAsia="ru-RU"/>
          <w14:ligatures w14:val="none"/>
        </w:rPr>
      </w:pP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  <w14:ligatures w14:val="none"/>
        </w:rPr>
        <w:t>- подготовку рекомендаций по снижению риска до допустимого уровня (при необходимости).</w:t>
      </w:r>
    </w:p>
    <w:p>
      <w:pPr>
        <w:pStyle w:val="Standard"/>
        <w:numPr>
          <w:ilvl w:val="0"/>
          <w:numId w:val="0"/>
        </w:numPr>
        <w:ind w:left="0" w:hanging="0"/>
        <w:jc w:val="both"/>
        <w:outlineLvl w:val="3"/>
        <w:rPr>
          <w:rFonts w:ascii="Times New Roman" w:hAnsi="Times New Roman"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 xml:space="preserve">1.6.2. </w:t>
      </w: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>Раздел ОРЗН</w:t>
      </w: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 xml:space="preserve"> выполнить в соответствии с требованиями действующих нормативно-методических документов по оценке риска, с установлением вероятности развития и степени выраженности неблагоприятных последствий для здоровья человека или здоровья будущих поколений, обусловленных воздействием химических и физических факторов;</w:t>
      </w:r>
    </w:p>
    <w:p>
      <w:pPr>
        <w:pStyle w:val="Standard"/>
        <w:numPr>
          <w:ilvl w:val="0"/>
          <w:numId w:val="0"/>
        </w:numPr>
        <w:ind w:left="0" w:hanging="0"/>
        <w:jc w:val="both"/>
        <w:outlineLvl w:val="3"/>
        <w:rPr>
          <w:rFonts w:ascii="Times New Roman" w:hAnsi="Times New Roman"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 xml:space="preserve">1.6.3. В стоимость услуг включены </w:t>
      </w: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 xml:space="preserve">все сопутствующие </w:t>
      </w: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 xml:space="preserve">расходы по </w:t>
      </w: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>согласованию ОРЗН в установленном законом порядке;</w:t>
      </w:r>
    </w:p>
    <w:p>
      <w:pPr>
        <w:pStyle w:val="Standard"/>
        <w:numPr>
          <w:ilvl w:val="0"/>
          <w:numId w:val="0"/>
        </w:numPr>
        <w:ind w:left="0" w:hanging="0"/>
        <w:jc w:val="both"/>
        <w:outlineLvl w:val="3"/>
        <w:rPr>
          <w:rFonts w:ascii="Times New Roman" w:hAnsi="Times New Roman"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</w:pPr>
      <w:r>
        <w:rPr/>
      </w:r>
    </w:p>
    <w:p>
      <w:pPr>
        <w:pStyle w:val="Standard"/>
        <w:keepNext w:val="true"/>
        <w:numPr>
          <w:ilvl w:val="0"/>
          <w:numId w:val="0"/>
        </w:numPr>
        <w:tabs>
          <w:tab w:val="clear" w:pos="708"/>
          <w:tab w:val="left" w:pos="284" w:leader="none"/>
        </w:tabs>
        <w:ind w:left="0" w:hanging="0"/>
        <w:jc w:val="center"/>
        <w:outlineLvl w:val="0"/>
        <w:rPr>
          <w:rFonts w:eastAsia="Calibri"/>
          <w:b/>
        </w:rPr>
      </w:pPr>
      <w:r>
        <w:rPr>
          <w:rFonts w:eastAsia="Calibri"/>
          <w:b/>
        </w:rPr>
        <w:t>2.</w:t>
        <w:tab/>
      </w:r>
      <w:bookmarkStart w:id="21" w:name="_Toc51339693_Копия_1"/>
      <w:bookmarkStart w:id="22" w:name="_Toc161754199"/>
      <w:r>
        <w:rPr>
          <w:rFonts w:eastAsia="Calibri"/>
          <w:b/>
        </w:rPr>
        <w:t>Требования к продукци</w:t>
      </w:r>
      <w:bookmarkEnd w:id="21"/>
      <w:bookmarkEnd w:id="22"/>
      <w:r>
        <w:rPr>
          <w:rFonts w:eastAsia="Calibri"/>
          <w:b/>
        </w:rPr>
        <w:t>и</w:t>
      </w:r>
    </w:p>
    <w:p>
      <w:pPr>
        <w:pStyle w:val="ListParagraph"/>
        <w:numPr>
          <w:ilvl w:val="0"/>
          <w:numId w:val="0"/>
        </w:numPr>
        <w:ind w:hanging="0"/>
        <w:jc w:val="both"/>
        <w:rPr>
          <w:lang w:val="x-none" w:eastAsia="x-none"/>
        </w:rPr>
      </w:pPr>
      <w:r>
        <w:rPr>
          <w:rFonts w:eastAsia="Calibri"/>
          <w:b w:val="false"/>
          <w:bCs w:val="false"/>
          <w:sz w:val="24"/>
          <w:szCs w:val="24"/>
          <w:lang w:val="x-none" w:eastAsia="x-none"/>
        </w:rPr>
        <w:t>- Федеральный закон «О санитарно-эпидемиологическом благополучии населения» от 30.03.1999 №52-ФЗ;</w:t>
      </w:r>
    </w:p>
    <w:p>
      <w:pPr>
        <w:pStyle w:val="ListParagraph"/>
        <w:numPr>
          <w:ilvl w:val="0"/>
          <w:numId w:val="9"/>
        </w:numPr>
        <w:ind w:hanging="0"/>
        <w:jc w:val="both"/>
        <w:rPr>
          <w:lang w:val="x-none" w:eastAsia="x-none"/>
        </w:rPr>
      </w:pPr>
      <w:r>
        <w:rPr>
          <w:rFonts w:eastAsia="Calibri"/>
          <w:b w:val="false"/>
          <w:bCs w:val="false"/>
          <w:sz w:val="24"/>
          <w:szCs w:val="24"/>
          <w:lang w:val="x-none" w:eastAsia="x-none"/>
        </w:rPr>
        <w:t>Федеральный закон от 27.12.2002 № 184-ФЗ «О техническом регулировании»;</w:t>
      </w:r>
    </w:p>
    <w:p>
      <w:pPr>
        <w:pStyle w:val="ListParagraph"/>
        <w:numPr>
          <w:ilvl w:val="0"/>
          <w:numId w:val="9"/>
        </w:numPr>
        <w:ind w:hanging="0"/>
        <w:jc w:val="both"/>
        <w:rPr>
          <w:lang w:val="x-none" w:eastAsia="x-none"/>
        </w:rPr>
      </w:pPr>
      <w:r>
        <w:rPr>
          <w:rFonts w:eastAsia="Calibri"/>
          <w:b w:val="false"/>
          <w:bCs w:val="false"/>
          <w:sz w:val="24"/>
          <w:szCs w:val="24"/>
          <w:lang w:val="x-none" w:eastAsia="x-none"/>
        </w:rPr>
        <w:t>СанПиН 2.2.1/2.1.1.1200-03 «Санитарно-защитные зоны и санитарная классификация предприятий, сооружений и иных объектов»;</w:t>
      </w:r>
    </w:p>
    <w:p>
      <w:pPr>
        <w:pStyle w:val="ListParagraph"/>
        <w:numPr>
          <w:ilvl w:val="0"/>
          <w:numId w:val="9"/>
        </w:numPr>
        <w:ind w:hanging="0"/>
        <w:jc w:val="both"/>
        <w:rPr>
          <w:lang w:val="x-none" w:eastAsia="x-none"/>
        </w:rPr>
      </w:pPr>
      <w:r>
        <w:rPr>
          <w:rFonts w:eastAsia="Calibri"/>
          <w:b w:val="false"/>
          <w:bCs w:val="false"/>
          <w:sz w:val="24"/>
          <w:szCs w:val="24"/>
          <w:lang w:val="x-none" w:eastAsia="x-none"/>
        </w:rPr>
        <w:t>Р 2.1.10.3968-23 «Руководство по оценке риска здоровью населения при воздействии химических веществ, загрязняющих среду обитания».</w:t>
      </w:r>
    </w:p>
    <w:p>
      <w:pPr>
        <w:pStyle w:val="ListParagraph"/>
        <w:jc w:val="both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Standard"/>
        <w:keepNext w:val="true"/>
        <w:numPr>
          <w:ilvl w:val="0"/>
          <w:numId w:val="0"/>
        </w:numPr>
        <w:tabs>
          <w:tab w:val="clear" w:pos="708"/>
          <w:tab w:val="left" w:pos="426" w:leader="none"/>
        </w:tabs>
        <w:ind w:left="0" w:hanging="0"/>
        <w:jc w:val="both"/>
        <w:outlineLvl w:val="3"/>
        <w:rPr>
          <w:rFonts w:eastAsia="Calibri"/>
          <w:b/>
          <w:bCs/>
          <w:sz w:val="24"/>
        </w:rPr>
      </w:pPr>
      <w:r>
        <w:rPr>
          <w:rFonts w:eastAsia="Calibri"/>
          <w:b/>
          <w:bCs/>
          <w:sz w:val="24"/>
        </w:rPr>
        <w:t>2.1.</w:t>
        <w:tab/>
        <w:t>Требования к объемам и срокам оказания услуг</w:t>
      </w:r>
    </w:p>
    <w:p>
      <w:pPr>
        <w:pStyle w:val="Standard"/>
        <w:numPr>
          <w:ilvl w:val="0"/>
          <w:numId w:val="0"/>
        </w:numPr>
        <w:ind w:left="0" w:hanging="0"/>
        <w:jc w:val="both"/>
        <w:outlineLvl w:val="3"/>
        <w:rPr>
          <w:rFonts w:eastAsia="Calibri"/>
          <w:b/>
          <w:bCs/>
          <w:sz w:val="24"/>
        </w:rPr>
      </w:pPr>
      <w:r>
        <w:rPr>
          <w:rFonts w:eastAsia="Calibri"/>
          <w:b/>
          <w:bCs/>
          <w:sz w:val="24"/>
        </w:rPr>
        <w:t>2.1.1 Требования к перечню и объему услуг</w:t>
      </w:r>
    </w:p>
    <w:p>
      <w:pPr>
        <w:pStyle w:val="Standard"/>
        <w:keepNext w:val="true"/>
        <w:numPr>
          <w:ilvl w:val="0"/>
          <w:numId w:val="0"/>
        </w:numPr>
        <w:ind w:left="0" w:hanging="0"/>
        <w:jc w:val="both"/>
        <w:outlineLvl w:val="0"/>
        <w:rPr/>
      </w:pPr>
      <w:bookmarkStart w:id="23" w:name="_Toc51339695_Копия_1"/>
      <w:bookmarkStart w:id="24" w:name="_Toc161754202"/>
      <w:bookmarkStart w:id="25" w:name="_Toc161754201"/>
      <w:bookmarkStart w:id="26" w:name="_Toc156223532"/>
      <w:bookmarkStart w:id="27" w:name="_Toc161754203"/>
      <w:bookmarkStart w:id="28" w:name="_Toc161754200"/>
      <w:bookmarkEnd w:id="23"/>
      <w:bookmarkEnd w:id="24"/>
      <w:bookmarkEnd w:id="25"/>
      <w:bookmarkEnd w:id="26"/>
      <w:bookmarkEnd w:id="27"/>
      <w:bookmarkEnd w:id="28"/>
      <w:r>
        <w:rPr>
          <w:rFonts w:eastAsia="Calibri"/>
          <w:b/>
          <w:sz w:val="24"/>
        </w:rPr>
        <w:t>Таблица 2. Перечень и объем оказываемых услуг</w:t>
      </w:r>
    </w:p>
    <w:tbl>
      <w:tblPr>
        <w:tblW w:w="10009" w:type="dxa"/>
        <w:jc w:val="left"/>
        <w:tblInd w:w="1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56"/>
        <w:gridCol w:w="3297"/>
        <w:gridCol w:w="1015"/>
        <w:gridCol w:w="764"/>
        <w:gridCol w:w="4377"/>
      </w:tblGrid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услуг / этапа услуг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Примечание</w:t>
            </w:r>
          </w:p>
        </w:tc>
      </w:tr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>
        <w:trPr>
          <w:trHeight w:val="151" w:hRule="atLeast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jc w:val="center"/>
              <w:rPr>
                <w:sz w:val="12"/>
                <w:szCs w:val="20"/>
              </w:rPr>
            </w:pPr>
            <w:r>
              <w:rPr>
                <w:sz w:val="12"/>
                <w:szCs w:val="20"/>
              </w:rPr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Раздел «Оценка риска здоровью населения» по объекту ДЭС с.Таймылыр Булунских ЭС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-Один экземпляр в бумажном и один в электронном виде, в формате разработки и формате PDF (CD-диск), акт об оказании услуг;</w:t>
            </w:r>
          </w:p>
          <w:p>
            <w:pPr>
              <w:pStyle w:val="ListParagraph"/>
              <w:widowControl w:val="false"/>
              <w:suppressAutoHyphens w:val="true"/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-Оригиналы положительных экспертных заключений и санитарно-эпидемиологические заключения;</w:t>
            </w:r>
          </w:p>
          <w:p>
            <w:pPr>
              <w:pStyle w:val="ListParagraph"/>
              <w:widowControl w:val="false"/>
              <w:suppressAutoHyphens w:val="true"/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-В связи с возможными изменениями законодательства РФ в ходе исполнения договорных обязательств, возможно внесение корректировок в техническое требование в части оказываемых услуг без увеличения контрактной стоимости;</w:t>
            </w:r>
          </w:p>
          <w:p>
            <w:pPr>
              <w:pStyle w:val="ListParagraph"/>
              <w:widowControl w:val="false"/>
              <w:suppressAutoHyphens w:val="true"/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-Разработанная природоохранная документация</w:t>
            </w:r>
          </w:p>
          <w:p>
            <w:pPr>
              <w:pStyle w:val="ListParagraph"/>
              <w:widowControl w:val="false"/>
              <w:suppressAutoHyphens w:val="true"/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предварительно согласовывается с Заказчиком.</w:t>
            </w:r>
          </w:p>
        </w:tc>
      </w:tr>
      <w:tr>
        <w:trPr>
          <w:trHeight w:val="151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jc w:val="center"/>
              <w:rPr>
                <w:sz w:val="12"/>
                <w:szCs w:val="20"/>
              </w:rPr>
            </w:pPr>
            <w:r>
              <w:rPr>
                <w:sz w:val="12"/>
                <w:szCs w:val="20"/>
              </w:rPr>
            </w:r>
          </w:p>
        </w:tc>
        <w:tc>
          <w:tcPr>
            <w:tcW w:w="3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Раздел «Оценка риска здоровью населения» по объекту ДЭС п.Батагай Верхоянских ЭС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Экз.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51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jc w:val="center"/>
              <w:rPr>
                <w:sz w:val="12"/>
                <w:szCs w:val="20"/>
              </w:rPr>
            </w:pPr>
            <w:r>
              <w:rPr>
                <w:sz w:val="12"/>
                <w:szCs w:val="20"/>
              </w:rPr>
            </w:r>
          </w:p>
        </w:tc>
        <w:tc>
          <w:tcPr>
            <w:tcW w:w="3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 xml:space="preserve">Раздел «Оценка риска здоровью населения» по объекту МАЭК п.Черский Нижнеколымского РЭС 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Экз.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51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jc w:val="center"/>
              <w:rPr>
                <w:sz w:val="12"/>
                <w:szCs w:val="20"/>
              </w:rPr>
            </w:pPr>
            <w:r>
              <w:rPr>
                <w:sz w:val="12"/>
                <w:szCs w:val="20"/>
              </w:rPr>
            </w:r>
          </w:p>
        </w:tc>
        <w:tc>
          <w:tcPr>
            <w:tcW w:w="3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Раздел «Оценка риска здоровью населения» по объекту РПБ Олекминск Олекминского РЭС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Экз.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51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jc w:val="center"/>
              <w:rPr>
                <w:sz w:val="12"/>
                <w:szCs w:val="20"/>
              </w:rPr>
            </w:pPr>
            <w:r>
              <w:rPr>
                <w:sz w:val="12"/>
                <w:szCs w:val="20"/>
              </w:rPr>
            </w:r>
          </w:p>
        </w:tc>
        <w:tc>
          <w:tcPr>
            <w:tcW w:w="3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Раздел «Оценка риска здоровью населения» по объекту ДЭС с.Синск Производственного центра - 2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Экз.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51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jc w:val="center"/>
              <w:rPr>
                <w:sz w:val="12"/>
                <w:szCs w:val="20"/>
              </w:rPr>
            </w:pPr>
            <w:r>
              <w:rPr>
                <w:sz w:val="12"/>
                <w:szCs w:val="20"/>
              </w:rPr>
            </w:r>
          </w:p>
        </w:tc>
        <w:tc>
          <w:tcPr>
            <w:tcW w:w="3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Раздел «Оценка риска здоровью населения» по объекту ДЭС с.Исит Производственного центра - 2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Экз.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numPr>
          <w:ilvl w:val="0"/>
          <w:numId w:val="0"/>
        </w:numPr>
        <w:ind w:left="0" w:hanging="0"/>
        <w:jc w:val="both"/>
        <w:outlineLvl w:val="0"/>
        <w:rPr/>
      </w:pPr>
      <w:r>
        <w:rPr/>
      </w:r>
    </w:p>
    <w:p>
      <w:pPr>
        <w:pStyle w:val="Standard"/>
        <w:keepNext w:val="true"/>
        <w:numPr>
          <w:ilvl w:val="0"/>
          <w:numId w:val="0"/>
        </w:numPr>
        <w:ind w:left="0" w:hanging="0"/>
        <w:jc w:val="both"/>
        <w:outlineLvl w:val="2"/>
        <w:rPr>
          <w:sz w:val="24"/>
        </w:rPr>
      </w:pPr>
      <w:r>
        <w:rPr>
          <w:rFonts w:eastAsia="Calibri"/>
          <w:b/>
          <w:bCs/>
          <w:sz w:val="24"/>
        </w:rPr>
        <w:t>2.1.2.</w:t>
        <w:tab/>
      </w:r>
      <w:bookmarkStart w:id="29" w:name="_Toc156223534"/>
      <w:bookmarkStart w:id="30" w:name="_Toc161754204"/>
      <w:r>
        <w:rPr>
          <w:rFonts w:eastAsia="Calibri"/>
          <w:b/>
          <w:bCs/>
          <w:sz w:val="24"/>
        </w:rPr>
        <w:t>Требования к срокам оказания услуг</w:t>
      </w:r>
      <w:bookmarkEnd w:id="29"/>
      <w:bookmarkEnd w:id="30"/>
    </w:p>
    <w:p>
      <w:pPr>
        <w:pStyle w:val="Standard"/>
        <w:keepNext w:val="true"/>
        <w:numPr>
          <w:ilvl w:val="0"/>
          <w:numId w:val="0"/>
        </w:numPr>
        <w:ind w:left="0" w:hanging="0"/>
        <w:jc w:val="both"/>
        <w:outlineLvl w:val="0"/>
        <w:rPr/>
      </w:pPr>
      <w:bookmarkStart w:id="31" w:name="_Toc161754205"/>
      <w:bookmarkStart w:id="32" w:name="_Toc50125127_Копия_1"/>
      <w:bookmarkStart w:id="33" w:name="_Toc50125126"/>
      <w:bookmarkEnd w:id="33"/>
      <w:r>
        <w:rPr>
          <w:rFonts w:eastAsia="Calibri"/>
          <w:b/>
          <w:sz w:val="24"/>
        </w:rPr>
        <w:t xml:space="preserve">Таблица 3. </w:t>
      </w:r>
      <w:bookmarkStart w:id="34" w:name="_Hlk50465284_Копия_1"/>
      <w:r>
        <w:rPr>
          <w:rFonts w:eastAsia="Calibri"/>
          <w:b/>
          <w:sz w:val="24"/>
        </w:rPr>
        <w:t xml:space="preserve">Требования к срокам </w:t>
      </w:r>
      <w:bookmarkEnd w:id="32"/>
      <w:bookmarkEnd w:id="34"/>
      <w:r>
        <w:rPr>
          <w:rFonts w:eastAsia="Calibri"/>
          <w:b/>
          <w:sz w:val="24"/>
        </w:rPr>
        <w:t>оказания услуг</w:t>
      </w:r>
      <w:bookmarkEnd w:id="31"/>
    </w:p>
    <w:tbl>
      <w:tblPr>
        <w:tblW w:w="10059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6"/>
        <w:gridCol w:w="4023"/>
        <w:gridCol w:w="2410"/>
        <w:gridCol w:w="3119"/>
      </w:tblGrid>
      <w:tr>
        <w:trPr/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услуг/ этапа услуг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началу срока оказания услуг/ этапа услуг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окончанию срока оказания услуг / этапа услуг</w:t>
            </w:r>
          </w:p>
        </w:tc>
      </w:tr>
      <w:tr>
        <w:trPr>
          <w:trHeight w:val="137" w:hRule="atLeast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sz w:val="20"/>
                <w:szCs w:val="20"/>
              </w:rPr>
            </w:pPr>
            <w:bookmarkStart w:id="35" w:name="_Toc46743510"/>
            <w:r>
              <w:rPr>
                <w:b/>
                <w:sz w:val="20"/>
                <w:szCs w:val="20"/>
              </w:rPr>
              <w:t>4</w:t>
            </w:r>
            <w:bookmarkEnd w:id="35"/>
          </w:p>
        </w:tc>
      </w:tr>
      <w:tr>
        <w:trPr/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Разработка </w:t>
            </w:r>
            <w:r>
              <w:rPr>
                <w:sz w:val="20"/>
                <w:szCs w:val="20"/>
              </w:rPr>
              <w:t>разделов «Оценка риска здоровью населения» для объектов</w:t>
            </w:r>
            <w:r>
              <w:rPr>
                <w:sz w:val="20"/>
                <w:szCs w:val="20"/>
              </w:rPr>
              <w:t xml:space="preserve"> АО «Сахаэнерго»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В течение 90 календарных дней с момента предоставления исходных данных необходимых для </w:t>
            </w:r>
            <w:r>
              <w:rPr>
                <w:rFonts w:eastAsia="Times New Roman" w:cs="Times New Roman"/>
                <w:iCs/>
                <w:color w:val="auto"/>
                <w:kern w:val="0"/>
                <w:sz w:val="20"/>
                <w:szCs w:val="20"/>
                <w:lang w:val="ru-RU" w:eastAsia="ru-RU" w:bidi="ar-SA"/>
              </w:rPr>
              <w:t>разработки разделов «Оценка риска здоровью населения» для объектов АО «Сахаэнерго»</w:t>
            </w:r>
          </w:p>
        </w:tc>
      </w:tr>
      <w:tr>
        <w:trPr/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Экспертиза </w:t>
            </w:r>
            <w:r>
              <w:rPr>
                <w:sz w:val="20"/>
                <w:szCs w:val="20"/>
              </w:rPr>
              <w:t>раздела «Оценка риска здоровью населения» в аккредитованном центре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Получение санитарно-эпидемиологического заключения в Управлении Роспотребнадзора по РС (Я)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sectPr>
          <w:headerReference w:type="default" r:id="rId4"/>
          <w:headerReference w:type="first" r:id="rId5"/>
          <w:footerReference w:type="default" r:id="rId6"/>
          <w:footerReference w:type="first" r:id="rId7"/>
          <w:type w:val="nextPage"/>
          <w:pgSz w:w="11906" w:h="16838"/>
          <w:pgMar w:left="1134" w:right="851" w:gutter="0" w:header="680" w:top="1134" w:footer="720" w:bottom="777"/>
          <w:pgNumType w:fmt="decimal"/>
          <w:formProt w:val="false"/>
          <w:titlePg/>
          <w:textDirection w:val="lrTb"/>
          <w:docGrid w:type="default" w:linePitch="100" w:charSpace="8192"/>
        </w:sectPr>
        <w:pStyle w:val="Normal"/>
        <w:rPr/>
      </w:pPr>
      <w:r>
        <w:rPr/>
      </w:r>
    </w:p>
    <w:p>
      <w:pPr>
        <w:pStyle w:val="Heading2"/>
        <w:numPr>
          <w:ilvl w:val="0"/>
          <w:numId w:val="0"/>
        </w:numPr>
        <w:ind w:left="0" w:right="0" w:hanging="0"/>
        <w:jc w:val="left"/>
        <w:rPr>
          <w:sz w:val="24"/>
        </w:rPr>
      </w:pPr>
      <w:bookmarkStart w:id="36" w:name="__RefHeading___Toc1767_82466936_Копия_1"/>
      <w:bookmarkStart w:id="37" w:name="_Toc50125127_Копия_1_Копия_1"/>
      <w:bookmarkStart w:id="38" w:name="_Toc51339697_Копия_1"/>
      <w:bookmarkStart w:id="39" w:name="_Hlk50465284_Копия_1_Копия_1"/>
      <w:bookmarkStart w:id="40" w:name="_Toc124266678_Копия_1"/>
      <w:bookmarkEnd w:id="36"/>
      <w:bookmarkEnd w:id="37"/>
      <w:bookmarkEnd w:id="38"/>
      <w:bookmarkEnd w:id="39"/>
      <w:bookmarkEnd w:id="40"/>
      <w:r>
        <w:rPr>
          <w:sz w:val="24"/>
        </w:rPr>
        <w:t>2.2.</w:t>
        <w:tab/>
      </w:r>
      <w:bookmarkStart w:id="41" w:name="_Toc51339698"/>
      <w:bookmarkStart w:id="42" w:name="_Toc124266679"/>
      <w:bookmarkStart w:id="43" w:name="_Toc46743511"/>
      <w:r>
        <w:rPr>
          <w:sz w:val="24"/>
        </w:rPr>
        <w:t xml:space="preserve">Требования к </w:t>
      </w:r>
      <w:bookmarkEnd w:id="43"/>
      <w:r>
        <w:rPr>
          <w:sz w:val="24"/>
        </w:rPr>
        <w:t>качеству услуг</w:t>
      </w:r>
      <w:bookmarkEnd w:id="42"/>
    </w:p>
    <w:p>
      <w:pPr>
        <w:pStyle w:val="Heading2"/>
        <w:numPr>
          <w:ilvl w:val="0"/>
          <w:numId w:val="0"/>
        </w:numPr>
        <w:ind w:left="0" w:right="0" w:hanging="0"/>
        <w:jc w:val="left"/>
        <w:rPr>
          <w:sz w:val="24"/>
        </w:rPr>
      </w:pPr>
      <w:bookmarkStart w:id="44" w:name="_Toc124266680"/>
      <w:r>
        <w:rPr>
          <w:sz w:val="24"/>
        </w:rPr>
        <w:t xml:space="preserve">Таблица 4. Требования к </w:t>
      </w:r>
      <w:bookmarkEnd w:id="41"/>
      <w:r>
        <w:rPr>
          <w:sz w:val="24"/>
        </w:rPr>
        <w:t>качеству услуг</w:t>
      </w:r>
      <w:bookmarkEnd w:id="44"/>
    </w:p>
    <w:p>
      <w:pPr>
        <w:pStyle w:val="Standard"/>
        <w:rPr>
          <w:sz w:val="24"/>
          <w:szCs w:val="24"/>
        </w:rPr>
      </w:pPr>
      <w:r>
        <w:rPr>
          <w:b/>
          <w:bCs/>
          <w:sz w:val="24"/>
          <w:szCs w:val="24"/>
        </w:rPr>
        <w:t>Наименование услуг/этапа услуг</w:t>
      </w:r>
      <w:bookmarkStart w:id="45" w:name="_Toc124266690"/>
      <w:bookmarkEnd w:id="45"/>
      <w:r>
        <w:rPr>
          <w:b/>
          <w:bCs/>
          <w:sz w:val="24"/>
          <w:szCs w:val="24"/>
        </w:rPr>
        <w:t xml:space="preserve">: </w:t>
      </w:r>
      <w:r>
        <w:rPr>
          <w:rFonts w:eastAsia="Calibri"/>
          <w:b/>
          <w:bCs/>
          <w:kern w:val="2"/>
          <w:sz w:val="24"/>
          <w:szCs w:val="24"/>
          <w:lang w:val="ru-RU" w:eastAsia="en-US"/>
        </w:rPr>
        <w:t>Разработка нормативов предельно допустимых выбросов АО «Сахаэнерго»</w:t>
      </w:r>
    </w:p>
    <w:tbl>
      <w:tblPr>
        <w:tblW w:w="15180" w:type="dxa"/>
        <w:jc w:val="left"/>
        <w:tblInd w:w="-2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60"/>
        <w:gridCol w:w="2415"/>
        <w:gridCol w:w="5670"/>
        <w:gridCol w:w="1979"/>
        <w:gridCol w:w="2701"/>
        <w:gridCol w:w="1754"/>
      </w:tblGrid>
      <w:tr>
        <w:trPr/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-67" w:right="-108" w:hang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>
            <w:pPr>
              <w:pStyle w:val="Standard"/>
              <w:widowControl w:val="false"/>
              <w:ind w:left="-67" w:right="-108" w:hang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-108" w:right="-108" w:hang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1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left="-67" w:right="-108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-108" w:right="-108" w:hang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-108" w:right="-108" w:hang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7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-67" w:right="-108" w:hanging="0"/>
              <w:jc w:val="center"/>
              <w:rPr>
                <w:sz w:val="20"/>
                <w:szCs w:val="20"/>
              </w:rPr>
            </w:pPr>
            <w:bookmarkStart w:id="46" w:name="_Toc53499667"/>
            <w:r>
              <w:rPr>
                <w:b/>
                <w:bCs/>
                <w:sz w:val="20"/>
                <w:szCs w:val="20"/>
              </w:rPr>
              <w:t>1</w:t>
            </w:r>
            <w:bookmarkEnd w:id="46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-108" w:right="-108" w:hang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-108" w:right="-108" w:hang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ind w:left="-67" w:right="-108" w:hanging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8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оказанию услуг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67" w:right="-108" w:hang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8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Общие требования к оказанию услуг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67" w:right="-108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В течение 90 календарных дней с момента предоставления исходных данных необходимых для </w:t>
            </w:r>
            <w:r>
              <w:rPr>
                <w:rFonts w:eastAsia="Times New Roman" w:cs="Times New Roman"/>
                <w:iCs/>
                <w:color w:val="auto"/>
                <w:kern w:val="0"/>
                <w:sz w:val="20"/>
                <w:szCs w:val="20"/>
                <w:lang w:val="ru-RU" w:eastAsia="ru-RU" w:bidi="ar-SA"/>
              </w:rPr>
              <w:t>разработки разделов «Оценка риска здоровью населения» для объектов АО «Сахаэнерго»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-108" w:right="-108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0" w:after="0"/>
              <w:ind w:left="-108" w:right="-108" w:hanging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bookmarkStart w:id="47" w:name="__RefHeading___Toc1773_82466936"/>
            <w:bookmarkStart w:id="48" w:name="__RefHeading___Toc1773_82466936"/>
            <w:bookmarkEnd w:id="48"/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67" w:right="-108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Р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аздел «Оценка риска здоровью населения»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д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олжен содержать в своем составе и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быть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оформлен в соответствии с регламентом на составление проектных документов, в соответствии с п.1.6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-108" w:right="-108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0" w:after="0"/>
              <w:ind w:left="-108" w:right="-108" w:hanging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67" w:right="-108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Прохождение санитарно-эпидемиологической экспертизы проектной документации осуществляется за счет Исполнителя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-108" w:right="-108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0" w:after="0"/>
              <w:ind w:left="-108" w:right="-108" w:hanging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67" w:right="-108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 должны оказываться в строгом соответствии с требованиями действующего законодательства РФ, профильных нормативно-правовых актов, государственных стандартов (ГОСТ), санитарных правил и норм (СанПиН), а также иной обязательной для Исполнителя документации, определяемой спецификой оказываемых услуг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-108" w:right="-108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0" w:after="0"/>
              <w:ind w:left="-108" w:right="-108" w:hanging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67" w:right="-108" w:hang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1.2.</w:t>
            </w:r>
          </w:p>
        </w:tc>
        <w:tc>
          <w:tcPr>
            <w:tcW w:w="8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67" w:right="-108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По результатам оказания услуги Исполнитель направляет в адрес Заказчика акт оказанных услуг и окончательный счет /счет-фактуру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-108" w:right="-108" w:hanging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keepNext w:val="true"/>
              <w:widowControl w:val="false"/>
              <w:spacing w:before="60" w:after="60"/>
              <w:ind w:left="-108" w:right="-108" w:hanging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keepNext w:val="true"/>
              <w:widowControl w:val="false"/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309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ind w:left="-67" w:right="-108" w:hanging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8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67" w:right="-108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0"/>
              <w:keepNext w:val="false"/>
              <w:widowControl w:val="false"/>
              <w:spacing w:before="0" w:after="0"/>
              <w:jc w:val="left"/>
              <w:rPr>
                <w:rFonts w:eastAsia="Times New Roman"/>
                <w:b w:val="false"/>
                <w:sz w:val="20"/>
                <w:szCs w:val="20"/>
              </w:rPr>
            </w:pPr>
            <w:r>
              <w:rPr>
                <w:rFonts w:eastAsia="Times New Roman"/>
                <w:b w:val="false"/>
                <w:sz w:val="20"/>
                <w:szCs w:val="20"/>
              </w:rPr>
            </w:r>
            <w:bookmarkStart w:id="49" w:name="__RefHeading___Toc1783_82466936"/>
            <w:bookmarkStart w:id="50" w:name="__RefHeading___Toc1783_82466936"/>
            <w:bookmarkEnd w:id="50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0"/>
                <w:szCs w:val="20"/>
              </w:rPr>
            </w:pPr>
            <w:bookmarkStart w:id="51" w:name="__RefHeading___Toc1785_82466936"/>
            <w:bookmarkEnd w:id="51"/>
            <w:r>
              <w:rPr>
                <w:rFonts w:eastAsia="Times New Roman" w:cs="Times New Roman"/>
                <w:b w:val="false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Наличие программных продуктов указанных в п. 1.5.3., </w:t>
            </w:r>
            <w:r>
              <w:rPr>
                <w:rFonts w:eastAsia="Times New Roman" w:cs="Times New Roman"/>
                <w:b w:val="false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опыта оказания аналогичных услуг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-108" w:right="-108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  <w:bookmarkStart w:id="52" w:name="__RefHeading___Toc1787_82466936"/>
            <w:bookmarkStart w:id="53" w:name="__RefHeading___Toc1787_82466936"/>
            <w:bookmarkEnd w:id="53"/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0" w:after="0"/>
              <w:ind w:left="-108" w:right="-108" w:hanging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bookmarkStart w:id="54" w:name="__RefHeading___Toc1789_82466936"/>
            <w:bookmarkStart w:id="55" w:name="__RefHeading___Toc1789_82466936"/>
            <w:bookmarkEnd w:id="55"/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0" w:after="0"/>
              <w:jc w:val="lef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</w:tr>
    </w:tbl>
    <w:p>
      <w:pPr>
        <w:sectPr>
          <w:headerReference w:type="default" r:id="rId8"/>
          <w:headerReference w:type="first" r:id="rId9"/>
          <w:footerReference w:type="default" r:id="rId10"/>
          <w:footerReference w:type="first" r:id="rId11"/>
          <w:type w:val="nextPage"/>
          <w:pgSz w:orient="landscape" w:w="16838" w:h="11906"/>
          <w:pgMar w:left="992" w:right="567" w:gutter="0" w:header="680" w:top="851" w:footer="720" w:bottom="851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Heading1"/>
        <w:keepLines/>
        <w:numPr>
          <w:ilvl w:val="0"/>
          <w:numId w:val="0"/>
        </w:numPr>
        <w:ind w:left="357" w:right="0" w:hanging="0"/>
        <w:jc w:val="center"/>
        <w:rPr>
          <w:lang w:val="ru-RU"/>
        </w:rPr>
      </w:pPr>
      <w:r>
        <w:rPr>
          <w:lang w:val="ru-RU"/>
        </w:rPr>
        <w:t xml:space="preserve">3. </w:t>
      </w:r>
      <w:bookmarkStart w:id="56" w:name="_Toc46743519"/>
      <w:bookmarkStart w:id="57" w:name="_Toc51339699"/>
      <w:bookmarkStart w:id="58" w:name="_Toc54643710"/>
      <w:bookmarkStart w:id="59" w:name="_Toc53393312"/>
      <w:bookmarkStart w:id="60" w:name="_Toc53395937"/>
      <w:r>
        <w:rPr>
          <w:lang w:val="ru-RU"/>
        </w:rPr>
        <w:t>Требования к документации по ценообразованию</w:t>
      </w:r>
      <w:bookmarkEnd w:id="59"/>
      <w:bookmarkEnd w:id="60"/>
      <w:r>
        <w:rPr>
          <w:lang w:val="ru-RU"/>
        </w:rPr>
        <w:t xml:space="preserve"> на этапе закупки</w:t>
      </w:r>
      <w:bookmarkEnd w:id="58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/>
      </w:pPr>
      <w:r>
        <w:rPr>
          <w:rStyle w:val="Style8"/>
          <w:b w:val="false"/>
          <w:bCs/>
          <w:i w:val="false"/>
          <w:iCs w:val="false"/>
          <w:sz w:val="24"/>
          <w:szCs w:val="24"/>
          <w:shd w:fill="auto" w:val="clear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Heading1"/>
        <w:keepLines/>
        <w:numPr>
          <w:ilvl w:val="0"/>
          <w:numId w:val="0"/>
        </w:numPr>
        <w:ind w:left="357" w:right="0" w:hanging="0"/>
        <w:rPr>
          <w:i w:val="false"/>
          <w:i w:val="false"/>
          <w:iCs w:val="false"/>
          <w:caps/>
          <w:highlight w:val="none"/>
          <w:shd w:fill="auto" w:val="clear"/>
        </w:rPr>
      </w:pPr>
      <w:r>
        <w:rPr>
          <w:i w:val="false"/>
          <w:iCs w:val="false"/>
          <w:caps/>
          <w:shd w:fill="auto" w:val="clear"/>
        </w:rPr>
      </w:r>
    </w:p>
    <w:p>
      <w:pPr>
        <w:pStyle w:val="Normal"/>
        <w:rPr>
          <w:iCs/>
          <w:caps/>
        </w:rPr>
      </w:pPr>
      <w:r>
        <w:rPr>
          <w:iCs/>
          <w:caps/>
        </w:rPr>
      </w:r>
      <w:r>
        <w:br w:type="page"/>
      </w:r>
    </w:p>
    <w:p>
      <w:pPr>
        <w:pStyle w:val="Heading1"/>
        <w:keepLines/>
        <w:numPr>
          <w:ilvl w:val="0"/>
          <w:numId w:val="0"/>
        </w:numPr>
        <w:ind w:left="357" w:right="0" w:hanging="0"/>
        <w:jc w:val="center"/>
        <w:rPr>
          <w:lang w:val="ru-RU"/>
        </w:rPr>
      </w:pPr>
      <w:r>
        <w:rPr>
          <w:lang w:val="ru-RU"/>
        </w:rPr>
        <w:t xml:space="preserve">4. </w:t>
      </w:r>
      <w:bookmarkStart w:id="61" w:name="_Toc54281228"/>
      <w:bookmarkStart w:id="62" w:name="_Toc54643711"/>
      <w:r>
        <w:rPr>
          <w:lang w:val="ru-RU"/>
        </w:rPr>
        <w:t>Требования к документации по ценообразованию на этапе заключения (исполнения) договора</w:t>
      </w:r>
      <w:bookmarkEnd w:id="61"/>
      <w:bookmarkEnd w:id="62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widowControl w:val="false"/>
        <w:numPr>
          <w:ilvl w:val="1"/>
          <w:numId w:val="10"/>
        </w:numPr>
        <w:suppressAutoHyphens w:val="true"/>
        <w:bidi w:val="0"/>
        <w:spacing w:before="0" w:after="120"/>
        <w:ind w:left="0" w:right="0" w:firstLine="57"/>
        <w:jc w:val="both"/>
        <w:textAlignment w:val="baseline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  <w:lang w:eastAsia="x-none"/>
        </w:rPr>
        <w:t>По результатам настоящей закупки заключается договор с предельной ценой, равной начальной (максимальной) цене договора, установленной в Документации о закупке, а также с единичными расценками (ценой за единицу продукции по каждому наименованию работ), предложенными в заявке Победителем.</w:t>
      </w:r>
    </w:p>
    <w:p>
      <w:pPr>
        <w:pStyle w:val="Normal"/>
        <w:widowControl w:val="false"/>
        <w:numPr>
          <w:ilvl w:val="1"/>
          <w:numId w:val="10"/>
        </w:numPr>
        <w:suppressAutoHyphens w:val="true"/>
        <w:bidi w:val="0"/>
        <w:ind w:left="0" w:right="0" w:firstLine="57"/>
        <w:jc w:val="both"/>
        <w:textAlignment w:val="baseline"/>
        <w:rPr>
          <w:i w:val="false"/>
          <w:i w:val="false"/>
          <w:iCs w:val="false"/>
          <w:sz w:val="24"/>
          <w:szCs w:val="24"/>
        </w:rPr>
      </w:pPr>
      <w:r>
        <w:rPr>
          <w:rFonts w:eastAsia="Calibri"/>
          <w:i w:val="false"/>
          <w:iCs w:val="false"/>
          <w:sz w:val="24"/>
          <w:szCs w:val="24"/>
          <w:lang w:val="x-none" w:eastAsia="x-none"/>
        </w:rPr>
        <w:t>Порядок формировани</w:t>
      </w:r>
      <w:r>
        <w:rPr>
          <w:i w:val="false"/>
          <w:iCs w:val="false"/>
          <w:sz w:val="24"/>
          <w:szCs w:val="24"/>
        </w:rPr>
        <w:t>я</w:t>
      </w:r>
      <w:r>
        <w:rPr>
          <w:rFonts w:eastAsia="Calibri"/>
          <w:i w:val="false"/>
          <w:iCs w:val="false"/>
          <w:sz w:val="24"/>
          <w:szCs w:val="24"/>
          <w:lang w:val="x-none" w:eastAsia="x-none"/>
        </w:rPr>
        <w:t xml:space="preserve"> </w:t>
      </w:r>
      <w:r>
        <w:rPr>
          <w:rFonts w:eastAsia="Calibri"/>
          <w:i w:val="false"/>
          <w:iCs w:val="false"/>
          <w:sz w:val="24"/>
          <w:szCs w:val="24"/>
          <w:lang w:eastAsia="x-none"/>
        </w:rPr>
        <w:t xml:space="preserve">на этапе исполнения договора </w:t>
      </w:r>
      <w:r>
        <w:rPr>
          <w:rFonts w:eastAsia="Calibri"/>
          <w:i w:val="false"/>
          <w:iCs w:val="false"/>
          <w:sz w:val="24"/>
          <w:szCs w:val="24"/>
          <w:lang w:val="x-none" w:eastAsia="x-none"/>
        </w:rPr>
        <w:t>стоимост</w:t>
      </w:r>
      <w:r>
        <w:rPr>
          <w:i w:val="false"/>
          <w:iCs w:val="false"/>
          <w:sz w:val="24"/>
          <w:szCs w:val="24"/>
        </w:rPr>
        <w:t>и</w:t>
      </w:r>
      <w:r>
        <w:rPr>
          <w:rFonts w:eastAsia="Calibri"/>
          <w:i w:val="false"/>
          <w:iCs w:val="false"/>
          <w:sz w:val="24"/>
          <w:szCs w:val="24"/>
          <w:lang w:val="x-none" w:eastAsia="x-none"/>
        </w:rPr>
        <w:t xml:space="preserve"> </w:t>
      </w:r>
      <w:r>
        <w:rPr>
          <w:rFonts w:eastAsia="Calibri"/>
          <w:i w:val="false"/>
          <w:iCs w:val="false"/>
          <w:sz w:val="24"/>
          <w:szCs w:val="24"/>
          <w:lang w:eastAsia="x-none"/>
        </w:rPr>
        <w:t>выполняемых услуг</w:t>
      </w:r>
      <w:r>
        <w:rPr>
          <w:rFonts w:eastAsia="Calibri"/>
          <w:i w:val="false"/>
          <w:iCs w:val="false"/>
          <w:sz w:val="24"/>
          <w:szCs w:val="24"/>
          <w:lang w:val="x-none" w:eastAsia="x-none"/>
        </w:rPr>
        <w:t xml:space="preserve"> </w:t>
      </w:r>
      <w:r>
        <w:rPr>
          <w:rFonts w:eastAsia="Calibri"/>
          <w:i w:val="false"/>
          <w:iCs w:val="false"/>
          <w:sz w:val="24"/>
          <w:szCs w:val="24"/>
          <w:lang w:eastAsia="x-none"/>
        </w:rPr>
        <w:t xml:space="preserve">по заявке заказчика </w:t>
      </w:r>
      <w:r>
        <w:rPr>
          <w:i w:val="false"/>
          <w:iCs w:val="false"/>
          <w:sz w:val="24"/>
          <w:szCs w:val="24"/>
        </w:rPr>
        <w:t>установлен в Проекте договора (Приложение № 2 к Документации о закупке)».</w:t>
      </w:r>
    </w:p>
    <w:p>
      <w:pPr>
        <w:pStyle w:val="Normal"/>
        <w:jc w:val="left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  <w:bookmarkEnd w:id="56"/>
      <w:bookmarkEnd w:id="57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bCs/>
          <w:iCs/>
          <w:sz w:val="24"/>
          <w:szCs w:val="24"/>
        </w:rPr>
      </w:pPr>
      <w:r>
        <w:rPr/>
      </w:r>
    </w:p>
    <w:sectPr>
      <w:headerReference w:type="default" r:id="rId12"/>
      <w:headerReference w:type="first" r:id="rId13"/>
      <w:footerReference w:type="default" r:id="rId14"/>
      <w:footerReference w:type="first" r:id="rId15"/>
      <w:type w:val="nextPage"/>
      <w:pgSz w:w="11906" w:h="16838"/>
      <w:pgMar w:left="1134" w:right="851" w:gutter="0" w:header="0" w:top="1134" w:footer="720" w:bottom="777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swiss"/>
    <w:pitch w:val="variable"/>
  </w:font>
  <w:font w:name="Arial">
    <w:charset w:val="01"/>
    <w:family w:val="swiss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OpenSymbol">
    <w:altName w:val="Arial Unicode MS"/>
    <w:charset w:val="01"/>
    <w:family w:val="auto"/>
    <w:pitch w:val="variable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pStyle w:val="Heading2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3">
      <w:start w:val="1"/>
      <w:pStyle w:val="Heading4"/>
      <w:numFmt w:val="decimal"/>
      <w:lvlText w:val="%4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bullet"/>
      <w:lvlText w:val="–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9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1785" w:hanging="705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Heading3"/>
    <w:next w:val="Standard"/>
    <w:qFormat/>
    <w:pPr>
      <w:numPr>
        <w:ilvl w:val="0"/>
        <w:numId w:val="1"/>
      </w:numPr>
      <w:outlineLvl w:val="0"/>
    </w:pPr>
    <w:rPr>
      <w:szCs w:val="28"/>
    </w:rPr>
  </w:style>
  <w:style w:type="paragraph" w:styleId="Heading2">
    <w:name w:val="Heading 2"/>
    <w:basedOn w:val="Heading4"/>
    <w:next w:val="Standard"/>
    <w:qFormat/>
    <w:pPr>
      <w:numPr>
        <w:ilvl w:val="1"/>
        <w:numId w:val="1"/>
      </w:numPr>
      <w:outlineLvl w:val="1"/>
    </w:pPr>
    <w:rPr/>
  </w:style>
  <w:style w:type="paragraph" w:styleId="Heading3">
    <w:name w:val="Heading 3"/>
    <w:basedOn w:val="Standard"/>
    <w:next w:val="Standard"/>
    <w:autoRedefine/>
    <w:qFormat/>
    <w:rsid w:val="006956f0"/>
    <w:pPr>
      <w:keepNext w:val="true"/>
      <w:widowControl/>
      <w:numPr>
        <w:ilvl w:val="2"/>
        <w:numId w:val="8"/>
      </w:numPr>
      <w:suppressAutoHyphens w:val="true"/>
      <w:bidi w:val="0"/>
      <w:spacing w:before="120" w:after="60"/>
      <w:ind w:left="0" w:right="0" w:hanging="0"/>
      <w:jc w:val="center"/>
      <w:textAlignment w:val="baseline"/>
      <w:outlineLvl w:val="2"/>
    </w:pPr>
    <w:rPr>
      <w:rFonts w:eastAsia="Calibri"/>
      <w:b/>
      <w:szCs w:val="24"/>
    </w:rPr>
  </w:style>
  <w:style w:type="paragraph" w:styleId="Heading4">
    <w:name w:val="Heading 4"/>
    <w:basedOn w:val="Heading3"/>
    <w:next w:val="Standard"/>
    <w:qFormat/>
    <w:pPr>
      <w:numPr>
        <w:ilvl w:val="3"/>
        <w:numId w:val="1"/>
      </w:numPr>
      <w:outlineLvl w:val="3"/>
    </w:pPr>
    <w:rPr>
      <w:bCs/>
    </w:rPr>
  </w:style>
  <w:style w:type="paragraph" w:styleId="Heading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Standard"/>
    <w:next w:val="Standard"/>
    <w:qFormat/>
    <w:pPr>
      <w:keepNext w:val="true"/>
      <w:keepLines/>
      <w:spacing w:before="200" w:after="120"/>
      <w:outlineLvl w:val="5"/>
    </w:pPr>
    <w:rPr>
      <w:rFonts w:ascii="Cambria" w:hAnsi="Cambria" w:eastAsia="Cambria" w:cs="Cambria"/>
      <w:i/>
      <w:iCs/>
      <w:color w:val="243F60"/>
      <w:sz w:val="20"/>
      <w:szCs w:val="20"/>
    </w:rPr>
  </w:style>
  <w:style w:type="paragraph" w:styleId="Heading7">
    <w:name w:val="Heading 7"/>
    <w:basedOn w:val="Standard"/>
    <w:next w:val="Standard"/>
    <w:qFormat/>
    <w:pPr>
      <w:keepNext w:val="true"/>
      <w:keepLines/>
      <w:spacing w:before="200" w:after="120"/>
      <w:outlineLvl w:val="6"/>
    </w:pPr>
    <w:rPr>
      <w:rFonts w:ascii="Cambria" w:hAnsi="Cambria" w:eastAsia="Cambria" w:cs="Cambria"/>
      <w:i/>
      <w:iCs/>
      <w:color w:val="404040"/>
      <w:sz w:val="20"/>
      <w:szCs w:val="20"/>
    </w:rPr>
  </w:style>
  <w:style w:type="paragraph" w:styleId="Heading8">
    <w:name w:val="Heading 8"/>
    <w:basedOn w:val="Standard"/>
    <w:next w:val="Standard"/>
    <w:qFormat/>
    <w:pPr>
      <w:keepNext w:val="true"/>
      <w:keepLines/>
      <w:spacing w:before="200" w:after="120"/>
      <w:outlineLvl w:val="7"/>
    </w:pPr>
    <w:rPr>
      <w:rFonts w:ascii="Cambria" w:hAnsi="Cambria" w:eastAsia="Cambria" w:cs="Cambria"/>
      <w:color w:val="4F81BD"/>
      <w:sz w:val="20"/>
      <w:szCs w:val="20"/>
    </w:rPr>
  </w:style>
  <w:style w:type="paragraph" w:styleId="Heading9">
    <w:name w:val="Heading 9"/>
    <w:basedOn w:val="Standard"/>
    <w:next w:val="Standard"/>
    <w:qFormat/>
    <w:pPr>
      <w:spacing w:before="240" w:after="60"/>
      <w:outlineLvl w:val="8"/>
    </w:pPr>
    <w:rPr>
      <w:rFonts w:ascii="Arial" w:hAnsi="Arial" w:eastAsia="Arial"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Internetlink" w:customStyle="1">
    <w:name w:val="Internet link"/>
    <w:qFormat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" w:customStyle="1">
    <w:name w:val="Заголовок 6 Знак"/>
    <w:qFormat/>
    <w:rPr>
      <w:rFonts w:ascii="Cambria" w:hAnsi="Cambria" w:eastAsia="Cambria" w:cs="Cambria"/>
      <w:i/>
      <w:iCs/>
      <w:color w:val="243F60"/>
    </w:rPr>
  </w:style>
  <w:style w:type="character" w:styleId="7" w:customStyle="1">
    <w:name w:val="Заголовок 7 Знак"/>
    <w:qFormat/>
    <w:rPr>
      <w:rFonts w:ascii="Cambria" w:hAnsi="Cambria" w:eastAsia="Cambria" w:cs="Cambria"/>
      <w:i/>
      <w:iCs/>
      <w:color w:val="404040"/>
    </w:rPr>
  </w:style>
  <w:style w:type="character" w:styleId="8" w:customStyle="1">
    <w:name w:val="Заголовок 8 Знак"/>
    <w:qFormat/>
    <w:rPr>
      <w:rFonts w:ascii="Cambria" w:hAnsi="Cambria" w:eastAsia="Cambria" w:cs="Cambria"/>
      <w:color w:val="4F81BD"/>
    </w:rPr>
  </w:style>
  <w:style w:type="character" w:styleId="1" w:customStyle="1">
    <w:name w:val="Заголовок 1 Знак"/>
    <w:qFormat/>
    <w:rPr>
      <w:rFonts w:eastAsia="Calibri"/>
      <w:b/>
      <w:sz w:val="28"/>
      <w:szCs w:val="28"/>
    </w:rPr>
  </w:style>
  <w:style w:type="character" w:styleId="2" w:customStyle="1">
    <w:name w:val="Заголовок 2 Знак"/>
    <w:qFormat/>
    <w:rPr>
      <w:rFonts w:eastAsia="Calibri"/>
      <w:b/>
      <w:bCs/>
      <w:sz w:val="24"/>
      <w:szCs w:val="24"/>
    </w:rPr>
  </w:style>
  <w:style w:type="character" w:styleId="3" w:customStyle="1">
    <w:name w:val="Заголовок 3 Знак"/>
    <w:qFormat/>
    <w:rPr>
      <w:rFonts w:eastAsia="Calibri"/>
      <w:b/>
      <w:sz w:val="24"/>
      <w:szCs w:val="24"/>
    </w:rPr>
  </w:style>
  <w:style w:type="character" w:styleId="4" w:customStyle="1">
    <w:name w:val="Заголовок 4 Знак"/>
    <w:qFormat/>
    <w:rPr>
      <w:rFonts w:eastAsia="Calibri"/>
      <w:b/>
      <w:bCs/>
      <w:sz w:val="24"/>
      <w:szCs w:val="24"/>
    </w:rPr>
  </w:style>
  <w:style w:type="character" w:styleId="5" w:customStyle="1">
    <w:name w:val="Заголовок 5 Знак"/>
    <w:qFormat/>
    <w:rPr>
      <w:b/>
      <w:bCs/>
      <w:i/>
      <w:iCs/>
      <w:sz w:val="26"/>
      <w:szCs w:val="26"/>
    </w:rPr>
  </w:style>
  <w:style w:type="character" w:styleId="9" w:customStyle="1">
    <w:name w:val="Заголовок 9 Знак"/>
    <w:qFormat/>
    <w:rPr>
      <w:rFonts w:ascii="Arial" w:hAnsi="Arial" w:eastAsia="Arial" w:cs="Arial"/>
      <w:sz w:val="22"/>
      <w:szCs w:val="22"/>
    </w:rPr>
  </w:style>
  <w:style w:type="character" w:styleId="Style1" w:customStyle="1">
    <w:name w:val="Название Знак"/>
    <w:qFormat/>
    <w:rPr>
      <w:sz w:val="28"/>
    </w:rPr>
  </w:style>
  <w:style w:type="character" w:styleId="Style2" w:customStyle="1">
    <w:name w:val="Подзаголовок Знак"/>
    <w:qFormat/>
    <w:rPr>
      <w:rFonts w:ascii="Cambria" w:hAnsi="Cambria" w:eastAsia="Cambria" w:cs="Cambria"/>
      <w:i/>
      <w:iCs/>
      <w:color w:val="4F81BD"/>
      <w:spacing w:val="15"/>
      <w:sz w:val="24"/>
      <w:szCs w:val="24"/>
    </w:rPr>
  </w:style>
  <w:style w:type="character" w:styleId="Emphasis">
    <w:name w:val="Emphasis"/>
    <w:qFormat/>
    <w:rPr>
      <w:i/>
      <w:iCs/>
    </w:rPr>
  </w:style>
  <w:style w:type="character" w:styleId="21" w:customStyle="1">
    <w:name w:val="Цитата 2 Знак"/>
    <w:qFormat/>
    <w:rPr>
      <w:rFonts w:ascii="Calibri" w:hAnsi="Calibri" w:eastAsia="Calibri" w:cs="Calibri"/>
      <w:i/>
      <w:iCs/>
      <w:color w:val="000000"/>
    </w:rPr>
  </w:style>
  <w:style w:type="character" w:styleId="Style3" w:customStyle="1">
    <w:name w:val="Выделенная цитата Знак"/>
    <w:qFormat/>
    <w:rPr>
      <w:rFonts w:ascii="Calibri" w:hAnsi="Calibri" w:eastAsia="Calibri" w:cs="Calibri"/>
      <w:b/>
      <w:bCs/>
      <w:i/>
      <w:iCs/>
      <w:color w:val="4F81BD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 w:customStyle="1">
    <w:name w:val="Электронная подпись Знак"/>
    <w:qFormat/>
    <w:rPr>
      <w:rFonts w:eastAsia="Calibri"/>
      <w:sz w:val="24"/>
      <w:szCs w:val="24"/>
    </w:rPr>
  </w:style>
  <w:style w:type="character" w:styleId="11" w:customStyle="1">
    <w:name w:val="Подпункт Знак1"/>
    <w:qFormat/>
    <w:rPr>
      <w:sz w:val="28"/>
    </w:rPr>
  </w:style>
  <w:style w:type="character" w:styleId="Style5" w:customStyle="1">
    <w:name w:val="Текст сноски Знак"/>
    <w:qFormat/>
    <w:rPr/>
  </w:style>
  <w:style w:type="character" w:styleId="Style6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7" w:customStyle="1">
    <w:name w:val="Абзац списка Знак"/>
    <w:qFormat/>
    <w:rPr>
      <w:rFonts w:eastAsia="Calibri"/>
      <w:sz w:val="24"/>
      <w:szCs w:val="24"/>
    </w:rPr>
  </w:style>
  <w:style w:type="character" w:styleId="Style8" w:customStyle="1">
    <w:name w:val="комментарий"/>
    <w:qFormat/>
    <w:rPr>
      <w:b/>
      <w:i/>
      <w:shd w:fill="FFFF99" w:val="clear"/>
    </w:rPr>
  </w:style>
  <w:style w:type="character" w:styleId="Style9" w:customStyle="1">
    <w:name w:val="Подподпункт Знак"/>
    <w:qFormat/>
    <w:rPr>
      <w:sz w:val="26"/>
      <w:szCs w:val="26"/>
    </w:rPr>
  </w:style>
  <w:style w:type="character" w:styleId="31" w:customStyle="1">
    <w:name w:val="УРОВЕНЬ_Абзац_тип3 Знак"/>
    <w:qFormat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qFormat/>
    <w:rPr>
      <w:sz w:val="24"/>
      <w:szCs w:val="24"/>
    </w:rPr>
  </w:style>
  <w:style w:type="character" w:styleId="Style11" w:customStyle="1">
    <w:name w:val="Текст примечания Знак"/>
    <w:qFormat/>
    <w:rPr/>
  </w:style>
  <w:style w:type="character" w:styleId="Style12" w:customStyle="1">
    <w:name w:val="Текст концевой сноски Знак"/>
    <w:basedOn w:val="DefaultParagraphFont"/>
    <w:qFormat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Pr>
      <w:vertAlign w:val="superscript"/>
    </w:rPr>
  </w:style>
  <w:style w:type="character" w:styleId="22" w:customStyle="1">
    <w:name w:val="Пункт2 Знак"/>
    <w:qFormat/>
    <w:rPr>
      <w:b/>
      <w:sz w:val="28"/>
    </w:rPr>
  </w:style>
  <w:style w:type="character" w:styleId="12" w:customStyle="1">
    <w:name w:val="УРОВЕНЬ_1. Знак"/>
    <w:qFormat/>
    <w:rPr>
      <w:rFonts w:eastAsia="Calibri"/>
      <w:caps/>
      <w:sz w:val="28"/>
      <w:szCs w:val="28"/>
      <w:lang w:eastAsia="en-US"/>
    </w:rPr>
  </w:style>
  <w:style w:type="character" w:styleId="FontStyle15" w:customStyle="1">
    <w:name w:val="Font Style15"/>
    <w:basedOn w:val="DefaultParagraphFont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Style14" w:customStyle="1">
    <w:name w:val="Текст Знак"/>
    <w:basedOn w:val="DefaultParagraphFont"/>
    <w:qFormat/>
    <w:rPr>
      <w:rFonts w:ascii="Calibri" w:hAnsi="Calibri" w:eastAsia="Calibri" w:cs="Calibri"/>
      <w:sz w:val="22"/>
      <w:szCs w:val="21"/>
      <w:lang w:eastAsia="en-US"/>
    </w:rPr>
  </w:style>
  <w:style w:type="character" w:styleId="210" w:customStyle="1">
    <w:name w:val="Основной текст (2) + 10"/>
    <w:basedOn w:val="DefaultParagraphFont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1"/>
      <w:szCs w:val="21"/>
      <w:u w:val="none"/>
      <w:shd w:fill="FFFFFF" w:val="clear"/>
      <w:lang w:val="ru-RU" w:eastAsia="ru-RU" w:bidi="ru-RU"/>
    </w:rPr>
  </w:style>
  <w:style w:type="character" w:styleId="Style15" w:customStyle="1">
    <w:name w:val="Ссылка указателя"/>
    <w:qFormat/>
    <w:rPr/>
  </w:style>
  <w:style w:type="character" w:styleId="Style16" w:customStyle="1">
    <w:name w:val="Маркеры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character" w:styleId="Style17">
    <w:name w:val="Основной шрифт абзаца"/>
    <w:qFormat/>
    <w:rPr/>
  </w:style>
  <w:style w:type="paragraph" w:styleId="Style18" w:customStyle="1">
    <w:name w:val="Заголовок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Tahoma" w:cs="Lohit Devanagari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  <w:sz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 w:customStyle="1">
    <w:name w:val="Указатель"/>
    <w:basedOn w:val="Style18"/>
    <w:qFormat/>
    <w:pPr/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Caption1">
    <w:name w:val="caption1"/>
    <w:basedOn w:val="Standard"/>
    <w:qFormat/>
    <w:pPr>
      <w:suppressLineNumbers/>
      <w:spacing w:before="120" w:after="120"/>
    </w:pPr>
    <w:rPr>
      <w:i/>
      <w:iCs/>
      <w:sz w:val="20"/>
      <w:szCs w:val="20"/>
    </w:rPr>
  </w:style>
  <w:style w:type="paragraph" w:styleId="Style20" w:customStyle="1">
    <w:name w:val="Название раздела инструкции"/>
    <w:basedOn w:val="Standard"/>
    <w:autoRedefine/>
    <w:qFormat/>
    <w:pPr>
      <w:jc w:val="center"/>
    </w:pPr>
    <w:rPr>
      <w:b/>
    </w:rPr>
  </w:style>
  <w:style w:type="paragraph" w:styleId="Style21" w:customStyle="1">
    <w:name w:val="Раздел положения"/>
    <w:basedOn w:val="Standard"/>
    <w:autoRedefine/>
    <w:qFormat/>
    <w:pPr>
      <w:spacing w:before="80" w:after="80"/>
      <w:jc w:val="center"/>
    </w:pPr>
    <w:rPr>
      <w:b/>
      <w:sz w:val="32"/>
      <w:szCs w:val="32"/>
    </w:rPr>
  </w:style>
  <w:style w:type="paragraph" w:styleId="Style22" w:customStyle="1">
    <w:name w:val="Подраздел раздела положения"/>
    <w:basedOn w:val="Standard"/>
    <w:autoRedefine/>
    <w:qFormat/>
    <w:pPr>
      <w:numPr>
        <w:ilvl w:val="0"/>
        <w:numId w:val="2"/>
      </w:numPr>
      <w:spacing w:before="80" w:after="80"/>
      <w:jc w:val="both"/>
    </w:pPr>
    <w:rPr/>
  </w:style>
  <w:style w:type="paragraph" w:styleId="Footnote" w:customStyle="1">
    <w:name w:val="Footnote"/>
    <w:basedOn w:val="Standard"/>
    <w:qFormat/>
    <w:pPr/>
    <w:rPr>
      <w:sz w:val="20"/>
      <w:szCs w:val="20"/>
    </w:rPr>
  </w:style>
  <w:style w:type="paragraph" w:styleId="13" w:customStyle="1">
    <w:name w:val="Шапка 1"/>
    <w:basedOn w:val="Standard"/>
    <w:qFormat/>
    <w:pPr>
      <w:pBdr>
        <w:bottom w:val="double" w:sz="12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Standard"/>
    <w:qFormat/>
    <w:pPr>
      <w:pBdr>
        <w:bottom w:val="double" w:sz="12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Standard"/>
    <w:qFormat/>
    <w:pPr>
      <w:pBdr>
        <w:bottom w:val="double" w:sz="12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Standard"/>
    <w:qFormat/>
    <w:pPr>
      <w:jc w:val="center"/>
    </w:pPr>
    <w:rPr>
      <w:szCs w:val="20"/>
    </w:rPr>
  </w:style>
  <w:style w:type="paragraph" w:styleId="Style23" w:customStyle="1">
    <w:name w:val="Колонтитул"/>
    <w:basedOn w:val="Standard"/>
    <w:qFormat/>
    <w:pPr/>
    <w:rPr/>
  </w:style>
  <w:style w:type="paragraph" w:styleId="Header">
    <w:name w:val="Header"/>
    <w:basedOn w:val="Standard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Textbodyindent" w:customStyle="1">
    <w:name w:val="Text body indent"/>
    <w:basedOn w:val="Standard"/>
    <w:qFormat/>
    <w:pPr>
      <w:ind w:left="360" w:hanging="0"/>
    </w:pPr>
    <w:rPr>
      <w:sz w:val="24"/>
      <w:szCs w:val="24"/>
    </w:rPr>
  </w:style>
  <w:style w:type="paragraph" w:styleId="Footer">
    <w:name w:val="Footer"/>
    <w:basedOn w:val="Standar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Standard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Standard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Standard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Standard"/>
    <w:qFormat/>
    <w:pPr>
      <w:spacing w:lineRule="auto" w:line="480" w:before="0" w:after="120"/>
    </w:pPr>
    <w:rPr/>
  </w:style>
  <w:style w:type="paragraph" w:styleId="BlockText">
    <w:name w:val="Block Text"/>
    <w:basedOn w:val="Standard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4" w:customStyle="1">
    <w:name w:val="Подпункт"/>
    <w:basedOn w:val="Standard"/>
    <w:qFormat/>
    <w:pPr>
      <w:tabs>
        <w:tab w:val="clear" w:pos="708"/>
        <w:tab w:val="left" w:pos="2268" w:leader="none"/>
      </w:tabs>
      <w:snapToGrid w:val="false"/>
      <w:spacing w:lineRule="auto" w:line="360"/>
      <w:ind w:left="1134" w:hanging="1134"/>
      <w:jc w:val="both"/>
    </w:pPr>
    <w:rPr>
      <w:szCs w:val="20"/>
    </w:rPr>
  </w:style>
  <w:style w:type="paragraph" w:styleId="24" w:customStyle="1">
    <w:name w:val="Пункт2"/>
    <w:basedOn w:val="Standard"/>
    <w:qFormat/>
    <w:pPr>
      <w:keepNext w:val="true"/>
      <w:tabs>
        <w:tab w:val="clear" w:pos="708"/>
        <w:tab w:val="left" w:pos="2268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Contents1" w:customStyle="1">
    <w:name w:val="Contents 1"/>
    <w:basedOn w:val="Standard"/>
    <w:next w:val="Standard"/>
    <w:autoRedefine/>
    <w:qFormat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Contents3" w:customStyle="1">
    <w:name w:val="Contents 3"/>
    <w:basedOn w:val="Standard"/>
    <w:next w:val="Standard"/>
    <w:autoRedefine/>
    <w:qFormat/>
    <w:rsid w:val="006956f0"/>
    <w:pPr>
      <w:tabs>
        <w:tab w:val="clear" w:pos="708"/>
        <w:tab w:val="right" w:pos="10201" w:leader="dot"/>
      </w:tabs>
      <w:ind w:left="567" w:hanging="0"/>
    </w:pPr>
    <w:rPr>
      <w:rFonts w:cs="Calibri"/>
      <w:sz w:val="20"/>
      <w:szCs w:val="20"/>
    </w:rPr>
  </w:style>
  <w:style w:type="paragraph" w:styleId="Style25" w:customStyle="1">
    <w:name w:val="Раздел регламента"/>
    <w:basedOn w:val="Standard"/>
    <w:qFormat/>
    <w:pPr/>
    <w:rPr/>
  </w:style>
  <w:style w:type="paragraph" w:styleId="Style26" w:customStyle="1">
    <w:name w:val="Приложение к регламенту"/>
    <w:basedOn w:val="Standard"/>
    <w:qFormat/>
    <w:pPr>
      <w:jc w:val="right"/>
    </w:pPr>
    <w:rPr/>
  </w:style>
  <w:style w:type="paragraph" w:styleId="Contents2" w:customStyle="1">
    <w:name w:val="Contents 2"/>
    <w:basedOn w:val="Standard"/>
    <w:next w:val="Standard"/>
    <w:autoRedefine/>
    <w:qFormat/>
    <w:rsid w:val="006956f0"/>
    <w:pPr>
      <w:tabs>
        <w:tab w:val="clear" w:pos="708"/>
        <w:tab w:val="right" w:pos="9921" w:leader="dot"/>
      </w:tabs>
      <w:spacing w:before="240" w:after="0"/>
      <w:ind w:left="567" w:hanging="0"/>
    </w:pPr>
    <w:rPr>
      <w:rFonts w:cs="Calibri"/>
      <w:bCs/>
      <w:sz w:val="20"/>
      <w:szCs w:val="20"/>
    </w:rPr>
  </w:style>
  <w:style w:type="paragraph" w:styleId="BalloonText">
    <w:name w:val="Balloon Text"/>
    <w:basedOn w:val="Standard"/>
    <w:qFormat/>
    <w:pPr/>
    <w:rPr>
      <w:rFonts w:ascii="Tahoma" w:hAnsi="Tahoma" w:eastAsia="Tahoma" w:cs="Tahoma"/>
      <w:sz w:val="16"/>
      <w:szCs w:val="16"/>
    </w:rPr>
  </w:style>
  <w:style w:type="paragraph" w:styleId="Annotationtext">
    <w:name w:val="annotation text"/>
    <w:basedOn w:val="Standard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5" w:customStyle="1">
    <w:name w:val="Обычный (веб)1"/>
    <w:basedOn w:val="Standard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Contents9" w:customStyle="1">
    <w:name w:val="Contents 9"/>
    <w:basedOn w:val="Standard"/>
    <w:next w:val="Standard"/>
    <w:autoRedefine/>
    <w:qFormat/>
    <w:pPr>
      <w:ind w:left="1960" w:hanging="0"/>
    </w:pPr>
    <w:rPr>
      <w:rFonts w:ascii="Calibri" w:hAnsi="Calibri" w:eastAsia="Calibri" w:cs="Calibri"/>
      <w:sz w:val="20"/>
      <w:szCs w:val="20"/>
    </w:rPr>
  </w:style>
  <w:style w:type="paragraph" w:styleId="Contents5" w:customStyle="1">
    <w:name w:val="Contents 5"/>
    <w:basedOn w:val="Standard"/>
    <w:next w:val="Standard"/>
    <w:autoRedefine/>
    <w:qFormat/>
    <w:pPr>
      <w:ind w:left="840" w:hanging="0"/>
    </w:pPr>
    <w:rPr>
      <w:rFonts w:ascii="Calibri" w:hAnsi="Calibri" w:eastAsia="Calibri" w:cs="Calibri"/>
      <w:sz w:val="20"/>
      <w:szCs w:val="20"/>
    </w:rPr>
  </w:style>
  <w:style w:type="paragraph" w:styleId="Contents4" w:customStyle="1">
    <w:name w:val="Contents 4"/>
    <w:basedOn w:val="Standard"/>
    <w:next w:val="Standard"/>
    <w:autoRedefine/>
    <w:qFormat/>
    <w:pPr>
      <w:tabs>
        <w:tab w:val="clear" w:pos="708"/>
        <w:tab w:val="left" w:pos="1680" w:leader="none"/>
        <w:tab w:val="right" w:pos="10471" w:leader="none"/>
      </w:tabs>
      <w:ind w:left="560" w:hanging="0"/>
    </w:pPr>
    <w:rPr>
      <w:rFonts w:cs="Calibri"/>
      <w:sz w:val="20"/>
      <w:szCs w:val="20"/>
    </w:rPr>
  </w:style>
  <w:style w:type="paragraph" w:styleId="25" w:customStyle="1">
    <w:name w:val="Раздел положения 2"/>
    <w:basedOn w:val="Standard"/>
    <w:qFormat/>
    <w:pPr>
      <w:pageBreakBefore/>
      <w:jc w:val="both"/>
      <w:outlineLvl w:val="0"/>
    </w:pPr>
    <w:rPr>
      <w:b/>
    </w:rPr>
  </w:style>
  <w:style w:type="paragraph" w:styleId="Style27" w:customStyle="1">
    <w:name w:val="Знак Знак Знак Знак Знак Знак Знак Знак Знак"/>
    <w:basedOn w:val="Standard"/>
    <w:qFormat/>
    <w:pPr>
      <w:spacing w:lineRule="exact" w:line="240" w:before="0" w:after="160"/>
      <w:jc w:val="both"/>
    </w:pPr>
    <w:rPr>
      <w:rFonts w:ascii="Verdana" w:hAnsi="Verdana" w:eastAsia="Verdana" w:cs="Verdana"/>
      <w:sz w:val="22"/>
      <w:szCs w:val="22"/>
      <w:lang w:val="en-US" w:eastAsia="en-US"/>
    </w:rPr>
  </w:style>
  <w:style w:type="paragraph" w:styleId="NoSpacing">
    <w:name w:val="No Spacing"/>
    <w:basedOn w:val="Standard"/>
    <w:qFormat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Standard"/>
    <w:next w:val="Standard"/>
    <w:qFormat/>
    <w:pPr>
      <w:ind w:left="1066" w:firstLine="709"/>
    </w:pPr>
    <w:rPr>
      <w:rFonts w:ascii="Cambria" w:hAnsi="Cambria" w:eastAsia="Cambria" w:cs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Standard"/>
    <w:uiPriority w:val="34"/>
    <w:qFormat/>
    <w:pPr>
      <w:ind w:left="720" w:hanging="0"/>
    </w:pPr>
    <w:rPr>
      <w:rFonts w:eastAsia="Calibri"/>
      <w:sz w:val="24"/>
      <w:szCs w:val="24"/>
    </w:rPr>
  </w:style>
  <w:style w:type="paragraph" w:styleId="Quote">
    <w:name w:val="Quote"/>
    <w:basedOn w:val="Standard"/>
    <w:next w:val="Standard"/>
    <w:qFormat/>
    <w:pPr/>
    <w:rPr>
      <w:rFonts w:ascii="Calibri" w:hAnsi="Calibri" w:eastAsia="Calibri" w:cs="Calibri"/>
      <w:i/>
      <w:iCs/>
      <w:color w:val="000000"/>
      <w:sz w:val="20"/>
      <w:szCs w:val="20"/>
    </w:rPr>
  </w:style>
  <w:style w:type="paragraph" w:styleId="IntenseQuote">
    <w:name w:val="Intense Quote"/>
    <w:basedOn w:val="Standard"/>
    <w:next w:val="Standard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Calibri"/>
      <w:b/>
      <w:bCs/>
      <w:i/>
      <w:iCs/>
      <w:color w:val="4F81BD"/>
      <w:sz w:val="20"/>
      <w:szCs w:val="20"/>
    </w:rPr>
  </w:style>
  <w:style w:type="paragraph" w:styleId="Indexheading">
    <w:name w:val="index heading"/>
    <w:basedOn w:val="Style18"/>
    <w:qFormat/>
    <w:pPr>
      <w:suppressLineNumbers/>
    </w:pPr>
    <w:rPr>
      <w:b/>
      <w:bCs/>
      <w:sz w:val="32"/>
      <w:szCs w:val="32"/>
    </w:rPr>
  </w:style>
  <w:style w:type="paragraph" w:styleId="ContentsHeading" w:customStyle="1">
    <w:name w:val="Contents Heading"/>
    <w:basedOn w:val="Heading1"/>
    <w:next w:val="Standard"/>
    <w:qFormat/>
    <w:pPr>
      <w:keepLines/>
      <w:numPr>
        <w:ilvl w:val="0"/>
        <w:numId w:val="0"/>
      </w:numPr>
      <w:spacing w:before="480" w:after="0"/>
      <w:ind w:left="0" w:right="0" w:hanging="0"/>
    </w:pPr>
    <w:rPr>
      <w:rFonts w:ascii="Cambria" w:hAnsi="Cambria" w:eastAsia="Cambria" w:cs="Cambria"/>
      <w:bCs/>
      <w:color w:val="365F91"/>
    </w:rPr>
  </w:style>
  <w:style w:type="paragraph" w:styleId="E-mailSignature">
    <w:name w:val="E-mail Signature"/>
    <w:basedOn w:val="Standard"/>
    <w:qFormat/>
    <w:pPr/>
    <w:rPr>
      <w:rFonts w:eastAsia="Calibri"/>
      <w:sz w:val="24"/>
      <w:szCs w:val="24"/>
    </w:rPr>
  </w:style>
  <w:style w:type="paragraph" w:styleId="Style28" w:customStyle="1">
    <w:name w:val="Знак"/>
    <w:basedOn w:val="Standard"/>
    <w:qFormat/>
    <w:pPr>
      <w:spacing w:lineRule="exact" w:line="240" w:before="0" w:after="160"/>
    </w:pPr>
    <w:rPr>
      <w:rFonts w:ascii="Verdana" w:hAnsi="Verdana" w:eastAsia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Standard"/>
    <w:qFormat/>
    <w:pPr>
      <w:jc w:val="both"/>
    </w:pPr>
    <w:rPr>
      <w:rFonts w:ascii="Garamond" w:hAnsi="Garamond" w:eastAsia="Garamond" w:cs="Garamond"/>
      <w:sz w:val="24"/>
      <w:szCs w:val="20"/>
    </w:rPr>
  </w:style>
  <w:style w:type="paragraph" w:styleId="ListBullet4" w:customStyle="1">
    <w:name w:val="List Bullet 4"/>
    <w:basedOn w:val="Standard"/>
    <w:qFormat/>
    <w:pPr>
      <w:spacing w:before="120" w:after="0"/>
      <w:jc w:val="both"/>
    </w:pPr>
    <w:rPr>
      <w:rFonts w:ascii="Garamond" w:hAnsi="Garamond" w:eastAsia="Garamond" w:cs="Garamond"/>
      <w:sz w:val="24"/>
      <w:szCs w:val="20"/>
    </w:rPr>
  </w:style>
  <w:style w:type="paragraph" w:styleId="26" w:customStyle="1">
    <w:name w:val="Нумерованный список ур2"/>
    <w:basedOn w:val="Standard"/>
    <w:qFormat/>
    <w:pPr>
      <w:numPr>
        <w:ilvl w:val="0"/>
        <w:numId w:val="3"/>
      </w:numPr>
      <w:spacing w:before="120" w:after="0"/>
      <w:jc w:val="both"/>
    </w:pPr>
    <w:rPr>
      <w:rFonts w:ascii="Garamond" w:hAnsi="Garamond" w:eastAsia="Garamond" w:cs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  <w:textAlignment w:val="baseline"/>
    </w:pPr>
    <w:rPr>
      <w:rFonts w:ascii="Arial" w:hAnsi="Arial" w:eastAsia="Arial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Standard"/>
    <w:qFormat/>
    <w:pPr>
      <w:spacing w:lineRule="exact" w:line="240" w:before="0" w:after="160"/>
      <w:jc w:val="both"/>
    </w:pPr>
    <w:rPr>
      <w:rFonts w:ascii="Verdana" w:hAnsi="Verdana" w:eastAsia="Verdana" w:cs="Verdana"/>
      <w:sz w:val="22"/>
      <w:szCs w:val="22"/>
      <w:lang w:val="en-US" w:eastAsia="en-US"/>
    </w:rPr>
  </w:style>
  <w:style w:type="paragraph" w:styleId="Style29" w:customStyle="1">
    <w:name w:val="Пункт"/>
    <w:basedOn w:val="Standard"/>
    <w:qFormat/>
    <w:pPr>
      <w:widowControl w:val="false"/>
      <w:tabs>
        <w:tab w:val="clear" w:pos="708"/>
        <w:tab w:val="left" w:pos="2268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Arial" w:cs="Arial"/>
      <w:b/>
      <w:i/>
      <w:szCs w:val="20"/>
    </w:rPr>
  </w:style>
  <w:style w:type="paragraph" w:styleId="16" w:customStyle="1">
    <w:name w:val="Абзац списка1"/>
    <w:basedOn w:val="Standard"/>
    <w:qFormat/>
    <w:pPr>
      <w:spacing w:lineRule="auto" w:line="276" w:before="0" w:after="200"/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Style30" w:customStyle="1">
    <w:name w:val="Таблица"/>
    <w:basedOn w:val="Standard"/>
    <w:qFormat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31" w:customStyle="1">
    <w:name w:val="Таблица шапка"/>
    <w:basedOn w:val="Standard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 w:customStyle="1">
    <w:name w:val="Подподпункт"/>
    <w:basedOn w:val="Style24"/>
    <w:qFormat/>
    <w:pPr>
      <w:tabs>
        <w:tab w:val="clear" w:pos="2268"/>
        <w:tab w:val="left" w:pos="10208" w:leader="none"/>
      </w:tabs>
      <w:snapToGrid w:val="true"/>
      <w:spacing w:lineRule="auto" w:line="240" w:before="120" w:after="0"/>
      <w:ind w:left="5104" w:hanging="567"/>
    </w:pPr>
    <w:rPr>
      <w:sz w:val="26"/>
      <w:szCs w:val="26"/>
    </w:rPr>
  </w:style>
  <w:style w:type="paragraph" w:styleId="Style33" w:customStyle="1">
    <w:name w:val="УРОВЕНЬ_(а)"/>
    <w:basedOn w:val="ListParagraph"/>
    <w:qFormat/>
    <w:pPr>
      <w:spacing w:lineRule="exact" w:line="360" w:before="120" w:after="0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spacing w:lineRule="exact" w:line="360" w:before="120" w:after="0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pPr>
      <w:spacing w:lineRule="exact" w:line="360" w:before="120" w:after="0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qFormat/>
    <w:pPr>
      <w:spacing w:lineRule="exact" w:line="360" w:before="120" w:after="0"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pPr>
      <w:keepNext w:val="true"/>
      <w:numPr>
        <w:ilvl w:val="0"/>
        <w:numId w:val="4"/>
      </w:numPr>
      <w:spacing w:lineRule="exact" w:line="360" w:before="120" w:after="120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pPr>
      <w:keepLines/>
      <w:numPr>
        <w:ilvl w:val="0"/>
        <w:numId w:val="0"/>
      </w:numPr>
      <w:tabs>
        <w:tab w:val="clear" w:pos="708"/>
        <w:tab w:val="left" w:pos="1134" w:leader="none"/>
      </w:tabs>
      <w:spacing w:before="480" w:after="240"/>
      <w:ind w:left="567" w:right="0" w:hanging="567"/>
      <w:jc w:val="both"/>
    </w:pPr>
    <w:rPr>
      <w:rFonts w:ascii="Arial" w:hAnsi="Arial" w:eastAsia="Times New Roman" w:cs="Arial"/>
      <w:bCs/>
      <w:kern w:val="2"/>
      <w:sz w:val="40"/>
      <w:szCs w:val="20"/>
    </w:rPr>
  </w:style>
  <w:style w:type="paragraph" w:styleId="Endnote" w:customStyle="1">
    <w:name w:val="Endnote"/>
    <w:basedOn w:val="Standard"/>
    <w:qFormat/>
    <w:pPr/>
    <w:rPr>
      <w:sz w:val="20"/>
      <w:szCs w:val="20"/>
    </w:rPr>
  </w:style>
  <w:style w:type="paragraph" w:styleId="28" w:customStyle="1">
    <w:name w:val="Заголовок 2 КВВ"/>
    <w:basedOn w:val="Standard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</w:rPr>
  </w:style>
  <w:style w:type="paragraph" w:styleId="Style35" w:customStyle="1">
    <w:name w:val="Таблица текст"/>
    <w:basedOn w:val="Standard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Standard"/>
    <w:qFormat/>
    <w:pPr>
      <w:spacing w:before="280" w:after="280"/>
    </w:pPr>
    <w:rPr>
      <w:sz w:val="24"/>
      <w:szCs w:val="24"/>
    </w:rPr>
  </w:style>
  <w:style w:type="paragraph" w:styleId="18" w:customStyle="1">
    <w:name w:val="УРОВЕНЬ_1."/>
    <w:basedOn w:val="ListParagraph"/>
    <w:qFormat/>
    <w:pPr>
      <w:keepNext w:val="true"/>
      <w:keepLines/>
      <w:spacing w:lineRule="auto" w:line="276" w:before="240" w:after="120"/>
      <w:ind w:left="0" w:hanging="0"/>
      <w:jc w:val="both"/>
      <w:outlineLvl w:val="0"/>
    </w:pPr>
    <w:rPr>
      <w:caps/>
      <w:sz w:val="28"/>
      <w:szCs w:val="28"/>
      <w:lang w:eastAsia="en-US"/>
    </w:rPr>
  </w:style>
  <w:style w:type="paragraph" w:styleId="Contents6" w:customStyle="1">
    <w:name w:val="Contents 6"/>
    <w:basedOn w:val="Standard"/>
    <w:next w:val="Standard"/>
    <w:autoRedefine/>
    <w:qFormat/>
    <w:pPr>
      <w:ind w:left="1120" w:hanging="0"/>
    </w:pPr>
    <w:rPr>
      <w:rFonts w:ascii="Calibri" w:hAnsi="Calibri" w:eastAsia="Calibri" w:cs="Calibri"/>
      <w:sz w:val="20"/>
      <w:szCs w:val="20"/>
    </w:rPr>
  </w:style>
  <w:style w:type="paragraph" w:styleId="Contents7" w:customStyle="1">
    <w:name w:val="Contents 7"/>
    <w:basedOn w:val="Standard"/>
    <w:next w:val="Standard"/>
    <w:autoRedefine/>
    <w:qFormat/>
    <w:pPr>
      <w:ind w:left="1400" w:hanging="0"/>
    </w:pPr>
    <w:rPr>
      <w:rFonts w:ascii="Calibri" w:hAnsi="Calibri" w:eastAsia="Calibri" w:cs="Calibri"/>
      <w:sz w:val="20"/>
      <w:szCs w:val="20"/>
    </w:rPr>
  </w:style>
  <w:style w:type="paragraph" w:styleId="Contents8" w:customStyle="1">
    <w:name w:val="Contents 8"/>
    <w:basedOn w:val="Standard"/>
    <w:next w:val="Standard"/>
    <w:autoRedefine/>
    <w:qFormat/>
    <w:pPr>
      <w:ind w:left="1680" w:hanging="0"/>
    </w:pPr>
    <w:rPr>
      <w:rFonts w:ascii="Calibri" w:hAnsi="Calibri" w:eastAsia="Calibri" w:cs="Calibri"/>
      <w:sz w:val="20"/>
      <w:szCs w:val="20"/>
    </w:rPr>
  </w:style>
  <w:style w:type="paragraph" w:styleId="Style36" w:customStyle="1">
    <w:name w:val="Текст"/>
    <w:basedOn w:val="Standard"/>
    <w:qFormat/>
    <w:pPr/>
    <w:rPr>
      <w:rFonts w:ascii="Calibri" w:hAnsi="Calibri" w:eastAsia="Calibri" w:cs="Calibri"/>
      <w:sz w:val="22"/>
      <w:szCs w:val="21"/>
      <w:lang w:eastAsia="en-US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rial Unicode MS" w:cs="Times New Roman"/>
      <w:color w:val="000000"/>
      <w:kern w:val="0"/>
      <w:sz w:val="24"/>
      <w:szCs w:val="24"/>
      <w:lang w:val="ru-RU" w:eastAsia="ru-RU" w:bidi="ar-SA"/>
    </w:rPr>
  </w:style>
  <w:style w:type="paragraph" w:styleId="Formattext" w:customStyle="1">
    <w:name w:val="formattext"/>
    <w:basedOn w:val="Standard"/>
    <w:qFormat/>
    <w:pPr>
      <w:spacing w:before="280" w:after="280"/>
    </w:pPr>
    <w:rPr>
      <w:sz w:val="24"/>
      <w:szCs w:val="24"/>
    </w:rPr>
  </w:style>
  <w:style w:type="paragraph" w:styleId="Style37" w:customStyle="1">
    <w:name w:val="Содержимое врезки"/>
    <w:basedOn w:val="Standard"/>
    <w:qFormat/>
    <w:pPr/>
    <w:rPr/>
  </w:style>
  <w:style w:type="paragraph" w:styleId="Style38" w:customStyle="1">
    <w:name w:val="Содержимое таблицы"/>
    <w:basedOn w:val="Standard"/>
    <w:qFormat/>
    <w:pPr>
      <w:widowControl w:val="false"/>
      <w:suppressLineNumbers/>
    </w:pPr>
    <w:rPr/>
  </w:style>
  <w:style w:type="paragraph" w:styleId="Style39" w:customStyle="1">
    <w:name w:val="Заголовок таблицы"/>
    <w:basedOn w:val="Style38"/>
    <w:qFormat/>
    <w:pPr>
      <w:jc w:val="center"/>
    </w:pPr>
    <w:rPr>
      <w:b/>
      <w:bCs/>
    </w:rPr>
  </w:style>
  <w:style w:type="paragraph" w:styleId="TOC1">
    <w:name w:val="TOC 1"/>
    <w:basedOn w:val="Style19"/>
    <w:pPr/>
    <w:rPr/>
  </w:style>
  <w:style w:type="paragraph" w:styleId="TOC2">
    <w:name w:val="TOC 2"/>
    <w:basedOn w:val="Style19"/>
    <w:pPr/>
    <w:rPr/>
  </w:style>
  <w:style w:type="paragraph" w:styleId="TOC3">
    <w:name w:val="TOC 3"/>
    <w:basedOn w:val="Style19"/>
    <w:pPr/>
    <w:rPr/>
  </w:style>
  <w:style w:type="paragraph" w:styleId="TOC4">
    <w:name w:val="TOC 4"/>
    <w:basedOn w:val="Style19"/>
    <w:pPr/>
    <w:rPr/>
  </w:style>
  <w:style w:type="paragraph" w:styleId="Style40">
    <w:name w:val="Абзац списка"/>
    <w:basedOn w:val="Normal"/>
    <w:qFormat/>
    <w:pPr>
      <w:tabs>
        <w:tab w:val="clear" w:pos="708"/>
      </w:tabs>
      <w:suppressAutoHyphens w:val="true"/>
      <w:ind w:left="720" w:right="0" w:hanging="0"/>
    </w:pPr>
    <w:rPr>
      <w:rFonts w:eastAsia="Calibri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OutlineListStyle" w:customStyle="1">
    <w:name w:val="WW_OutlineListStyle"/>
    <w:qFormat/>
  </w:style>
  <w:style w:type="numbering" w:styleId="19" w:customStyle="1">
    <w:name w:val="Стиль1"/>
    <w:qFormat/>
  </w:style>
  <w:style w:type="numbering" w:styleId="29" w:customStyle="1">
    <w:name w:val="Стиль2"/>
    <w:qFormat/>
  </w:style>
  <w:style w:type="numbering" w:styleId="418973241">
    <w:name w:val="418973241"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7">
    <w:name w:val="Table Grid"/>
    <w:basedOn w:val="a3"/>
    <w:uiPriority w:val="39"/>
    <w:rsid w:val="00c06a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header" Target="header6.xml"/><Relationship Id="rId13" Type="http://schemas.openxmlformats.org/officeDocument/2006/relationships/header" Target="header7.xml"/><Relationship Id="rId14" Type="http://schemas.openxmlformats.org/officeDocument/2006/relationships/footer" Target="footer6.xml"/><Relationship Id="rId15" Type="http://schemas.openxmlformats.org/officeDocument/2006/relationships/footer" Target="footer7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1825</TotalTime>
  <Application>AlterOffice/2025.3.0.0$Linux_X86_64 LibreOffice_project/4ba31b6a4271509a884f95065d0a726e9cb2bdbb</Application>
  <AppVersion>15.0000</AppVersion>
  <Pages>10</Pages>
  <Words>2085</Words>
  <Characters>13358</Characters>
  <CharactersWithSpaces>15168</CharactersWithSpaces>
  <Paragraphs>329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2022-12-27T08:28:00Z</dcterms:created>
  <dc:creator>Быстров Олег Геннадьевич</dc:creator>
  <dc:description/>
  <dc:language>ru-RU</dc:language>
  <cp:lastModifiedBy>atlasovatt@sed.local</cp:lastModifiedBy>
  <cp:lastPrinted>2024-07-18T15:46:00Z</cp:lastPrinted>
  <dcterms:modified xsi:type="dcterms:W3CDTF">2026-09-02T16:39:27Z</dcterms:modified>
  <cp:revision>42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