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5.xml" ContentType="application/vnd.openxmlformats-officedocument.wordprocessingml.header+xml"/>
  <Override PartName="/word/header1.xml" ContentType="application/vnd.openxmlformats-officedocument.wordprocessingml.header+xml"/>
  <Override PartName="/word/_rels/document.xml.rels" ContentType="application/vnd.openxmlformats-package.relationships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numbering.xml" ContentType="application/vnd.openxmlformats-officedocument.wordprocessingml.numbering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tbl>
      <w:tblPr>
        <w:tblW w:w="4950" w:type="pct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04"/>
        <w:gridCol w:w="4916"/>
      </w:tblGrid>
      <w:tr>
        <w:trPr/>
        <w:tc>
          <w:tcPr>
            <w:tcW w:w="4904" w:type="dxa"/>
            <w:tcBorders/>
          </w:tcPr>
          <w:p>
            <w:pPr>
              <w:pStyle w:val="Normal"/>
              <w:tabs>
                <w:tab w:val="clear" w:pos="708"/>
                <w:tab w:val="left" w:pos="6926" w:leader="none"/>
              </w:tabs>
              <w:snapToGrid w:val="false"/>
              <w:jc w:val="right"/>
              <w:rPr>
                <w:bCs/>
                <w:sz w:val="24"/>
              </w:rPr>
            </w:pPr>
            <w:r>
              <w:rPr>
                <w:bCs/>
                <w:sz w:val="24"/>
              </w:rPr>
            </w:r>
          </w:p>
        </w:tc>
        <w:tc>
          <w:tcPr>
            <w:tcW w:w="4916" w:type="dxa"/>
            <w:tcBorders/>
          </w:tcPr>
          <w:p>
            <w:pPr>
              <w:pStyle w:val="Normal"/>
              <w:suppressAutoHyphens w:val="true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Утверждаю</w:t>
            </w:r>
          </w:p>
          <w:p>
            <w:pPr>
              <w:pStyle w:val="Normal"/>
              <w:suppressAutoHyphens w:val="true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 Приволжского филиала</w:t>
            </w:r>
          </w:p>
          <w:p>
            <w:pPr>
              <w:pStyle w:val="Normal"/>
              <w:suppressAutoHyphens w:val="true"/>
              <w:spacing w:lineRule="auto" w:line="36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АО «ТК РусГидро»</w:t>
            </w:r>
          </w:p>
          <w:p>
            <w:pPr>
              <w:pStyle w:val="Normal"/>
              <w:suppressAutoHyphens w:val="true"/>
              <w:spacing w:lineRule="auto" w:line="36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 М.К. Крылов</w:t>
            </w:r>
          </w:p>
          <w:p>
            <w:pPr>
              <w:pStyle w:val="Normal"/>
              <w:keepNext w:val="true"/>
              <w:keepLines/>
              <w:suppressAutoHyphens w:val="true"/>
              <w:jc w:val="right"/>
              <w:rPr>
                <w:rFonts w:eastAsia="Calibri"/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«_____» __________________ 2026 г.</w:t>
            </w:r>
          </w:p>
          <w:p>
            <w:pPr>
              <w:pStyle w:val="Normal"/>
              <w:suppressAutoHyphens w:val="true"/>
              <w:jc w:val="right"/>
              <w:rPr>
                <w:rFonts w:eastAsia="Calibri"/>
                <w:b/>
                <w:bCs/>
                <w:sz w:val="24"/>
                <w:szCs w:val="24"/>
              </w:rPr>
            </w:pPr>
            <w:r>
              <w:rPr>
                <w:rFonts w:eastAsia="Calibri"/>
                <w:b/>
                <w:bCs/>
                <w:sz w:val="24"/>
                <w:szCs w:val="24"/>
              </w:rPr>
            </w:r>
          </w:p>
          <w:p>
            <w:pPr>
              <w:pStyle w:val="Normal"/>
              <w:tabs>
                <w:tab w:val="clear" w:pos="708"/>
                <w:tab w:val="left" w:pos="6926" w:leader="none"/>
              </w:tabs>
              <w:rPr>
                <w:rFonts w:eastAsia="Calibri"/>
                <w:b/>
                <w:bCs/>
                <w:sz w:val="24"/>
                <w:szCs w:val="24"/>
              </w:rPr>
            </w:pPr>
            <w:r>
              <w:rPr>
                <w:rFonts w:eastAsia="Calibri"/>
                <w:b/>
                <w:bCs/>
                <w:sz w:val="24"/>
                <w:szCs w:val="24"/>
              </w:rPr>
            </w:r>
          </w:p>
          <w:p>
            <w:pPr>
              <w:pStyle w:val="Normal"/>
              <w:tabs>
                <w:tab w:val="clear" w:pos="708"/>
                <w:tab w:val="left" w:pos="6926" w:leader="none"/>
              </w:tabs>
              <w:rPr>
                <w:rFonts w:eastAsia="Calibri"/>
                <w:b/>
                <w:bCs/>
                <w:sz w:val="24"/>
                <w:szCs w:val="24"/>
              </w:rPr>
            </w:pPr>
            <w:r>
              <w:rPr>
                <w:rFonts w:eastAsia="Calibri"/>
                <w:b/>
                <w:bCs/>
                <w:sz w:val="24"/>
                <w:szCs w:val="24"/>
              </w:rPr>
            </w:r>
          </w:p>
          <w:p>
            <w:pPr>
              <w:pStyle w:val="Normal"/>
              <w:tabs>
                <w:tab w:val="clear" w:pos="708"/>
                <w:tab w:val="left" w:pos="6926" w:leader="none"/>
              </w:tabs>
              <w:rPr>
                <w:rFonts w:eastAsia="Calibri"/>
                <w:b/>
                <w:bCs/>
                <w:sz w:val="24"/>
                <w:szCs w:val="24"/>
              </w:rPr>
            </w:pPr>
            <w:r>
              <w:rPr>
                <w:rFonts w:eastAsia="Calibri"/>
                <w:b/>
                <w:bCs/>
                <w:sz w:val="24"/>
                <w:szCs w:val="24"/>
              </w:rPr>
            </w:r>
          </w:p>
          <w:p>
            <w:pPr>
              <w:pStyle w:val="Normal"/>
              <w:tabs>
                <w:tab w:val="clear" w:pos="708"/>
                <w:tab w:val="left" w:pos="6926" w:leader="none"/>
              </w:tabs>
              <w:rPr>
                <w:rFonts w:eastAsia="Calibri"/>
                <w:b/>
                <w:bCs/>
                <w:sz w:val="24"/>
                <w:szCs w:val="24"/>
              </w:rPr>
            </w:pPr>
            <w:r>
              <w:rPr>
                <w:rFonts w:eastAsia="Calibri"/>
                <w:b/>
                <w:bCs/>
                <w:sz w:val="24"/>
                <w:szCs w:val="24"/>
              </w:rPr>
            </w:r>
          </w:p>
          <w:p>
            <w:pPr>
              <w:pStyle w:val="Normal"/>
              <w:tabs>
                <w:tab w:val="clear" w:pos="708"/>
                <w:tab w:val="left" w:pos="6926" w:leader="none"/>
              </w:tabs>
              <w:rPr>
                <w:rFonts w:eastAsia="Calibri"/>
                <w:b/>
                <w:bCs/>
                <w:sz w:val="24"/>
                <w:szCs w:val="24"/>
              </w:rPr>
            </w:pPr>
            <w:r>
              <w:rPr>
                <w:rFonts w:eastAsia="Calibri"/>
                <w:b/>
                <w:bCs/>
                <w:sz w:val="24"/>
                <w:szCs w:val="24"/>
              </w:rPr>
            </w:r>
          </w:p>
          <w:p>
            <w:pPr>
              <w:pStyle w:val="Normal"/>
              <w:tabs>
                <w:tab w:val="clear" w:pos="708"/>
                <w:tab w:val="left" w:pos="6926" w:leader="none"/>
              </w:tabs>
              <w:rPr>
                <w:rFonts w:eastAsia="Calibri"/>
                <w:b/>
                <w:bCs/>
                <w:sz w:val="24"/>
                <w:szCs w:val="24"/>
              </w:rPr>
            </w:pPr>
            <w:r>
              <w:rPr>
                <w:rFonts w:eastAsia="Calibri"/>
                <w:b/>
                <w:bCs/>
                <w:sz w:val="24"/>
                <w:szCs w:val="24"/>
              </w:rPr>
            </w:r>
          </w:p>
          <w:p>
            <w:pPr>
              <w:pStyle w:val="Normal"/>
              <w:tabs>
                <w:tab w:val="clear" w:pos="708"/>
                <w:tab w:val="left" w:pos="6926" w:leader="none"/>
              </w:tabs>
              <w:rPr>
                <w:rFonts w:eastAsia="Calibri"/>
                <w:b/>
                <w:bCs/>
                <w:sz w:val="24"/>
                <w:szCs w:val="24"/>
              </w:rPr>
            </w:pPr>
            <w:r>
              <w:rPr>
                <w:rFonts w:eastAsia="Calibri"/>
                <w:b/>
                <w:bCs/>
                <w:sz w:val="24"/>
                <w:szCs w:val="24"/>
              </w:rPr>
            </w:r>
          </w:p>
        </w:tc>
      </w:tr>
    </w:tbl>
    <w:p>
      <w:pPr>
        <w:pStyle w:val="Normal"/>
        <w:ind w:left="426" w:right="-1"/>
        <w:jc w:val="righ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p>
      <w:pPr>
        <w:pStyle w:val="Normal"/>
        <w:ind w:left="426" w:right="-1"/>
        <w:jc w:val="righ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p>
      <w:pPr>
        <w:pStyle w:val="Normal"/>
        <w:ind w:left="426" w:right="-1"/>
        <w:jc w:val="righ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p>
      <w:pPr>
        <w:pStyle w:val="Normal"/>
        <w:ind w:left="426" w:right="-1"/>
        <w:jc w:val="righ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p>
      <w:pPr>
        <w:pStyle w:val="Normal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ТЕХНИЧЕСКИЕ ТРЕБОВАНИЯ НА ПОСТАВКУ МТР</w:t>
      </w:r>
    </w:p>
    <w:p>
      <w:pPr>
        <w:pStyle w:val="Normal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«ОКПД 2: 29.10.59.270 Поставка автогидроподъемника для нужд АО «ТК РусГидро»</w:t>
      </w:r>
    </w:p>
    <w:p>
      <w:pPr>
        <w:pStyle w:val="Normal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ЛОТ № 1018-ТПИР ОНМ-2026-ТК</w:t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Style50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  <w:r>
        <w:br w:type="page"/>
      </w:r>
    </w:p>
    <w:p>
      <w:pPr>
        <w:pStyle w:val="Normal"/>
        <w:rPr>
          <w:b/>
          <w:sz w:val="26"/>
          <w:szCs w:val="26"/>
        </w:rPr>
      </w:pPr>
      <w:r>
        <w:rPr>
          <w:b/>
          <w:sz w:val="26"/>
          <w:szCs w:val="26"/>
        </w:rPr>
      </w:r>
    </w:p>
    <w:p>
      <w:pPr>
        <w:pStyle w:val="Normal"/>
        <w:jc w:val="center"/>
        <w:rPr>
          <w:b/>
        </w:rPr>
      </w:pPr>
      <w:r>
        <w:rPr>
          <w:b/>
        </w:rPr>
        <w:t>СОДЕРЖАНИЕ</w:t>
      </w:r>
    </w:p>
    <w:sdt>
      <w:sdtPr>
        <w:docPartObj>
          <w:docPartGallery w:val="Table of Contents"/>
          <w:docPartUnique w:val="true"/>
        </w:docPartObj>
      </w:sdtPr>
      <w:sdtContent>
        <w:p>
          <w:pPr>
            <w:pStyle w:val="TOC1"/>
            <w:tabs>
              <w:tab w:val="clear" w:pos="708"/>
              <w:tab w:val="left" w:pos="560" w:leader="none"/>
              <w:tab w:val="right" w:pos="9911" w:leader="dot"/>
            </w:tabs>
            <w:spacing w:before="0" w:after="0"/>
            <w:rPr/>
          </w:pPr>
          <w:r>
            <w:fldChar w:fldCharType="begin"/>
          </w:r>
          <w:r>
            <w:rPr>
              <w:webHidden/>
              <w:rStyle w:val="Style19"/>
              <w:rFonts w:cs="Times New Roman"/>
              <w:lang w:val="ru-RU" w:eastAsia="ru-RU"/>
            </w:rPr>
            <w:instrText xml:space="preserve"> TOC \z \o "1-4" \u \h</w:instrText>
          </w:r>
          <w:r>
            <w:rPr>
              <w:webHidden/>
              <w:rStyle w:val="Style19"/>
              <w:rFonts w:cs="Times New Roman"/>
              <w:lang w:val="ru-RU" w:eastAsia="ru-RU"/>
            </w:rPr>
            <w:fldChar w:fldCharType="separate"/>
          </w:r>
          <w:hyperlink w:anchor="__RefHeading___Toc174063174">
            <w:r>
              <w:rPr>
                <w:webHidden/>
                <w:rStyle w:val="Style19"/>
                <w:rFonts w:cs="Times New Roman"/>
                <w:lang w:val="ru-RU" w:eastAsia="ru-RU"/>
              </w:rPr>
              <w:t>1.</w:t>
            </w:r>
            <w:r>
              <w:rPr>
                <w:rStyle w:val="Style19"/>
                <w:rFonts w:cs="Times New Roman"/>
                <w:b w:val="false"/>
                <w:bCs w:val="false"/>
                <w:lang w:val="ru-RU" w:eastAsia="ru-RU"/>
              </w:rPr>
              <w:t xml:space="preserve"> </w:t>
            </w:r>
            <w:r>
              <w:rPr>
                <w:rStyle w:val="Style19"/>
                <w:rFonts w:cs="Times New Roman"/>
                <w:lang w:val="ru-RU" w:eastAsia="ru-RU"/>
              </w:rPr>
              <w:t>Общие сведения</w:t>
              <w:tab/>
              <w:t>3</w:t>
            </w:r>
          </w:hyperlink>
        </w:p>
        <w:p>
          <w:pPr>
            <w:pStyle w:val="TOC4"/>
            <w:tabs>
              <w:tab w:val="clear" w:pos="708"/>
              <w:tab w:val="left" w:pos="709" w:leader="none"/>
              <w:tab w:val="right" w:pos="9911" w:leader="dot"/>
            </w:tabs>
            <w:ind w:hanging="0" w:left="142" w:right="0"/>
            <w:rPr/>
          </w:pPr>
          <w:hyperlink w:anchor="__RefHeading___Toc174063175">
            <w:r>
              <w:rPr>
                <w:webHidden/>
                <w:rStyle w:val="Style19"/>
                <w:rFonts w:cs="Times New Roman"/>
                <w:iCs/>
                <w:sz w:val="24"/>
                <w:szCs w:val="24"/>
                <w:lang w:val="ru-RU" w:eastAsia="ru-RU"/>
              </w:rPr>
              <w:t>1.1.</w:t>
            </w:r>
            <w:r>
              <w:rPr>
                <w:rStyle w:val="Style19"/>
                <w:rFonts w:cs="Times New Roman"/>
                <w:sz w:val="24"/>
                <w:szCs w:val="24"/>
                <w:lang w:val="ru-RU" w:eastAsia="ru-RU"/>
              </w:rPr>
              <w:t xml:space="preserve"> Обозначения и сокращения</w:t>
              <w:tab/>
              <w:t>3</w:t>
            </w:r>
          </w:hyperlink>
        </w:p>
        <w:p>
          <w:pPr>
            <w:pStyle w:val="TOC4"/>
            <w:tabs>
              <w:tab w:val="clear" w:pos="708"/>
              <w:tab w:val="left" w:pos="709" w:leader="none"/>
              <w:tab w:val="right" w:pos="9911" w:leader="dot"/>
            </w:tabs>
            <w:ind w:hanging="0" w:left="142" w:right="0"/>
            <w:rPr/>
          </w:pPr>
          <w:hyperlink w:anchor="__RefHeading___Toc174063176">
            <w:r>
              <w:rPr>
                <w:webHidden/>
                <w:rStyle w:val="Style19"/>
                <w:rFonts w:cs="Times New Roman"/>
                <w:iCs/>
                <w:sz w:val="24"/>
                <w:szCs w:val="24"/>
                <w:lang w:val="ru-RU" w:eastAsia="ru-RU"/>
              </w:rPr>
              <w:t>1.2.</w:t>
            </w:r>
            <w:r>
              <w:rPr>
                <w:rStyle w:val="Style19"/>
                <w:rFonts w:cs="Times New Roman"/>
                <w:iCs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Style w:val="Style19"/>
                <w:rFonts w:cs="Times New Roman"/>
                <w:sz w:val="24"/>
                <w:szCs w:val="24"/>
                <w:lang w:val="ru-RU" w:eastAsia="ru-RU"/>
              </w:rPr>
              <w:t>Наименование закупаемой продукции</w:t>
              <w:tab/>
              <w:t>3</w:t>
            </w:r>
          </w:hyperlink>
        </w:p>
        <w:p>
          <w:pPr>
            <w:pStyle w:val="TOC4"/>
            <w:tabs>
              <w:tab w:val="clear" w:pos="708"/>
              <w:tab w:val="left" w:pos="709" w:leader="none"/>
              <w:tab w:val="right" w:pos="9911" w:leader="dot"/>
            </w:tabs>
            <w:ind w:hanging="0" w:left="142" w:right="0"/>
            <w:rPr/>
          </w:pPr>
          <w:hyperlink w:anchor="__RefHeading___Toc174063177">
            <w:r>
              <w:rPr>
                <w:webHidden/>
                <w:rStyle w:val="Style19"/>
                <w:rFonts w:cs="Times New Roman"/>
                <w:iCs/>
                <w:sz w:val="24"/>
                <w:szCs w:val="24"/>
                <w:lang w:val="ru-RU" w:eastAsia="ru-RU"/>
              </w:rPr>
              <w:t>1.3.</w:t>
            </w:r>
            <w:r>
              <w:rPr>
                <w:rStyle w:val="Style19"/>
                <w:rFonts w:cs="Times New Roman"/>
                <w:iCs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Style w:val="Style19"/>
                <w:rFonts w:cs="Times New Roman"/>
                <w:sz w:val="24"/>
                <w:szCs w:val="24"/>
                <w:lang w:val="ru-RU" w:eastAsia="ru-RU"/>
              </w:rPr>
              <w:t>Цель использования закупаемой продукции</w:t>
              <w:tab/>
              <w:t>3</w:t>
            </w:r>
          </w:hyperlink>
        </w:p>
        <w:p>
          <w:pPr>
            <w:pStyle w:val="TOC1"/>
            <w:tabs>
              <w:tab w:val="clear" w:pos="708"/>
              <w:tab w:val="left" w:pos="560" w:leader="none"/>
              <w:tab w:val="right" w:pos="9911" w:leader="dot"/>
            </w:tabs>
            <w:spacing w:before="0" w:after="0"/>
            <w:rPr/>
          </w:pPr>
          <w:hyperlink w:anchor="__RefHeading___Toc174063178">
            <w:r>
              <w:rPr>
                <w:webHidden/>
                <w:rStyle w:val="Style19"/>
                <w:rFonts w:cs="Times New Roman"/>
                <w:lang w:val="ru-RU" w:eastAsia="ru-RU"/>
              </w:rPr>
              <w:t>2.</w:t>
            </w:r>
            <w:r>
              <w:rPr>
                <w:rStyle w:val="Style19"/>
                <w:rFonts w:cs="Times New Roman"/>
                <w:b w:val="false"/>
                <w:bCs w:val="false"/>
                <w:lang w:val="ru-RU" w:eastAsia="ru-RU"/>
              </w:rPr>
              <w:t xml:space="preserve"> </w:t>
            </w:r>
            <w:r>
              <w:rPr>
                <w:rStyle w:val="Style19"/>
                <w:rFonts w:cs="Times New Roman"/>
                <w:lang w:val="ru-RU" w:eastAsia="ru-RU"/>
              </w:rPr>
              <w:t>Требования к продукции</w:t>
              <w:tab/>
              <w:t>3</w:t>
            </w:r>
          </w:hyperlink>
        </w:p>
        <w:p>
          <w:pPr>
            <w:pStyle w:val="TOC4"/>
            <w:tabs>
              <w:tab w:val="clear" w:pos="708"/>
              <w:tab w:val="left" w:pos="709" w:leader="none"/>
              <w:tab w:val="right" w:pos="9911" w:leader="dot"/>
            </w:tabs>
            <w:ind w:hanging="0" w:left="142" w:right="0"/>
            <w:rPr/>
          </w:pPr>
          <w:hyperlink w:anchor="__RefHeading___Toc174063179">
            <w:r>
              <w:rPr>
                <w:webHidden/>
                <w:rStyle w:val="Style19"/>
                <w:rFonts w:cs="Times New Roman"/>
                <w:iCs/>
                <w:sz w:val="24"/>
                <w:szCs w:val="24"/>
                <w:lang w:val="ru-RU" w:eastAsia="ru-RU"/>
              </w:rPr>
              <w:t>2.1.</w:t>
            </w:r>
            <w:r>
              <w:rPr>
                <w:rStyle w:val="Style19"/>
                <w:rFonts w:cs="Times New Roman"/>
                <w:iCs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Style w:val="Style19"/>
                <w:rFonts w:cs="Times New Roman"/>
                <w:sz w:val="24"/>
                <w:szCs w:val="24"/>
                <w:lang w:val="ru-RU" w:eastAsia="ru-RU"/>
              </w:rPr>
              <w:t>Требования к объемам и срокам поставки</w:t>
              <w:tab/>
              <w:t>3</w:t>
            </w:r>
          </w:hyperlink>
        </w:p>
        <w:p>
          <w:pPr>
            <w:pStyle w:val="TOC2"/>
            <w:tabs>
              <w:tab w:val="clear" w:pos="708"/>
              <w:tab w:val="left" w:pos="840" w:leader="none"/>
              <w:tab w:val="right" w:pos="9911" w:leader="dot"/>
            </w:tabs>
            <w:spacing w:before="0" w:after="0"/>
            <w:ind w:left="142" w:right="0"/>
            <w:rPr/>
          </w:pPr>
          <w:hyperlink w:anchor="__RefHeading___Toc174063180">
            <w:r>
              <w:rPr>
                <w:webHidden/>
                <w:rStyle w:val="Style19"/>
                <w:rFonts w:cs="Times New Roman"/>
                <w:sz w:val="24"/>
                <w:szCs w:val="24"/>
                <w:lang w:val="ru-RU" w:eastAsia="ru-RU"/>
              </w:rPr>
              <w:t>2.1.1.</w:t>
            </w:r>
            <w:r>
              <w:rPr>
                <w:rStyle w:val="Style19"/>
                <w:rFonts w:cs="Times New Roman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Style w:val="Style19"/>
                <w:rFonts w:cs="Times New Roman"/>
                <w:sz w:val="24"/>
                <w:szCs w:val="24"/>
                <w:lang w:val="ru-RU" w:eastAsia="ru-RU"/>
              </w:rPr>
              <w:t>Перечень и объем закупаемой продукции</w:t>
              <w:tab/>
              <w:t>3</w:t>
            </w:r>
          </w:hyperlink>
        </w:p>
        <w:p>
          <w:pPr>
            <w:pStyle w:val="TOC3"/>
            <w:tabs>
              <w:tab w:val="clear" w:pos="708"/>
              <w:tab w:val="right" w:pos="9911" w:leader="dot"/>
            </w:tabs>
            <w:ind w:hanging="0" w:left="142" w:right="0"/>
            <w:rPr/>
          </w:pPr>
          <w:hyperlink w:anchor="__RefHeading___Toc174063181">
            <w:r>
              <w:rPr>
                <w:webHidden/>
                <w:rStyle w:val="Style19"/>
                <w:rFonts w:cs="Times New Roman"/>
                <w:sz w:val="24"/>
                <w:szCs w:val="24"/>
                <w:lang w:val="ru-RU" w:eastAsia="ru-RU"/>
              </w:rPr>
              <w:t>Таблица 1. Перечень и объем закупаемой продукции</w:t>
              <w:tab/>
              <w:t>3</w:t>
            </w:r>
          </w:hyperlink>
        </w:p>
        <w:p>
          <w:pPr>
            <w:pStyle w:val="TOC2"/>
            <w:tabs>
              <w:tab w:val="clear" w:pos="708"/>
              <w:tab w:val="left" w:pos="840" w:leader="none"/>
              <w:tab w:val="right" w:pos="9911" w:leader="dot"/>
            </w:tabs>
            <w:spacing w:before="0" w:after="0"/>
            <w:ind w:left="142" w:right="0"/>
            <w:rPr/>
          </w:pPr>
          <w:hyperlink w:anchor="__RefHeading___Toc174063182">
            <w:r>
              <w:rPr>
                <w:webHidden/>
                <w:rStyle w:val="Style19"/>
                <w:rFonts w:cs="Times New Roman"/>
                <w:sz w:val="24"/>
                <w:szCs w:val="24"/>
                <w:lang w:val="ru-RU" w:eastAsia="ru-RU"/>
              </w:rPr>
              <w:t>2.1.2.</w:t>
            </w:r>
            <w:r>
              <w:rPr>
                <w:rStyle w:val="Style19"/>
                <w:rFonts w:cs="Times New Roman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Style w:val="Style19"/>
                <w:rFonts w:cs="Times New Roman"/>
                <w:sz w:val="24"/>
                <w:szCs w:val="24"/>
                <w:lang w:val="ru-RU" w:eastAsia="ru-RU"/>
              </w:rPr>
              <w:t>Требования к срокам поставки продукции</w:t>
              <w:tab/>
              <w:t>3</w:t>
            </w:r>
          </w:hyperlink>
        </w:p>
        <w:p>
          <w:pPr>
            <w:pStyle w:val="TOC3"/>
            <w:tabs>
              <w:tab w:val="clear" w:pos="708"/>
              <w:tab w:val="right" w:pos="9911" w:leader="dot"/>
            </w:tabs>
            <w:ind w:hanging="0" w:left="142" w:right="0"/>
            <w:rPr/>
          </w:pPr>
          <w:hyperlink w:anchor="__RefHeading___Toc174063183">
            <w:r>
              <w:rPr>
                <w:webHidden/>
                <w:rStyle w:val="Style19"/>
                <w:rFonts w:cs="Times New Roman"/>
                <w:sz w:val="24"/>
                <w:szCs w:val="24"/>
                <w:lang w:val="ru-RU" w:eastAsia="ru-RU"/>
              </w:rPr>
              <w:t xml:space="preserve">Таблица 2. </w:t>
            </w:r>
            <w:r>
              <w:rPr>
                <w:rStyle w:val="Style19"/>
                <w:rFonts w:cs="Times New Roman"/>
                <w:sz w:val="24"/>
                <w:szCs w:val="24"/>
                <w:lang w:val="en-US" w:eastAsia="ru-RU"/>
              </w:rPr>
              <w:t>Требования по срокам поставки продукции</w:t>
            </w:r>
            <w:r>
              <w:rPr>
                <w:rStyle w:val="Style19"/>
                <w:rFonts w:cs="Times New Roman"/>
                <w:sz w:val="24"/>
                <w:szCs w:val="24"/>
                <w:lang w:val="ru-RU" w:eastAsia="ru-RU"/>
              </w:rPr>
              <w:tab/>
              <w:t>3</w:t>
            </w:r>
          </w:hyperlink>
        </w:p>
        <w:p>
          <w:pPr>
            <w:pStyle w:val="TOC2"/>
            <w:tabs>
              <w:tab w:val="clear" w:pos="708"/>
              <w:tab w:val="left" w:pos="840" w:leader="none"/>
              <w:tab w:val="right" w:pos="9911" w:leader="dot"/>
            </w:tabs>
            <w:spacing w:before="0" w:after="0"/>
            <w:ind w:left="142" w:right="0"/>
            <w:rPr/>
          </w:pPr>
          <w:hyperlink w:anchor="__RefHeading___Toc174063184">
            <w:r>
              <w:rPr>
                <w:webHidden/>
                <w:rStyle w:val="Style19"/>
                <w:rFonts w:cs="Times New Roman"/>
                <w:sz w:val="24"/>
                <w:szCs w:val="24"/>
                <w:lang w:val="ru-RU" w:eastAsia="ru-RU"/>
              </w:rPr>
              <w:t>2.1.3.</w:t>
            </w:r>
            <w:r>
              <w:rPr>
                <w:rStyle w:val="Style19"/>
                <w:rFonts w:cs="Times New Roman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Style w:val="Style19"/>
                <w:rFonts w:cs="Times New Roman"/>
                <w:sz w:val="24"/>
                <w:szCs w:val="24"/>
                <w:lang w:val="ru-RU" w:eastAsia="ru-RU"/>
              </w:rPr>
              <w:t>Требования к качеству продукции</w:t>
              <w:tab/>
              <w:t>4</w:t>
            </w:r>
          </w:hyperlink>
        </w:p>
        <w:p>
          <w:pPr>
            <w:pStyle w:val="TOC3"/>
            <w:tabs>
              <w:tab w:val="clear" w:pos="708"/>
              <w:tab w:val="right" w:pos="9911" w:leader="dot"/>
            </w:tabs>
            <w:ind w:hanging="0" w:left="142" w:right="0"/>
            <w:rPr/>
          </w:pPr>
          <w:hyperlink w:anchor="__RefHeading___Toc174063185">
            <w:r>
              <w:rPr>
                <w:webHidden/>
                <w:rStyle w:val="Style19"/>
                <w:rFonts w:cs="Times New Roman"/>
                <w:b/>
                <w:sz w:val="24"/>
                <w:szCs w:val="24"/>
                <w:lang w:val="ru-RU" w:eastAsia="ru-RU"/>
              </w:rPr>
              <w:t>Таблица 3. Требования к продукции</w:t>
            </w:r>
            <w:r>
              <w:rPr>
                <w:rStyle w:val="Style19"/>
                <w:rFonts w:cs="Times New Roman"/>
                <w:sz w:val="24"/>
                <w:szCs w:val="24"/>
                <w:lang w:val="ru-RU" w:eastAsia="ru-RU"/>
              </w:rPr>
              <w:tab/>
              <w:t>4</w:t>
            </w:r>
          </w:hyperlink>
        </w:p>
        <w:p>
          <w:pPr>
            <w:pStyle w:val="TOC1"/>
            <w:tabs>
              <w:tab w:val="clear" w:pos="708"/>
              <w:tab w:val="right" w:pos="9911" w:leader="dot"/>
            </w:tabs>
            <w:spacing w:before="0" w:after="0"/>
            <w:rPr/>
          </w:pPr>
          <w:hyperlink w:anchor="__RefHeading___Toc174063186">
            <w:r>
              <w:rPr>
                <w:webHidden/>
                <w:rStyle w:val="Style19"/>
                <w:rFonts w:cs="Times New Roman"/>
                <w:lang w:val="ru-RU" w:eastAsia="ru-RU"/>
              </w:rPr>
              <w:t>3. Требования к документации по ценообразованию на этапе закупки</w:t>
              <w:tab/>
              <w:t>12</w:t>
            </w:r>
          </w:hyperlink>
          <w:r>
            <w:rPr>
              <w:rStyle w:val="Style19"/>
              <w:rFonts w:cs="Times New Roman"/>
              <w:lang w:val="ru-RU" w:eastAsia="ru-RU"/>
            </w:rPr>
            <w:fldChar w:fldCharType="end"/>
          </w:r>
        </w:p>
      </w:sdtContent>
    </w:sdt>
    <w:p>
      <w:pPr>
        <w:pStyle w:val="TOC1"/>
        <w:tabs>
          <w:tab w:val="clear" w:pos="708"/>
          <w:tab w:val="left" w:pos="560" w:leader="none"/>
          <w:tab w:val="right" w:pos="9911" w:leader="dot"/>
        </w:tabs>
        <w:rPr>
          <w:rFonts w:ascii="Calibri" w:hAnsi="Calibri" w:eastAsia="PMingLiU;新細明體" w:cs="Calibri"/>
          <w:b w:val="false"/>
          <w:bCs w:val="false"/>
          <w:lang w:val="ru-RU" w:eastAsia="ru-RU"/>
        </w:rPr>
      </w:pPr>
      <w:r>
        <w:rPr>
          <w:rFonts w:eastAsia="PMingLiU;新細明體" w:cs="Calibri" w:ascii="Calibri" w:hAnsi="Calibri"/>
          <w:b w:val="false"/>
          <w:bCs w:val="false"/>
          <w:lang w:val="ru-RU" w:eastAsia="ru-RU"/>
        </w:rPr>
      </w:r>
    </w:p>
    <w:p>
      <w:pPr>
        <w:pStyle w:val="TOC4"/>
        <w:tabs>
          <w:tab w:val="clear" w:pos="708"/>
          <w:tab w:val="left" w:pos="1120" w:leader="none"/>
          <w:tab w:val="right" w:pos="9911" w:leader="dot"/>
        </w:tabs>
        <w:rPr>
          <w:rFonts w:ascii="Calibri" w:hAnsi="Calibri" w:eastAsia="PMingLiU;新細明體" w:cs="Calibri"/>
          <w:b/>
          <w:bCs/>
          <w:sz w:val="24"/>
          <w:szCs w:val="24"/>
          <w:lang w:val="ru-RU" w:eastAsia="ru-RU"/>
        </w:rPr>
      </w:pPr>
      <w:r>
        <w:rPr>
          <w:rFonts w:eastAsia="PMingLiU;新細明體" w:cs="Calibri" w:ascii="Calibri" w:hAnsi="Calibri"/>
          <w:b/>
          <w:bCs/>
          <w:sz w:val="24"/>
          <w:szCs w:val="24"/>
          <w:lang w:val="ru-RU" w:eastAsia="ru-RU"/>
        </w:rPr>
      </w:r>
    </w:p>
    <w:p>
      <w:pPr>
        <w:pStyle w:val="Heading2"/>
        <w:numPr>
          <w:ilvl w:val="0"/>
          <w:numId w:val="0"/>
        </w:numPr>
        <w:ind w:hanging="0" w:left="0" w:right="0"/>
        <w:rPr>
          <w:rFonts w:ascii="Calibri" w:hAnsi="Calibri" w:eastAsia="PMingLiU;新細明體" w:cs="Calibri"/>
          <w:b w:val="false"/>
          <w:bCs w:val="false"/>
          <w:sz w:val="24"/>
          <w:szCs w:val="24"/>
          <w:lang w:val="ru-RU" w:eastAsia="ru-RU"/>
        </w:rPr>
      </w:pPr>
      <w:r>
        <w:rPr>
          <w:rFonts w:eastAsia="PMingLiU;新細明體" w:cs="Calibri" w:ascii="Calibri" w:hAnsi="Calibri"/>
          <w:b w:val="false"/>
          <w:bCs w:val="false"/>
          <w:sz w:val="24"/>
          <w:szCs w:val="24"/>
          <w:lang w:val="ru-RU" w:eastAsia="ru-RU"/>
        </w:rPr>
      </w:r>
      <w:r>
        <w:br w:type="page"/>
      </w:r>
    </w:p>
    <w:p>
      <w:pPr>
        <w:pStyle w:val="Heading1"/>
        <w:numPr>
          <w:ilvl w:val="0"/>
          <w:numId w:val="5"/>
        </w:numPr>
        <w:tabs>
          <w:tab w:val="clear" w:pos="720"/>
          <w:tab w:val="left" w:pos="0" w:leader="none"/>
        </w:tabs>
        <w:ind w:hanging="0" w:left="0" w:right="0"/>
        <w:jc w:val="left"/>
        <w:rPr>
          <w:iCs/>
        </w:rPr>
      </w:pPr>
      <w:bookmarkStart w:id="0" w:name="__RefHeading___Toc174063174"/>
      <w:bookmarkEnd w:id="0"/>
      <w:r>
        <w:rPr/>
        <w:t>Общие сведения</w:t>
      </w:r>
    </w:p>
    <w:p>
      <w:pPr>
        <w:pStyle w:val="Heading4"/>
        <w:numPr>
          <w:ilvl w:val="1"/>
          <w:numId w:val="5"/>
        </w:numPr>
        <w:ind w:hanging="432" w:left="432" w:right="0"/>
        <w:rPr>
          <w:iCs/>
          <w:sz w:val="24"/>
          <w:szCs w:val="24"/>
        </w:rPr>
      </w:pPr>
      <w:bookmarkStart w:id="1" w:name="__RefHeading___Toc174063175"/>
      <w:bookmarkEnd w:id="1"/>
      <w:r>
        <w:rPr>
          <w:iCs/>
        </w:rPr>
        <w:t>Обозначения и сокращения</w:t>
      </w:r>
    </w:p>
    <w:tbl>
      <w:tblPr>
        <w:tblW w:w="10143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56"/>
        <w:gridCol w:w="6986"/>
      </w:tblGrid>
      <w:tr>
        <w:trPr>
          <w:trHeight w:val="240" w:hRule="atLeast"/>
          <w:cantSplit w:val="true"/>
        </w:trPr>
        <w:tc>
          <w:tcPr>
            <w:tcW w:w="3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jc w:val="both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АО «ТК РусГидро»</w:t>
            </w:r>
          </w:p>
        </w:tc>
        <w:tc>
          <w:tcPr>
            <w:tcW w:w="6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jc w:val="both"/>
              <w:rPr>
                <w:i/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Акционерное общество «Транспортная компания РусГидро»</w:t>
            </w:r>
          </w:p>
        </w:tc>
      </w:tr>
      <w:tr>
        <w:trPr>
          <w:trHeight w:val="240" w:hRule="atLeast"/>
          <w:cantSplit w:val="true"/>
        </w:trPr>
        <w:tc>
          <w:tcPr>
            <w:tcW w:w="3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Продукция</w:t>
            </w:r>
          </w:p>
        </w:tc>
        <w:tc>
          <w:tcPr>
            <w:tcW w:w="6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jc w:val="both"/>
              <w:rPr>
                <w:i/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Автогидроподъемник</w:t>
            </w:r>
          </w:p>
        </w:tc>
      </w:tr>
      <w:tr>
        <w:trPr>
          <w:trHeight w:val="240" w:hRule="atLeast"/>
          <w:cantSplit w:val="true"/>
        </w:trPr>
        <w:tc>
          <w:tcPr>
            <w:tcW w:w="3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jc w:val="both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ТТ</w:t>
            </w:r>
          </w:p>
        </w:tc>
        <w:tc>
          <w:tcPr>
            <w:tcW w:w="6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jc w:val="both"/>
              <w:rPr>
                <w:rStyle w:val="Style13"/>
                <w:bCs/>
                <w:iCs/>
              </w:rPr>
            </w:pPr>
            <w:r>
              <w:rPr>
                <w:i/>
                <w:iCs/>
                <w:sz w:val="24"/>
                <w:szCs w:val="24"/>
              </w:rPr>
              <w:t>Технические требования</w:t>
            </w:r>
          </w:p>
        </w:tc>
      </w:tr>
      <w:tr>
        <w:trPr>
          <w:trHeight w:val="240" w:hRule="atLeast"/>
          <w:cantSplit w:val="true"/>
        </w:trPr>
        <w:tc>
          <w:tcPr>
            <w:tcW w:w="3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jc w:val="both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ТС</w:t>
            </w:r>
          </w:p>
        </w:tc>
        <w:tc>
          <w:tcPr>
            <w:tcW w:w="6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jc w:val="both"/>
              <w:rPr>
                <w:i/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Транспортное средство</w:t>
            </w:r>
          </w:p>
        </w:tc>
      </w:tr>
      <w:tr>
        <w:trPr>
          <w:trHeight w:val="240" w:hRule="atLeast"/>
          <w:cantSplit w:val="true"/>
        </w:trPr>
        <w:tc>
          <w:tcPr>
            <w:tcW w:w="3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VIN</w:t>
            </w:r>
          </w:p>
        </w:tc>
        <w:tc>
          <w:tcPr>
            <w:tcW w:w="6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jc w:val="both"/>
              <w:rPr>
                <w:i/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Идентификационный номер транспортного средства</w:t>
            </w:r>
          </w:p>
        </w:tc>
      </w:tr>
      <w:tr>
        <w:trPr>
          <w:trHeight w:val="240" w:hRule="atLeast"/>
          <w:cantSplit w:val="true"/>
        </w:trPr>
        <w:tc>
          <w:tcPr>
            <w:tcW w:w="3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jc w:val="both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ТР ТС</w:t>
            </w:r>
          </w:p>
        </w:tc>
        <w:tc>
          <w:tcPr>
            <w:tcW w:w="6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jc w:val="both"/>
              <w:rPr>
                <w:i/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Технический регламент Таможенного Союза</w:t>
            </w:r>
          </w:p>
        </w:tc>
      </w:tr>
      <w:tr>
        <w:trPr>
          <w:trHeight w:val="240" w:hRule="atLeast"/>
          <w:cantSplit w:val="true"/>
        </w:trPr>
        <w:tc>
          <w:tcPr>
            <w:tcW w:w="31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jc w:val="both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СП</w:t>
            </w:r>
          </w:p>
        </w:tc>
        <w:tc>
          <w:tcPr>
            <w:tcW w:w="69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jc w:val="both"/>
              <w:rPr>
                <w:i/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Свод правил</w:t>
            </w:r>
          </w:p>
        </w:tc>
      </w:tr>
      <w:tr>
        <w:trPr>
          <w:trHeight w:val="240" w:hRule="atLeast"/>
          <w:cantSplit w:val="true"/>
        </w:trPr>
        <w:tc>
          <w:tcPr>
            <w:tcW w:w="3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jc w:val="both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ГЛОНАСС</w:t>
            </w:r>
          </w:p>
        </w:tc>
        <w:tc>
          <w:tcPr>
            <w:tcW w:w="6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jc w:val="both"/>
              <w:rPr>
                <w:i/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Глобальная навигационная спутниковая система</w:t>
            </w:r>
          </w:p>
        </w:tc>
      </w:tr>
      <w:tr>
        <w:trPr>
          <w:trHeight w:val="240" w:hRule="atLeast"/>
          <w:cantSplit w:val="true"/>
        </w:trPr>
        <w:tc>
          <w:tcPr>
            <w:tcW w:w="3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jc w:val="both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КПП</w:t>
            </w:r>
          </w:p>
        </w:tc>
        <w:tc>
          <w:tcPr>
            <w:tcW w:w="6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jc w:val="both"/>
              <w:rPr>
                <w:i/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Коробка переключения передач</w:t>
            </w:r>
          </w:p>
        </w:tc>
      </w:tr>
      <w:tr>
        <w:trPr>
          <w:trHeight w:val="240" w:hRule="atLeast"/>
          <w:cantSplit w:val="true"/>
        </w:trPr>
        <w:tc>
          <w:tcPr>
            <w:tcW w:w="3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keepLines/>
              <w:jc w:val="both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ТУ</w:t>
            </w:r>
          </w:p>
        </w:tc>
        <w:tc>
          <w:tcPr>
            <w:tcW w:w="6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jc w:val="both"/>
              <w:rPr>
                <w:i/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Технические условия</w:t>
            </w:r>
          </w:p>
        </w:tc>
      </w:tr>
      <w:tr>
        <w:trPr>
          <w:trHeight w:val="240" w:hRule="atLeast"/>
          <w:cantSplit w:val="true"/>
        </w:trPr>
        <w:tc>
          <w:tcPr>
            <w:tcW w:w="3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keepLines/>
              <w:jc w:val="both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ПТС</w:t>
            </w:r>
          </w:p>
        </w:tc>
        <w:tc>
          <w:tcPr>
            <w:tcW w:w="6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jc w:val="both"/>
              <w:rPr>
                <w:i/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Паспорт транспортного средства</w:t>
            </w:r>
          </w:p>
        </w:tc>
      </w:tr>
      <w:tr>
        <w:trPr>
          <w:trHeight w:val="240" w:hRule="atLeast"/>
          <w:cantSplit w:val="true"/>
        </w:trPr>
        <w:tc>
          <w:tcPr>
            <w:tcW w:w="3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keepLines/>
              <w:jc w:val="both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ЭПТС</w:t>
            </w:r>
          </w:p>
        </w:tc>
        <w:tc>
          <w:tcPr>
            <w:tcW w:w="6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jc w:val="both"/>
              <w:rPr>
                <w:i/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Электронный паспорт транспортного средства</w:t>
            </w:r>
          </w:p>
        </w:tc>
      </w:tr>
      <w:tr>
        <w:trPr>
          <w:trHeight w:val="240" w:hRule="atLeast"/>
          <w:cantSplit w:val="true"/>
        </w:trPr>
        <w:tc>
          <w:tcPr>
            <w:tcW w:w="3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keepLines/>
              <w:jc w:val="both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ОТТС</w:t>
            </w:r>
          </w:p>
        </w:tc>
        <w:tc>
          <w:tcPr>
            <w:tcW w:w="6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jc w:val="both"/>
              <w:rPr>
                <w:i/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Одобрение типа транспортного средства</w:t>
            </w:r>
          </w:p>
        </w:tc>
      </w:tr>
    </w:tbl>
    <w:p>
      <w:pPr>
        <w:pStyle w:val="Normal"/>
        <w:rPr/>
      </w:pPr>
      <w:r>
        <w:rPr/>
      </w:r>
    </w:p>
    <w:p>
      <w:pPr>
        <w:pStyle w:val="Heading4"/>
        <w:numPr>
          <w:ilvl w:val="1"/>
          <w:numId w:val="5"/>
        </w:numPr>
        <w:ind w:hanging="432" w:left="432" w:right="0"/>
        <w:rPr>
          <w:sz w:val="24"/>
          <w:szCs w:val="24"/>
        </w:rPr>
      </w:pPr>
      <w:bookmarkStart w:id="2" w:name="__RefHeading___Toc174063176"/>
      <w:bookmarkEnd w:id="2"/>
      <w:r>
        <w:rPr/>
        <w:t>Наименование закупаемой продукции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>«ОКПД 2: 29.10.59.270 Поставка автогидроподъемника для нужд АО «ТК РусГидро»</w:t>
      </w:r>
    </w:p>
    <w:p>
      <w:pPr>
        <w:pStyle w:val="Heading4"/>
        <w:numPr>
          <w:ilvl w:val="1"/>
          <w:numId w:val="5"/>
        </w:numPr>
        <w:ind w:hanging="432" w:left="432" w:right="0"/>
        <w:rPr/>
      </w:pPr>
      <w:bookmarkStart w:id="3" w:name="__RefHeading___Toc174063177"/>
      <w:bookmarkEnd w:id="3"/>
      <w:r>
        <w:rPr/>
        <w:t xml:space="preserve">Цель использования закупаемой продукции </w:t>
      </w:r>
    </w:p>
    <w:p>
      <w:pPr>
        <w:pStyle w:val="Style34"/>
        <w:ind w:hanging="0" w:left="0" w:right="0"/>
        <w:jc w:val="both"/>
        <w:rPr/>
      </w:pPr>
      <w:r>
        <w:rPr/>
        <w:t>Автогидроподъемник закупается с целью обеспечения Саратовского транспортного участка Приволжского филиала АО «ТК РусГидро» подъемным сооружением для подъема людей при проведении монтажных и строительных работ на высоте.</w:t>
      </w:r>
    </w:p>
    <w:p>
      <w:pPr>
        <w:pStyle w:val="Style34"/>
        <w:ind w:hanging="0" w:left="0" w:right="0"/>
        <w:jc w:val="both"/>
        <w:rPr/>
      </w:pPr>
      <w:r>
        <w:rPr/>
      </w:r>
    </w:p>
    <w:p>
      <w:pPr>
        <w:pStyle w:val="Heading1"/>
        <w:numPr>
          <w:ilvl w:val="0"/>
          <w:numId w:val="5"/>
        </w:numPr>
        <w:tabs>
          <w:tab w:val="clear" w:pos="720"/>
          <w:tab w:val="left" w:pos="0" w:leader="none"/>
        </w:tabs>
        <w:ind w:hanging="0" w:left="0" w:right="0"/>
        <w:jc w:val="left"/>
        <w:rPr>
          <w:lang w:val="ru-RU"/>
        </w:rPr>
      </w:pPr>
      <w:bookmarkStart w:id="4" w:name="__RefHeading___Toc174063178"/>
      <w:bookmarkEnd w:id="4"/>
      <w:r>
        <w:rPr>
          <w:sz w:val="24"/>
          <w:szCs w:val="24"/>
          <w:lang w:val="ru-RU"/>
        </w:rPr>
        <w:t>Требования к продукции</w:t>
      </w:r>
    </w:p>
    <w:p>
      <w:pPr>
        <w:pStyle w:val="Heading4"/>
        <w:widowControl w:val="false"/>
        <w:numPr>
          <w:ilvl w:val="1"/>
          <w:numId w:val="5"/>
        </w:numPr>
        <w:shd w:val="clear" w:fill="FFFFFF"/>
        <w:suppressAutoHyphens w:val="false"/>
        <w:bidi w:val="0"/>
        <w:ind w:hanging="0" w:left="0" w:right="0"/>
        <w:jc w:val="both"/>
        <w:rPr/>
      </w:pPr>
      <w:bookmarkStart w:id="5" w:name="__RefHeading___Toc174063179"/>
      <w:bookmarkEnd w:id="5"/>
      <w:r>
        <w:rPr>
          <w:lang w:val="ru-RU"/>
        </w:rPr>
        <w:t>Требования к объемам и срокам поставки</w:t>
      </w:r>
    </w:p>
    <w:p>
      <w:pPr>
        <w:pStyle w:val="Heading2"/>
        <w:widowControl w:val="false"/>
        <w:numPr>
          <w:ilvl w:val="2"/>
          <w:numId w:val="5"/>
        </w:numPr>
        <w:shd w:val="clear" w:fill="FFFFFF"/>
        <w:suppressAutoHyphens w:val="false"/>
        <w:bidi w:val="0"/>
        <w:ind w:firstLine="57" w:left="0" w:right="0"/>
        <w:jc w:val="both"/>
        <w:rPr/>
      </w:pPr>
      <w:bookmarkStart w:id="6" w:name="__RefHeading___Toc174063180"/>
      <w:bookmarkEnd w:id="6"/>
      <w:r>
        <w:rPr/>
        <w:t>Перечень и объем закупаемой продукции</w:t>
      </w:r>
    </w:p>
    <w:p>
      <w:pPr>
        <w:pStyle w:val="Heading3"/>
        <w:numPr>
          <w:ilvl w:val="0"/>
          <w:numId w:val="0"/>
        </w:numPr>
        <w:ind w:hanging="0" w:left="0" w:right="0"/>
        <w:rPr>
          <w:b/>
          <w:sz w:val="24"/>
          <w:szCs w:val="24"/>
        </w:rPr>
      </w:pPr>
      <w:bookmarkStart w:id="7" w:name="__RefHeading___Toc174063181"/>
      <w:bookmarkEnd w:id="7"/>
      <w:r>
        <w:rPr/>
        <w:t>Таблица 1. Перечень и объем закупаемой продукции</w:t>
      </w:r>
    </w:p>
    <w:tbl>
      <w:tblPr>
        <w:tblW w:w="10035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9"/>
        <w:gridCol w:w="5641"/>
        <w:gridCol w:w="1701"/>
        <w:gridCol w:w="1983"/>
      </w:tblGrid>
      <w:tr>
        <w:trPr>
          <w:trHeight w:val="518" w:hRule="atLeast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suppressAutoHyphens w:val="tru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</w:t>
            </w:r>
          </w:p>
          <w:p>
            <w:pPr>
              <w:pStyle w:val="Normal"/>
              <w:keepNext w:val="true"/>
              <w:suppressAutoHyphens w:val="tru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5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suppressAutoHyphens w:val="tru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Наименование продукции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suppressAutoHyphens w:val="tru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Единица измерения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suppressAutoHyphens w:val="tru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Количество</w:t>
            </w:r>
          </w:p>
        </w:tc>
      </w:tr>
      <w:tr>
        <w:trPr>
          <w:trHeight w:val="136" w:hRule="atLeast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true"/>
              <w:jc w:val="center"/>
              <w:rPr>
                <w:i/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1</w:t>
            </w:r>
          </w:p>
        </w:tc>
        <w:tc>
          <w:tcPr>
            <w:tcW w:w="5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true"/>
              <w:jc w:val="center"/>
              <w:rPr>
                <w:i/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true"/>
              <w:jc w:val="center"/>
              <w:rPr>
                <w:i/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4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true"/>
              <w:jc w:val="center"/>
              <w:rPr>
                <w:i/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5</w:t>
            </w:r>
          </w:p>
        </w:tc>
      </w:tr>
      <w:tr>
        <w:trPr>
          <w:trHeight w:val="136" w:hRule="atLeast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true"/>
              <w:jc w:val="center"/>
              <w:rPr>
                <w:i/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1.</w:t>
            </w:r>
          </w:p>
        </w:tc>
        <w:tc>
          <w:tcPr>
            <w:tcW w:w="5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true"/>
              <w:rPr>
                <w:i/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Автогидроподъемник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true"/>
              <w:jc w:val="center"/>
              <w:rPr>
                <w:i/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шт.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true"/>
              <w:jc w:val="center"/>
              <w:rPr>
                <w:i/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1</w:t>
            </w:r>
          </w:p>
        </w:tc>
      </w:tr>
    </w:tbl>
    <w:p>
      <w:pPr>
        <w:pStyle w:val="Normal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Heading2"/>
        <w:widowControl w:val="false"/>
        <w:numPr>
          <w:ilvl w:val="2"/>
          <w:numId w:val="5"/>
        </w:numPr>
        <w:shd w:val="clear" w:fill="FFFFFF"/>
        <w:suppressAutoHyphens w:val="false"/>
        <w:bidi w:val="0"/>
        <w:ind w:hanging="57" w:left="0" w:right="0"/>
        <w:jc w:val="both"/>
        <w:rPr/>
      </w:pPr>
      <w:bookmarkStart w:id="8" w:name="__RefHeading___Toc174063182"/>
      <w:bookmarkEnd w:id="8"/>
      <w:r>
        <w:rPr/>
        <w:t xml:space="preserve">Требования к срокам поставки </w:t>
      </w:r>
      <w:r>
        <w:rPr>
          <w:lang w:val="ru-RU"/>
        </w:rPr>
        <w:t>п</w:t>
      </w:r>
      <w:r>
        <w:rPr/>
        <w:t xml:space="preserve">родукции </w:t>
      </w:r>
    </w:p>
    <w:p>
      <w:pPr>
        <w:pStyle w:val="Style24"/>
        <w:numPr>
          <w:ilvl w:val="0"/>
          <w:numId w:val="0"/>
        </w:numPr>
        <w:ind w:hanging="0" w:left="0" w:right="0"/>
        <w:outlineLvl w:val="2"/>
        <w:rPr>
          <w:b/>
          <w:sz w:val="24"/>
          <w:szCs w:val="24"/>
        </w:rPr>
      </w:pPr>
      <w:bookmarkStart w:id="9" w:name="__RefHeading___Toc174063183"/>
      <w:bookmarkEnd w:id="9"/>
      <w:r>
        <w:rPr/>
        <w:t>Таблица 2. Требования по срокам поставки продукции</w:t>
      </w:r>
    </w:p>
    <w:tbl>
      <w:tblPr>
        <w:tblW w:w="9970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8"/>
        <w:gridCol w:w="3510"/>
        <w:gridCol w:w="2204"/>
        <w:gridCol w:w="3547"/>
      </w:tblGrid>
      <w:tr>
        <w:trPr>
          <w:trHeight w:val="341" w:hRule="atLeast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suppressAutoHyphens w:val="tru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</w:t>
            </w:r>
          </w:p>
          <w:p>
            <w:pPr>
              <w:pStyle w:val="Normal"/>
              <w:keepNext w:val="true"/>
              <w:suppressAutoHyphens w:val="tru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suppressAutoHyphens w:val="tru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Наименование продукции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suppressAutoHyphens w:val="tru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началу срока поставки продукции</w:t>
            </w: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suppressAutoHyphens w:val="tru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окончанию срока поставки продукции</w:t>
            </w:r>
          </w:p>
        </w:tc>
      </w:tr>
      <w:tr>
        <w:trPr>
          <w:trHeight w:val="88" w:hRule="atLeast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>
        <w:trPr>
          <w:trHeight w:val="274" w:hRule="atLeast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true"/>
              <w:jc w:val="center"/>
              <w:rPr>
                <w:i/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1.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both"/>
              <w:rPr>
                <w:rFonts w:eastAsia="Times New Roman"/>
                <w:i/>
                <w:i/>
                <w:iCs/>
              </w:rPr>
            </w:pPr>
            <w:r>
              <w:rPr>
                <w:rFonts w:eastAsia="Times New Roman"/>
                <w:i/>
                <w:iCs/>
              </w:rPr>
              <w:t>Автогидроподъемник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true"/>
              <w:jc w:val="center"/>
              <w:rPr>
                <w:i/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С даты подписания договора</w:t>
            </w: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true"/>
              <w:jc w:val="center"/>
              <w:rPr>
                <w:i/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Не позднее 18.12.2026г.</w:t>
            </w:r>
          </w:p>
        </w:tc>
      </w:tr>
    </w:tbl>
    <w:p>
      <w:pPr>
        <w:sectPr>
          <w:headerReference w:type="default" r:id="rId2"/>
          <w:headerReference w:type="first" r:id="rId3"/>
          <w:type w:val="nextPage"/>
          <w:pgSz w:w="11906" w:h="16838"/>
          <w:pgMar w:left="1134" w:right="851" w:gutter="0" w:header="680" w:top="737" w:footer="0" w:bottom="851"/>
          <w:pgNumType w:fmt="decimal"/>
          <w:formProt w:val="false"/>
          <w:titlePg/>
          <w:textDirection w:val="lrTb"/>
          <w:docGrid w:type="default" w:linePitch="381" w:charSpace="0"/>
        </w:sectPr>
      </w:pPr>
    </w:p>
    <w:p>
      <w:pPr>
        <w:pStyle w:val="Heading2"/>
        <w:widowControl w:val="false"/>
        <w:numPr>
          <w:ilvl w:val="0"/>
          <w:numId w:val="0"/>
        </w:numPr>
        <w:shd w:val="clear" w:fill="FFFFFF"/>
        <w:suppressAutoHyphens w:val="false"/>
        <w:bidi w:val="0"/>
        <w:ind w:hanging="0" w:left="0" w:right="0"/>
        <w:jc w:val="both"/>
        <w:rPr>
          <w:b/>
        </w:rPr>
      </w:pPr>
      <w:bookmarkStart w:id="10" w:name="__RefHeading___Toc174063184"/>
      <w:bookmarkEnd w:id="10"/>
      <w:r>
        <w:rPr/>
        <w:t>2.2. Требования к качеству продукции</w:t>
      </w:r>
    </w:p>
    <w:p>
      <w:pPr>
        <w:pStyle w:val="Style34"/>
        <w:numPr>
          <w:ilvl w:val="0"/>
          <w:numId w:val="0"/>
        </w:numPr>
        <w:ind w:hanging="0" w:left="0" w:right="0"/>
        <w:outlineLvl w:val="2"/>
        <w:rPr>
          <w:b/>
        </w:rPr>
      </w:pPr>
      <w:bookmarkStart w:id="11" w:name="__RefHeading___Toc174063185"/>
      <w:bookmarkEnd w:id="11"/>
      <w:r>
        <w:rPr>
          <w:b/>
        </w:rPr>
        <w:t xml:space="preserve">Таблица 3. Требования к качеству продукции </w:t>
      </w:r>
    </w:p>
    <w:p>
      <w:pPr>
        <w:pStyle w:val="Style34"/>
        <w:ind w:hanging="0" w:left="0" w:right="0"/>
        <w:rPr>
          <w:b/>
          <w:sz w:val="24"/>
          <w:szCs w:val="24"/>
        </w:rPr>
      </w:pPr>
      <w:r>
        <w:rPr>
          <w:b/>
        </w:rPr>
        <w:t>Наименование продукции (позиция № 1 Таблицы 1): «</w:t>
      </w:r>
      <w:r>
        <w:rPr>
          <w:b/>
          <w:iCs/>
        </w:rPr>
        <w:t>ОКПД 2: 29.10.59.270 Поставка автогидроподъемника для нужд АО "ТК РусГидро"</w:t>
      </w:r>
    </w:p>
    <w:tbl>
      <w:tblPr>
        <w:tblW w:w="14775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8"/>
        <w:gridCol w:w="3258"/>
        <w:gridCol w:w="3054"/>
        <w:gridCol w:w="2400"/>
        <w:gridCol w:w="3055"/>
        <w:gridCol w:w="1969"/>
      </w:tblGrid>
      <w:tr>
        <w:trPr>
          <w:trHeight w:val="647" w:hRule="atLeast"/>
        </w:trPr>
        <w:tc>
          <w:tcPr>
            <w:tcW w:w="10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b/>
                <w:sz w:val="24"/>
                <w:szCs w:val="24"/>
              </w:rPr>
              <w:t xml:space="preserve"> № </w:t>
            </w:r>
            <w:r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32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Наименование</w:t>
            </w:r>
          </w:p>
          <w:p>
            <w:pPr>
              <w:pStyle w:val="Normal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параметра</w:t>
            </w:r>
          </w:p>
        </w:tc>
        <w:tc>
          <w:tcPr>
            <w:tcW w:w="30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</w:t>
            </w:r>
          </w:p>
          <w:p>
            <w:pPr>
              <w:pStyle w:val="Normal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заказчика</w:t>
            </w:r>
          </w:p>
        </w:tc>
        <w:tc>
          <w:tcPr>
            <w:tcW w:w="54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подтверждения</w:t>
            </w:r>
          </w:p>
          <w:p>
            <w:pPr>
              <w:pStyle w:val="Normal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участником соответствия</w:t>
            </w:r>
          </w:p>
          <w:p>
            <w:pPr>
              <w:pStyle w:val="Normal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требованиям</w:t>
            </w:r>
          </w:p>
        </w:tc>
        <w:tc>
          <w:tcPr>
            <w:tcW w:w="19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Предложение участника по характеристикам и параметрам</w:t>
            </w:r>
          </w:p>
        </w:tc>
      </w:tr>
      <w:tr>
        <w:trPr>
          <w:trHeight w:val="1650" w:hRule="atLeast"/>
        </w:trPr>
        <w:tc>
          <w:tcPr>
            <w:tcW w:w="103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325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305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Согласие с</w:t>
            </w:r>
          </w:p>
          <w:p>
            <w:pPr>
              <w:pStyle w:val="Normal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требованием/</w:t>
            </w:r>
          </w:p>
          <w:p>
            <w:pPr>
              <w:pStyle w:val="Normal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указание</w:t>
            </w:r>
          </w:p>
          <w:p>
            <w:pPr>
              <w:pStyle w:val="Normal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характеристик</w:t>
            </w:r>
          </w:p>
        </w:tc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Предоставление подтверждающего документа или иной способ подтверждения</w:t>
            </w:r>
          </w:p>
        </w:tc>
        <w:tc>
          <w:tcPr>
            <w:tcW w:w="19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>
          <w:trHeight w:val="717" w:hRule="atLeast"/>
        </w:trPr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b/>
                <w:color w:val="000000"/>
                <w:sz w:val="24"/>
                <w:szCs w:val="24"/>
              </w:rPr>
              <w:t>1</w:t>
            </w:r>
            <w:r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63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1399" w:leader="none"/>
              </w:tabs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i/>
                <w:i/>
                <w:iCs/>
                <w:color w:val="000000"/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  <w:t>-//-</w:t>
            </w:r>
          </w:p>
        </w:tc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i/>
                <w:i/>
                <w:iCs/>
                <w:color w:val="000000"/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</w:r>
          </w:p>
          <w:p>
            <w:pPr>
              <w:pStyle w:val="Normal"/>
              <w:jc w:val="center"/>
              <w:rPr>
                <w:i/>
                <w:i/>
                <w:iCs/>
                <w:color w:val="000000"/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  <w:t>-//-</w:t>
            </w:r>
          </w:p>
          <w:p>
            <w:pPr>
              <w:pStyle w:val="Normal"/>
              <w:jc w:val="center"/>
              <w:rPr>
                <w:i/>
                <w:i/>
                <w:iCs/>
                <w:color w:val="000000"/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i/>
                <w:i/>
                <w:iCs/>
                <w:color w:val="000000"/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  <w:t>-//-</w:t>
            </w:r>
          </w:p>
        </w:tc>
      </w:tr>
      <w:tr>
        <w:trPr>
          <w:trHeight w:val="51" w:hRule="atLeast"/>
        </w:trPr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1"/>
                <w:numId w:val="2"/>
              </w:numPr>
              <w:snapToGrid w:val="false"/>
              <w:ind w:hanging="19" w:left="19" w:right="0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</w:r>
          </w:p>
        </w:tc>
        <w:tc>
          <w:tcPr>
            <w:tcW w:w="87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b/>
                <w:iCs/>
                <w:color w:val="000000"/>
                <w:sz w:val="24"/>
                <w:szCs w:val="24"/>
              </w:rPr>
            </w:pPr>
            <w:r>
              <w:rPr>
                <w:b/>
                <w:iCs/>
                <w:color w:val="000000"/>
                <w:sz w:val="24"/>
                <w:szCs w:val="24"/>
              </w:rPr>
              <w:t>Размеры и вес</w:t>
            </w:r>
          </w:p>
        </w:tc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i/>
                <w:i/>
                <w:iCs/>
                <w:color w:val="000000"/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i/>
                <w:i/>
                <w:iCs/>
                <w:color w:val="000000"/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</w:r>
          </w:p>
        </w:tc>
      </w:tr>
      <w:tr>
        <w:trPr>
          <w:trHeight w:val="23" w:hRule="atLeast"/>
        </w:trPr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4"/>
              <w:snapToGrid w:val="false"/>
              <w:ind w:hanging="19" w:left="19" w:right="0"/>
              <w:jc w:val="center"/>
              <w:rPr>
                <w:i/>
                <w:i/>
                <w:iCs/>
                <w:color w:val="000000"/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Тип</w:t>
            </w:r>
          </w:p>
        </w:tc>
        <w:tc>
          <w:tcPr>
            <w:tcW w:w="3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Автогидроподъёмник с рабочей высотой подъёма не менее 30 метров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iCs/>
                <w:color w:val="000000"/>
                <w:sz w:val="24"/>
                <w:szCs w:val="24"/>
              </w:rPr>
            </w:pPr>
            <w:r>
              <w:rPr>
                <w:iCs/>
                <w:color w:val="000000"/>
                <w:sz w:val="24"/>
                <w:szCs w:val="24"/>
              </w:rPr>
              <w:t>Указание характеристик</w:t>
            </w:r>
          </w:p>
          <w:p>
            <w:pPr>
              <w:pStyle w:val="Normal"/>
              <w:rPr>
                <w:iCs/>
                <w:color w:val="000000"/>
                <w:sz w:val="24"/>
                <w:szCs w:val="24"/>
              </w:rPr>
            </w:pPr>
            <w:r>
              <w:rPr>
                <w:iCs/>
                <w:color w:val="000000"/>
                <w:sz w:val="24"/>
                <w:szCs w:val="24"/>
              </w:rPr>
              <w:t>(марка, модель и модификация предлагаемого ТС)</w:t>
            </w:r>
          </w:p>
        </w:tc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23" w:hRule="atLeast"/>
        </w:trPr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4"/>
              <w:snapToGrid w:val="false"/>
              <w:ind w:hanging="19" w:left="19" w:right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Габариты в транспортном положении, мм:</w:t>
            </w:r>
          </w:p>
        </w:tc>
        <w:tc>
          <w:tcPr>
            <w:tcW w:w="3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iCs/>
                <w:color w:val="000000"/>
                <w:sz w:val="24"/>
                <w:szCs w:val="24"/>
              </w:rPr>
            </w:pPr>
            <w:r>
              <w:rPr>
                <w:iCs/>
                <w:color w:val="000000"/>
                <w:sz w:val="24"/>
                <w:szCs w:val="24"/>
              </w:rPr>
            </w:r>
          </w:p>
        </w:tc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iCs/>
                <w:color w:val="000000"/>
                <w:sz w:val="24"/>
                <w:szCs w:val="24"/>
              </w:rPr>
            </w:pPr>
            <w:r>
              <w:rPr>
                <w:iCs/>
                <w:color w:val="000000"/>
                <w:sz w:val="24"/>
                <w:szCs w:val="24"/>
              </w:rPr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iCs/>
                <w:color w:val="000000"/>
                <w:sz w:val="24"/>
                <w:szCs w:val="24"/>
              </w:rPr>
            </w:pPr>
            <w:r>
              <w:rPr>
                <w:iCs/>
                <w:color w:val="000000"/>
                <w:sz w:val="24"/>
                <w:szCs w:val="24"/>
              </w:rPr>
            </w:r>
          </w:p>
        </w:tc>
      </w:tr>
      <w:tr>
        <w:trPr>
          <w:trHeight w:val="23" w:hRule="atLeast"/>
        </w:trPr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4"/>
              <w:snapToGrid w:val="false"/>
              <w:ind w:hanging="19" w:left="19" w:right="0"/>
              <w:jc w:val="center"/>
              <w:rPr>
                <w:iCs/>
                <w:color w:val="000000"/>
                <w:sz w:val="24"/>
                <w:szCs w:val="24"/>
              </w:rPr>
            </w:pPr>
            <w:r>
              <w:rPr>
                <w:iCs/>
                <w:color w:val="000000"/>
                <w:sz w:val="24"/>
                <w:szCs w:val="24"/>
              </w:rPr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color w:val="000000"/>
                <w:sz w:val="24"/>
                <w:szCs w:val="24"/>
                <w:shd w:fill="auto" w:val="clear"/>
                <w:lang w:eastAsia="ru-RU"/>
              </w:rPr>
            </w:pPr>
            <w:r>
              <w:rPr>
                <w:color w:val="000000"/>
                <w:sz w:val="24"/>
                <w:szCs w:val="24"/>
                <w:shd w:fill="auto" w:val="clear"/>
                <w:lang w:eastAsia="ru-RU"/>
              </w:rPr>
              <w:t>- длина</w:t>
            </w:r>
          </w:p>
        </w:tc>
        <w:tc>
          <w:tcPr>
            <w:tcW w:w="3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color w:val="000000"/>
                <w:sz w:val="24"/>
                <w:szCs w:val="24"/>
                <w:shd w:fill="auto" w:val="clear"/>
                <w:lang w:eastAsia="ru-RU"/>
              </w:rPr>
            </w:pPr>
            <w:r>
              <w:rPr>
                <w:color w:val="000000"/>
                <w:sz w:val="24"/>
                <w:szCs w:val="24"/>
                <w:shd w:fill="auto" w:val="clear"/>
                <w:lang w:eastAsia="ru-RU"/>
              </w:rPr>
              <w:t>Не более 8 350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iCs/>
                <w:color w:val="000000"/>
                <w:sz w:val="24"/>
                <w:szCs w:val="24"/>
                <w:shd w:fill="auto" w:val="clear"/>
              </w:rPr>
            </w:pPr>
            <w:r>
              <w:rPr>
                <w:iCs/>
                <w:color w:val="000000"/>
                <w:sz w:val="24"/>
                <w:szCs w:val="24"/>
                <w:shd w:fill="auto" w:val="clear"/>
              </w:rPr>
              <w:t>Указание характеристик</w:t>
            </w:r>
          </w:p>
        </w:tc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23" w:hRule="atLeast"/>
        </w:trPr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4"/>
              <w:snapToGrid w:val="false"/>
              <w:ind w:hanging="19" w:left="19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color w:val="000000"/>
                <w:sz w:val="24"/>
                <w:szCs w:val="24"/>
                <w:shd w:fill="auto" w:val="clear"/>
                <w:lang w:eastAsia="ru-RU"/>
              </w:rPr>
            </w:pPr>
            <w:r>
              <w:rPr>
                <w:color w:val="000000"/>
                <w:sz w:val="24"/>
                <w:szCs w:val="24"/>
                <w:shd w:fill="auto" w:val="clear"/>
                <w:lang w:eastAsia="ru-RU"/>
              </w:rPr>
              <w:t>- ширина</w:t>
            </w:r>
          </w:p>
        </w:tc>
        <w:tc>
          <w:tcPr>
            <w:tcW w:w="3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color w:val="000000"/>
                <w:sz w:val="24"/>
                <w:szCs w:val="24"/>
                <w:shd w:fill="auto" w:val="clear"/>
                <w:lang w:eastAsia="ru-RU"/>
              </w:rPr>
            </w:pPr>
            <w:r>
              <w:rPr>
                <w:color w:val="000000"/>
                <w:sz w:val="24"/>
                <w:szCs w:val="24"/>
                <w:shd w:fill="auto" w:val="clear"/>
                <w:lang w:eastAsia="ru-RU"/>
              </w:rPr>
              <w:t>Не более 2 550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iCs/>
                <w:color w:val="000000"/>
                <w:sz w:val="24"/>
                <w:szCs w:val="24"/>
                <w:shd w:fill="auto" w:val="clear"/>
              </w:rPr>
            </w:pPr>
            <w:r>
              <w:rPr>
                <w:iCs/>
                <w:color w:val="000000"/>
                <w:sz w:val="24"/>
                <w:szCs w:val="24"/>
                <w:shd w:fill="auto" w:val="clear"/>
              </w:rPr>
              <w:t>Указание характеристик</w:t>
            </w:r>
          </w:p>
        </w:tc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23" w:hRule="atLeast"/>
        </w:trPr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4"/>
              <w:snapToGrid w:val="false"/>
              <w:ind w:hanging="19" w:left="19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color w:val="000000"/>
                <w:sz w:val="24"/>
                <w:szCs w:val="24"/>
                <w:shd w:fill="auto" w:val="clear"/>
                <w:lang w:eastAsia="ru-RU"/>
              </w:rPr>
            </w:pPr>
            <w:r>
              <w:rPr>
                <w:color w:val="000000"/>
                <w:sz w:val="24"/>
                <w:szCs w:val="24"/>
                <w:shd w:fill="auto" w:val="clear"/>
                <w:lang w:eastAsia="ru-RU"/>
              </w:rPr>
              <w:t>- высота</w:t>
            </w:r>
          </w:p>
        </w:tc>
        <w:tc>
          <w:tcPr>
            <w:tcW w:w="3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color w:val="000000"/>
                <w:sz w:val="24"/>
                <w:szCs w:val="24"/>
                <w:shd w:fill="auto" w:val="clear"/>
                <w:lang w:eastAsia="ru-RU"/>
              </w:rPr>
            </w:pPr>
            <w:r>
              <w:rPr>
                <w:color w:val="000000"/>
                <w:sz w:val="24"/>
                <w:szCs w:val="24"/>
                <w:shd w:fill="auto" w:val="clear"/>
                <w:lang w:eastAsia="ru-RU"/>
              </w:rPr>
              <w:t>Не более 3 550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iCs/>
                <w:color w:val="000000"/>
                <w:sz w:val="24"/>
                <w:szCs w:val="24"/>
                <w:shd w:fill="auto" w:val="clear"/>
              </w:rPr>
            </w:pPr>
            <w:r>
              <w:rPr>
                <w:iCs/>
                <w:color w:val="000000"/>
                <w:sz w:val="24"/>
                <w:szCs w:val="24"/>
                <w:shd w:fill="auto" w:val="clear"/>
              </w:rPr>
              <w:t>Указание характеристик</w:t>
            </w:r>
          </w:p>
        </w:tc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23" w:hRule="atLeast"/>
        </w:trPr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4"/>
              <w:snapToGrid w:val="false"/>
              <w:ind w:hanging="19" w:left="19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color w:val="000000"/>
                <w:sz w:val="24"/>
                <w:szCs w:val="24"/>
                <w:shd w:fill="auto" w:val="clear"/>
                <w:lang w:eastAsia="ru-RU"/>
              </w:rPr>
            </w:pPr>
            <w:r>
              <w:rPr>
                <w:color w:val="000000"/>
                <w:sz w:val="24"/>
                <w:szCs w:val="24"/>
                <w:shd w:fill="auto" w:val="clear"/>
                <w:lang w:eastAsia="ru-RU"/>
              </w:rPr>
              <w:t>Полная масса подъемника, кг</w:t>
            </w:r>
          </w:p>
        </w:tc>
        <w:tc>
          <w:tcPr>
            <w:tcW w:w="3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color w:val="000000"/>
                <w:sz w:val="24"/>
                <w:szCs w:val="24"/>
                <w:shd w:fill="auto" w:val="clear"/>
                <w:lang w:eastAsia="ru-RU"/>
              </w:rPr>
            </w:pPr>
            <w:r>
              <w:rPr>
                <w:color w:val="000000"/>
                <w:sz w:val="24"/>
                <w:szCs w:val="24"/>
                <w:shd w:fill="auto" w:val="clear"/>
                <w:lang w:eastAsia="ru-RU"/>
              </w:rPr>
              <w:t>Не более 14 590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iCs/>
                <w:color w:val="000000"/>
                <w:sz w:val="24"/>
                <w:szCs w:val="24"/>
                <w:shd w:fill="auto" w:val="clear"/>
              </w:rPr>
            </w:pPr>
            <w:r>
              <w:rPr>
                <w:iCs/>
                <w:color w:val="000000"/>
                <w:sz w:val="24"/>
                <w:szCs w:val="24"/>
                <w:shd w:fill="auto" w:val="clear"/>
              </w:rPr>
              <w:t>Указание характеристик</w:t>
            </w:r>
          </w:p>
        </w:tc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iCs/>
                <w:color w:val="000000"/>
                <w:sz w:val="24"/>
                <w:szCs w:val="24"/>
              </w:rPr>
            </w:pPr>
            <w:r>
              <w:rPr>
                <w:iCs/>
                <w:color w:val="000000"/>
                <w:sz w:val="24"/>
                <w:szCs w:val="24"/>
              </w:rPr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iCs/>
                <w:color w:val="000000"/>
                <w:sz w:val="24"/>
                <w:szCs w:val="24"/>
              </w:rPr>
            </w:pPr>
            <w:r>
              <w:rPr>
                <w:iCs/>
                <w:color w:val="000000"/>
                <w:sz w:val="24"/>
                <w:szCs w:val="24"/>
              </w:rPr>
            </w:r>
          </w:p>
        </w:tc>
      </w:tr>
      <w:tr>
        <w:trPr>
          <w:trHeight w:val="23" w:hRule="atLeast"/>
        </w:trPr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4"/>
              <w:numPr>
                <w:ilvl w:val="1"/>
                <w:numId w:val="2"/>
              </w:numPr>
              <w:snapToGrid w:val="false"/>
              <w:ind w:hanging="19" w:left="19" w:right="0"/>
              <w:rPr>
                <w:iCs/>
                <w:color w:val="000000"/>
                <w:sz w:val="24"/>
                <w:szCs w:val="24"/>
              </w:rPr>
            </w:pPr>
            <w:r>
              <w:rPr>
                <w:iCs/>
                <w:color w:val="000000"/>
                <w:sz w:val="24"/>
                <w:szCs w:val="24"/>
              </w:rPr>
            </w:r>
          </w:p>
        </w:tc>
        <w:tc>
          <w:tcPr>
            <w:tcW w:w="63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b/>
                <w:sz w:val="24"/>
                <w:szCs w:val="24"/>
                <w:shd w:fill="auto" w:val="clear"/>
              </w:rPr>
            </w:pPr>
            <w:r>
              <w:rPr>
                <w:b/>
                <w:sz w:val="24"/>
                <w:szCs w:val="24"/>
                <w:shd w:fill="auto" w:val="clear"/>
              </w:rPr>
              <w:t>Двигатель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sz w:val="24"/>
                <w:szCs w:val="24"/>
                <w:shd w:fill="auto" w:val="clear"/>
              </w:rPr>
            </w:pPr>
            <w:r>
              <w:rPr>
                <w:b/>
                <w:sz w:val="24"/>
                <w:szCs w:val="24"/>
                <w:shd w:fill="auto" w:val="clear"/>
              </w:rPr>
            </w:r>
          </w:p>
        </w:tc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i/>
                <w:i/>
                <w:iCs/>
                <w:color w:val="000000"/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  <w:t>-//-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i/>
                <w:i/>
                <w:iCs/>
                <w:color w:val="000000"/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  <w:t>-//-</w:t>
            </w:r>
          </w:p>
        </w:tc>
      </w:tr>
      <w:tr>
        <w:trPr>
          <w:trHeight w:val="23" w:hRule="atLeast"/>
        </w:trPr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4"/>
              <w:snapToGrid w:val="false"/>
              <w:ind w:hanging="19" w:left="19" w:right="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color w:val="000000"/>
                <w:sz w:val="24"/>
                <w:szCs w:val="24"/>
                <w:shd w:fill="auto" w:val="clear"/>
                <w:lang w:eastAsia="ru-RU"/>
              </w:rPr>
            </w:pPr>
            <w:r>
              <w:rPr>
                <w:color w:val="000000"/>
                <w:sz w:val="24"/>
                <w:szCs w:val="24"/>
                <w:shd w:fill="auto" w:val="clear"/>
                <w:lang w:eastAsia="ru-RU"/>
              </w:rPr>
              <w:t>Рабочий объём двигателя, см3</w:t>
            </w:r>
          </w:p>
        </w:tc>
        <w:tc>
          <w:tcPr>
            <w:tcW w:w="3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4"/>
                <w:szCs w:val="24"/>
                <w:shd w:fill="auto" w:val="clear"/>
                <w:lang w:eastAsia="ru-RU"/>
              </w:rPr>
            </w:pPr>
            <w:r>
              <w:rPr>
                <w:color w:val="000000"/>
                <w:sz w:val="24"/>
                <w:szCs w:val="24"/>
                <w:shd w:fill="auto" w:val="clear"/>
                <w:lang w:eastAsia="ru-RU"/>
              </w:rPr>
              <w:t>не менее 6 700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iCs/>
                <w:color w:val="000000"/>
                <w:sz w:val="24"/>
                <w:szCs w:val="24"/>
                <w:shd w:fill="auto" w:val="clear"/>
              </w:rPr>
            </w:pPr>
            <w:r>
              <w:rPr>
                <w:iCs/>
                <w:color w:val="000000"/>
                <w:sz w:val="24"/>
                <w:szCs w:val="24"/>
                <w:shd w:fill="auto" w:val="clear"/>
              </w:rPr>
              <w:t>Указание характеристик</w:t>
            </w:r>
          </w:p>
        </w:tc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23" w:hRule="atLeast"/>
        </w:trPr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4"/>
              <w:snapToGrid w:val="false"/>
              <w:ind w:hanging="19" w:left="19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color w:val="000000"/>
                <w:sz w:val="24"/>
                <w:szCs w:val="24"/>
                <w:shd w:fill="auto" w:val="clear"/>
                <w:lang w:eastAsia="ru-RU"/>
              </w:rPr>
            </w:pPr>
            <w:r>
              <w:rPr>
                <w:color w:val="000000"/>
                <w:sz w:val="24"/>
                <w:szCs w:val="24"/>
                <w:shd w:fill="auto" w:val="clear"/>
                <w:lang w:eastAsia="ru-RU"/>
              </w:rPr>
              <w:t>Мощность двигателя, л.с.</w:t>
            </w:r>
          </w:p>
        </w:tc>
        <w:tc>
          <w:tcPr>
            <w:tcW w:w="3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color w:val="000000"/>
                <w:sz w:val="24"/>
                <w:szCs w:val="24"/>
                <w:shd w:fill="auto" w:val="clear"/>
                <w:lang w:eastAsia="ru-RU"/>
              </w:rPr>
            </w:pPr>
            <w:r>
              <w:rPr>
                <w:color w:val="000000"/>
                <w:sz w:val="24"/>
                <w:szCs w:val="24"/>
                <w:shd w:fill="auto" w:val="clear"/>
                <w:lang w:eastAsia="ru-RU"/>
              </w:rPr>
              <w:t>не менее 242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iCs/>
                <w:color w:val="000000"/>
                <w:sz w:val="24"/>
                <w:szCs w:val="24"/>
                <w:shd w:fill="auto" w:val="clear"/>
              </w:rPr>
            </w:pPr>
            <w:r>
              <w:rPr>
                <w:iCs/>
                <w:color w:val="000000"/>
                <w:sz w:val="24"/>
                <w:szCs w:val="24"/>
                <w:shd w:fill="auto" w:val="clear"/>
              </w:rPr>
              <w:t>Указание характеристик</w:t>
            </w:r>
          </w:p>
        </w:tc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23" w:hRule="atLeast"/>
        </w:trPr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4"/>
              <w:snapToGrid w:val="false"/>
              <w:ind w:hanging="19" w:left="19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Тип двигателя</w:t>
            </w:r>
          </w:p>
        </w:tc>
        <w:tc>
          <w:tcPr>
            <w:tcW w:w="3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4"/>
                <w:szCs w:val="24"/>
                <w:shd w:fill="auto" w:val="clear"/>
                <w:lang w:eastAsia="ru-RU"/>
              </w:rPr>
            </w:pPr>
            <w:r>
              <w:rPr>
                <w:color w:val="000000"/>
                <w:sz w:val="24"/>
                <w:szCs w:val="24"/>
                <w:shd w:fill="auto" w:val="clear"/>
                <w:lang w:eastAsia="ru-RU"/>
              </w:rPr>
              <w:t>дизельный с турбонаддувом, с промежуточным охлаждением наддувочного воздуха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Согласие с требованием</w:t>
            </w:r>
          </w:p>
        </w:tc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i/>
                <w:i/>
                <w:iCs/>
                <w:color w:val="000000"/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  <w:t>-//-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i/>
                <w:i/>
                <w:iCs/>
                <w:color w:val="000000"/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  <w:t>-//-</w:t>
            </w:r>
          </w:p>
        </w:tc>
      </w:tr>
      <w:tr>
        <w:trPr>
          <w:trHeight w:val="23" w:hRule="atLeast"/>
        </w:trPr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4"/>
              <w:snapToGrid w:val="false"/>
              <w:ind w:hanging="19" w:left="19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Экологический класс</w:t>
            </w:r>
          </w:p>
        </w:tc>
        <w:tc>
          <w:tcPr>
            <w:tcW w:w="3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Не ниже Евро 5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iCs/>
                <w:color w:val="000000"/>
                <w:sz w:val="24"/>
                <w:szCs w:val="24"/>
                <w:shd w:fill="auto" w:val="clear"/>
              </w:rPr>
            </w:pPr>
            <w:r>
              <w:rPr>
                <w:iCs/>
                <w:color w:val="000000"/>
                <w:sz w:val="24"/>
                <w:szCs w:val="24"/>
                <w:shd w:fill="auto" w:val="clear"/>
              </w:rPr>
              <w:t>Указание характеристик</w:t>
            </w:r>
          </w:p>
        </w:tc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i/>
                <w:i/>
                <w:iCs/>
                <w:color w:val="000000"/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i/>
                <w:i/>
                <w:iCs/>
                <w:color w:val="000000"/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</w:r>
          </w:p>
        </w:tc>
      </w:tr>
      <w:tr>
        <w:trPr>
          <w:trHeight w:val="23" w:hRule="atLeast"/>
        </w:trPr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ind w:hanging="19" w:left="19" w:righ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1.3.</w:t>
            </w:r>
          </w:p>
        </w:tc>
        <w:tc>
          <w:tcPr>
            <w:tcW w:w="87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b/>
                <w:sz w:val="24"/>
                <w:szCs w:val="24"/>
                <w:shd w:fill="auto" w:val="clear"/>
              </w:rPr>
            </w:pPr>
            <w:r>
              <w:rPr>
                <w:b/>
                <w:sz w:val="24"/>
                <w:szCs w:val="24"/>
                <w:shd w:fill="auto" w:val="clear"/>
              </w:rPr>
              <w:t>Потребление топлива</w:t>
            </w:r>
          </w:p>
        </w:tc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i/>
                <w:i/>
                <w:iCs/>
                <w:color w:val="000000"/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i/>
                <w:i/>
                <w:iCs/>
                <w:color w:val="000000"/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</w:r>
          </w:p>
        </w:tc>
      </w:tr>
      <w:tr>
        <w:trPr>
          <w:trHeight w:val="23" w:hRule="atLeast"/>
        </w:trPr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4"/>
              <w:snapToGrid w:val="false"/>
              <w:ind w:hanging="19" w:left="19" w:right="0"/>
              <w:jc w:val="center"/>
              <w:rPr>
                <w:i/>
                <w:i/>
                <w:iCs/>
                <w:color w:val="000000"/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Вид топлива</w:t>
            </w:r>
          </w:p>
        </w:tc>
        <w:tc>
          <w:tcPr>
            <w:tcW w:w="3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Дизельное топливо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Согласие с требованием</w:t>
            </w:r>
          </w:p>
        </w:tc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i/>
                <w:i/>
                <w:iCs/>
                <w:color w:val="000000"/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  <w:t>-//-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i/>
                <w:i/>
                <w:iCs/>
                <w:color w:val="000000"/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  <w:t>-//-</w:t>
            </w:r>
          </w:p>
        </w:tc>
      </w:tr>
      <w:tr>
        <w:trPr>
          <w:trHeight w:val="23" w:hRule="atLeast"/>
        </w:trPr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4"/>
              <w:snapToGrid w:val="false"/>
              <w:ind w:hanging="19" w:left="19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Вместимость топливного бака, л</w:t>
            </w:r>
          </w:p>
        </w:tc>
        <w:tc>
          <w:tcPr>
            <w:tcW w:w="3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Не менее 300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iCs/>
                <w:color w:val="000000"/>
                <w:sz w:val="24"/>
                <w:szCs w:val="24"/>
                <w:shd w:fill="auto" w:val="clear"/>
              </w:rPr>
            </w:pPr>
            <w:r>
              <w:rPr>
                <w:iCs/>
                <w:color w:val="000000"/>
                <w:sz w:val="24"/>
                <w:szCs w:val="24"/>
                <w:shd w:fill="auto" w:val="clear"/>
              </w:rPr>
              <w:t>Указание характеристик</w:t>
            </w:r>
          </w:p>
        </w:tc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23" w:hRule="atLeast"/>
        </w:trPr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4"/>
              <w:snapToGrid w:val="false"/>
              <w:ind w:hanging="19" w:left="19" w:right="0"/>
              <w:rPr/>
            </w:pPr>
            <w:r>
              <w:rPr/>
              <w:t>1.4.</w:t>
            </w:r>
          </w:p>
        </w:tc>
        <w:tc>
          <w:tcPr>
            <w:tcW w:w="87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b/>
                <w:sz w:val="24"/>
                <w:szCs w:val="24"/>
                <w:shd w:fill="auto" w:val="clear"/>
              </w:rPr>
            </w:pPr>
            <w:r>
              <w:rPr>
                <w:b/>
                <w:sz w:val="24"/>
                <w:szCs w:val="24"/>
                <w:shd w:fill="auto" w:val="clear"/>
              </w:rPr>
              <w:t>Трансмиссия</w:t>
            </w:r>
          </w:p>
        </w:tc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i/>
                <w:i/>
                <w:iCs/>
                <w:color w:val="000000"/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  <w:t>-//-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i/>
                <w:i/>
                <w:iCs/>
                <w:color w:val="000000"/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  <w:t>-//-</w:t>
            </w:r>
          </w:p>
        </w:tc>
      </w:tr>
      <w:tr>
        <w:trPr>
          <w:trHeight w:val="23" w:hRule="atLeast"/>
        </w:trPr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4"/>
              <w:snapToGrid w:val="false"/>
              <w:ind w:hanging="19" w:left="19" w:right="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Тип</w:t>
            </w:r>
          </w:p>
        </w:tc>
        <w:tc>
          <w:tcPr>
            <w:tcW w:w="3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Механическая, 6-ти ступенчатая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Согласие с требованием</w:t>
            </w:r>
          </w:p>
        </w:tc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i/>
                <w:i/>
                <w:iCs/>
                <w:color w:val="000000"/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  <w:t>-//-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i/>
                <w:i/>
                <w:iCs/>
                <w:color w:val="000000"/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  <w:t>-//-</w:t>
            </w:r>
          </w:p>
        </w:tc>
      </w:tr>
      <w:tr>
        <w:trPr>
          <w:trHeight w:val="23" w:hRule="atLeast"/>
        </w:trPr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4"/>
              <w:snapToGrid w:val="false"/>
              <w:ind w:hanging="19" w:left="19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Колесная формула</w:t>
            </w:r>
          </w:p>
        </w:tc>
        <w:tc>
          <w:tcPr>
            <w:tcW w:w="3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4"/>
                <w:szCs w:val="24"/>
                <w:shd w:fill="auto" w:val="clear"/>
              </w:rPr>
              <w:t>4×</w:t>
            </w:r>
            <w:r>
              <w:rPr>
                <w:sz w:val="24"/>
                <w:szCs w:val="24"/>
                <w:shd w:fill="auto" w:val="clear"/>
                <w:lang w:val="en-US"/>
              </w:rPr>
              <w:t>2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Согласие с требованием</w:t>
            </w:r>
          </w:p>
        </w:tc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i/>
                <w:i/>
                <w:iCs/>
                <w:color w:val="000000"/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  <w:t>-//-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i/>
                <w:i/>
                <w:iCs/>
                <w:color w:val="000000"/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  <w:t>-//-</w:t>
            </w:r>
          </w:p>
        </w:tc>
      </w:tr>
      <w:tr>
        <w:trPr>
          <w:trHeight w:val="23" w:hRule="atLeast"/>
        </w:trPr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4"/>
              <w:numPr>
                <w:ilvl w:val="1"/>
                <w:numId w:val="9"/>
              </w:numPr>
              <w:snapToGrid w:val="false"/>
              <w:ind w:hanging="19" w:left="19" w:righ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87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b/>
                <w:sz w:val="24"/>
                <w:szCs w:val="24"/>
                <w:shd w:fill="auto" w:val="clear"/>
              </w:rPr>
            </w:pPr>
            <w:r>
              <w:rPr>
                <w:b/>
                <w:sz w:val="24"/>
                <w:szCs w:val="24"/>
                <w:shd w:fill="auto" w:val="clear"/>
              </w:rPr>
              <w:t>Рулевое управление</w:t>
            </w:r>
          </w:p>
        </w:tc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i/>
                <w:i/>
                <w:iCs/>
                <w:color w:val="000000"/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  <w:t>-//-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i/>
                <w:i/>
                <w:iCs/>
                <w:color w:val="000000"/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  <w:t>-//-</w:t>
            </w:r>
          </w:p>
        </w:tc>
      </w:tr>
      <w:tr>
        <w:trPr>
          <w:trHeight w:val="23" w:hRule="atLeast"/>
        </w:trPr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4"/>
              <w:snapToGrid w:val="false"/>
              <w:ind w:hanging="19" w:left="19" w:right="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Тип</w:t>
            </w:r>
          </w:p>
        </w:tc>
        <w:tc>
          <w:tcPr>
            <w:tcW w:w="3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С усилителем руля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Согласие с требованием</w:t>
            </w:r>
          </w:p>
        </w:tc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i/>
                <w:i/>
                <w:iCs/>
                <w:color w:val="000000"/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  <w:t>-//-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i/>
                <w:i/>
                <w:iCs/>
                <w:color w:val="000000"/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  <w:t>-//-</w:t>
            </w:r>
          </w:p>
        </w:tc>
      </w:tr>
      <w:tr>
        <w:trPr>
          <w:trHeight w:val="23" w:hRule="atLeast"/>
        </w:trPr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4"/>
              <w:numPr>
                <w:ilvl w:val="1"/>
                <w:numId w:val="9"/>
              </w:numPr>
              <w:snapToGrid w:val="false"/>
              <w:ind w:hanging="19" w:left="19" w:righ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87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b/>
                <w:sz w:val="24"/>
                <w:szCs w:val="24"/>
                <w:shd w:fill="auto" w:val="clear"/>
              </w:rPr>
            </w:pPr>
            <w:r>
              <w:rPr>
                <w:b/>
                <w:sz w:val="24"/>
                <w:szCs w:val="24"/>
                <w:shd w:fill="auto" w:val="clear"/>
              </w:rPr>
              <w:t>Колеса</w:t>
            </w:r>
          </w:p>
        </w:tc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i/>
                <w:i/>
                <w:iCs/>
                <w:color w:val="000000"/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i/>
                <w:i/>
                <w:iCs/>
                <w:color w:val="000000"/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</w:r>
          </w:p>
        </w:tc>
      </w:tr>
      <w:tr>
        <w:trPr>
          <w:trHeight w:val="23" w:hRule="atLeast"/>
        </w:trPr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4"/>
              <w:snapToGrid w:val="false"/>
              <w:ind w:hanging="19" w:left="19" w:right="0"/>
              <w:jc w:val="center"/>
              <w:rPr>
                <w:i/>
                <w:i/>
                <w:iCs/>
                <w:color w:val="000000"/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Тип шин</w:t>
            </w:r>
          </w:p>
        </w:tc>
        <w:tc>
          <w:tcPr>
            <w:tcW w:w="3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Пневматические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Согласие с требованием</w:t>
            </w:r>
          </w:p>
        </w:tc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i/>
                <w:i/>
                <w:iCs/>
                <w:color w:val="000000"/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  <w:t>-//-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i/>
                <w:i/>
                <w:iCs/>
                <w:color w:val="000000"/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  <w:t>-//-</w:t>
            </w:r>
          </w:p>
        </w:tc>
      </w:tr>
      <w:tr>
        <w:trPr>
          <w:trHeight w:val="23" w:hRule="atLeast"/>
        </w:trPr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4"/>
              <w:snapToGrid w:val="false"/>
              <w:ind w:hanging="19" w:left="19" w:right="0"/>
              <w:jc w:val="center"/>
              <w:rPr>
                <w:i/>
                <w:i/>
                <w:iCs/>
                <w:color w:val="000000"/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Размер шин</w:t>
            </w:r>
          </w:p>
        </w:tc>
        <w:tc>
          <w:tcPr>
            <w:tcW w:w="3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10.00 R20 или 11.00 R20 или 11.00 R22,5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iCs/>
                <w:color w:val="000000"/>
                <w:sz w:val="24"/>
                <w:szCs w:val="24"/>
                <w:shd w:fill="auto" w:val="clear"/>
              </w:rPr>
            </w:pPr>
            <w:r>
              <w:rPr>
                <w:iCs/>
                <w:color w:val="000000"/>
                <w:sz w:val="24"/>
                <w:szCs w:val="24"/>
                <w:shd w:fill="auto" w:val="clear"/>
              </w:rPr>
              <w:t>Указание характеристик</w:t>
            </w:r>
          </w:p>
        </w:tc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i/>
                <w:i/>
                <w:iCs/>
                <w:color w:val="000000"/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i/>
                <w:i/>
                <w:iCs/>
                <w:color w:val="000000"/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</w:r>
          </w:p>
        </w:tc>
      </w:tr>
      <w:tr>
        <w:trPr>
          <w:trHeight w:val="23" w:hRule="atLeast"/>
        </w:trPr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4"/>
              <w:numPr>
                <w:ilvl w:val="1"/>
                <w:numId w:val="9"/>
              </w:numPr>
              <w:snapToGrid w:val="false"/>
              <w:ind w:hanging="19" w:left="19" w:right="0"/>
              <w:rPr>
                <w:i/>
                <w:i/>
                <w:iCs/>
                <w:color w:val="000000"/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</w:r>
          </w:p>
        </w:tc>
        <w:tc>
          <w:tcPr>
            <w:tcW w:w="87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b/>
                <w:sz w:val="24"/>
                <w:szCs w:val="24"/>
                <w:shd w:fill="auto" w:val="clear"/>
              </w:rPr>
            </w:pPr>
            <w:r>
              <w:rPr>
                <w:b/>
                <w:sz w:val="24"/>
                <w:szCs w:val="24"/>
                <w:shd w:fill="auto" w:val="clear"/>
              </w:rPr>
              <w:t>Тормозная система</w:t>
            </w:r>
          </w:p>
        </w:tc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i/>
                <w:i/>
                <w:iCs/>
                <w:color w:val="000000"/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i/>
                <w:i/>
                <w:iCs/>
                <w:color w:val="000000"/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</w:r>
          </w:p>
        </w:tc>
      </w:tr>
      <w:tr>
        <w:trPr>
          <w:trHeight w:val="23" w:hRule="atLeast"/>
        </w:trPr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4"/>
              <w:snapToGrid w:val="false"/>
              <w:ind w:hanging="19" w:left="19" w:right="0"/>
              <w:jc w:val="center"/>
              <w:rPr>
                <w:i/>
                <w:i/>
                <w:iCs/>
                <w:color w:val="000000"/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Передние</w:t>
            </w:r>
          </w:p>
        </w:tc>
        <w:tc>
          <w:tcPr>
            <w:tcW w:w="3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Барабанные или дисковые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iCs/>
                <w:color w:val="000000"/>
                <w:sz w:val="24"/>
                <w:szCs w:val="24"/>
                <w:shd w:fill="auto" w:val="clear"/>
              </w:rPr>
            </w:pPr>
            <w:r>
              <w:rPr>
                <w:iCs/>
                <w:color w:val="000000"/>
                <w:sz w:val="24"/>
                <w:szCs w:val="24"/>
                <w:shd w:fill="auto" w:val="clear"/>
              </w:rPr>
              <w:t>Указание характеристик</w:t>
            </w:r>
          </w:p>
        </w:tc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23" w:hRule="atLeast"/>
        </w:trPr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4"/>
              <w:snapToGrid w:val="false"/>
              <w:ind w:hanging="19" w:left="19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Задние</w:t>
            </w:r>
          </w:p>
        </w:tc>
        <w:tc>
          <w:tcPr>
            <w:tcW w:w="3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Барабанные или дисковые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iCs/>
                <w:color w:val="000000"/>
                <w:sz w:val="24"/>
                <w:szCs w:val="24"/>
                <w:shd w:fill="auto" w:val="clear"/>
              </w:rPr>
            </w:pPr>
            <w:r>
              <w:rPr>
                <w:iCs/>
                <w:color w:val="000000"/>
                <w:sz w:val="24"/>
                <w:szCs w:val="24"/>
                <w:shd w:fill="auto" w:val="clear"/>
              </w:rPr>
              <w:t>Указание характеристик</w:t>
            </w:r>
          </w:p>
        </w:tc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23" w:hRule="atLeast"/>
        </w:trPr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4"/>
              <w:numPr>
                <w:ilvl w:val="1"/>
                <w:numId w:val="9"/>
              </w:numPr>
              <w:snapToGrid w:val="false"/>
              <w:ind w:hanging="19" w:left="19" w:righ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87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>
                <w:b/>
                <w:sz w:val="24"/>
                <w:szCs w:val="24"/>
                <w:shd w:fill="auto" w:val="clear"/>
              </w:rPr>
              <w:t>Автогидроподъемник (подъемное сооружение)</w:t>
            </w:r>
          </w:p>
        </w:tc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i/>
                <w:i/>
                <w:iCs/>
                <w:color w:val="000000"/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i/>
                <w:i/>
                <w:iCs/>
                <w:color w:val="000000"/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</w:r>
          </w:p>
        </w:tc>
      </w:tr>
      <w:tr>
        <w:trPr>
          <w:trHeight w:val="23" w:hRule="atLeast"/>
        </w:trPr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4"/>
              <w:snapToGrid w:val="false"/>
              <w:ind w:hanging="0" w:left="0" w:right="0"/>
              <w:jc w:val="both"/>
              <w:rPr>
                <w:i/>
                <w:i/>
                <w:iCs/>
                <w:color w:val="000000"/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Назначение</w:t>
            </w:r>
          </w:p>
        </w:tc>
        <w:tc>
          <w:tcPr>
            <w:tcW w:w="3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Подъем людей на высоту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Согласие с требованием</w:t>
            </w:r>
          </w:p>
        </w:tc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23" w:hRule="atLeast"/>
        </w:trPr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4"/>
              <w:snapToGrid w:val="false"/>
              <w:ind w:hanging="0" w:left="0" w:righ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color w:val="000000"/>
                <w:sz w:val="24"/>
                <w:szCs w:val="24"/>
                <w:shd w:fill="auto" w:val="clear"/>
                <w:lang w:eastAsia="ru-RU"/>
              </w:rPr>
            </w:pPr>
            <w:r>
              <w:rPr>
                <w:color w:val="000000"/>
                <w:sz w:val="24"/>
                <w:szCs w:val="24"/>
                <w:shd w:fill="auto" w:val="clear"/>
                <w:lang w:eastAsia="ru-RU"/>
              </w:rPr>
              <w:t>Грузоподъемность рабочей платформы , кг</w:t>
            </w:r>
          </w:p>
        </w:tc>
        <w:tc>
          <w:tcPr>
            <w:tcW w:w="3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4"/>
                <w:szCs w:val="24"/>
                <w:shd w:fill="auto" w:val="clear"/>
                <w:lang w:eastAsia="ru-RU"/>
              </w:rPr>
            </w:pPr>
            <w:r>
              <w:rPr>
                <w:color w:val="000000"/>
                <w:sz w:val="24"/>
                <w:szCs w:val="24"/>
                <w:shd w:fill="auto" w:val="clear"/>
                <w:lang w:eastAsia="ru-RU"/>
              </w:rPr>
              <w:t>Не менее 300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iCs/>
                <w:color w:val="000000"/>
                <w:sz w:val="24"/>
                <w:szCs w:val="24"/>
                <w:shd w:fill="auto" w:val="clear"/>
              </w:rPr>
            </w:pPr>
            <w:r>
              <w:rPr>
                <w:iCs/>
                <w:color w:val="000000"/>
                <w:sz w:val="24"/>
                <w:szCs w:val="24"/>
                <w:shd w:fill="auto" w:val="clear"/>
              </w:rPr>
              <w:t>Указание характеристик</w:t>
            </w:r>
          </w:p>
        </w:tc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23" w:hRule="atLeast"/>
        </w:trPr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4"/>
              <w:snapToGrid w:val="false"/>
              <w:ind w:hanging="0" w:left="0" w:righ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color w:val="000000"/>
                <w:sz w:val="24"/>
                <w:szCs w:val="24"/>
                <w:shd w:fill="auto" w:val="clear"/>
                <w:lang w:eastAsia="ru-RU"/>
              </w:rPr>
            </w:pPr>
            <w:r>
              <w:rPr>
                <w:color w:val="000000"/>
                <w:sz w:val="24"/>
                <w:szCs w:val="24"/>
                <w:shd w:fill="auto" w:val="clear"/>
                <w:lang w:eastAsia="ru-RU"/>
              </w:rPr>
              <w:t>Рабочая высота подъема, м</w:t>
            </w:r>
          </w:p>
        </w:tc>
        <w:tc>
          <w:tcPr>
            <w:tcW w:w="3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color w:val="000000"/>
                <w:sz w:val="24"/>
                <w:szCs w:val="24"/>
                <w:shd w:fill="auto" w:val="clear"/>
                <w:lang w:eastAsia="ru-RU"/>
              </w:rPr>
              <w:t xml:space="preserve">Не менее </w:t>
            </w:r>
            <w:r>
              <w:rPr>
                <w:color w:val="000000"/>
                <w:sz w:val="24"/>
                <w:szCs w:val="24"/>
                <w:shd w:fill="auto" w:val="clear"/>
                <w:lang w:val="en-US" w:eastAsia="ru-RU"/>
              </w:rPr>
              <w:t>29,7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iCs/>
                <w:color w:val="000000"/>
                <w:sz w:val="24"/>
                <w:szCs w:val="24"/>
                <w:shd w:fill="auto" w:val="clear"/>
              </w:rPr>
            </w:pPr>
            <w:r>
              <w:rPr>
                <w:iCs/>
                <w:color w:val="000000"/>
                <w:sz w:val="24"/>
                <w:szCs w:val="24"/>
                <w:shd w:fill="auto" w:val="clear"/>
              </w:rPr>
              <w:t>Указание характеристик</w:t>
            </w:r>
          </w:p>
        </w:tc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23" w:hRule="atLeast"/>
        </w:trPr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4"/>
              <w:snapToGrid w:val="false"/>
              <w:ind w:hanging="0" w:left="0" w:righ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color w:val="000000"/>
                <w:sz w:val="24"/>
                <w:szCs w:val="24"/>
                <w:shd w:fill="auto" w:val="clear"/>
                <w:lang w:eastAsia="ru-RU"/>
              </w:rPr>
            </w:pPr>
            <w:r>
              <w:rPr>
                <w:color w:val="000000"/>
                <w:sz w:val="24"/>
                <w:szCs w:val="24"/>
                <w:shd w:fill="auto" w:val="clear"/>
                <w:lang w:eastAsia="ru-RU"/>
              </w:rPr>
              <w:t>Вылет максимальный, м</w:t>
            </w:r>
          </w:p>
        </w:tc>
        <w:tc>
          <w:tcPr>
            <w:tcW w:w="3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4"/>
                <w:szCs w:val="24"/>
                <w:shd w:fill="auto" w:val="clear"/>
                <w:lang w:eastAsia="ru-RU"/>
              </w:rPr>
            </w:pPr>
            <w:r>
              <w:rPr>
                <w:color w:val="000000"/>
                <w:sz w:val="24"/>
                <w:szCs w:val="24"/>
                <w:shd w:fill="auto" w:val="clear"/>
                <w:lang w:eastAsia="ru-RU"/>
              </w:rPr>
              <w:t>Не менее 16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iCs/>
                <w:color w:val="000000"/>
                <w:sz w:val="24"/>
                <w:szCs w:val="24"/>
                <w:shd w:fill="auto" w:val="clear"/>
              </w:rPr>
            </w:pPr>
            <w:r>
              <w:rPr>
                <w:iCs/>
                <w:color w:val="000000"/>
                <w:sz w:val="24"/>
                <w:szCs w:val="24"/>
                <w:shd w:fill="auto" w:val="clear"/>
              </w:rPr>
              <w:t>Указание характеристик</w:t>
            </w:r>
          </w:p>
        </w:tc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iCs/>
                <w:color w:val="000000"/>
                <w:sz w:val="24"/>
                <w:szCs w:val="24"/>
              </w:rPr>
            </w:pPr>
            <w:r>
              <w:rPr>
                <w:iCs/>
                <w:color w:val="000000"/>
                <w:sz w:val="24"/>
                <w:szCs w:val="24"/>
              </w:rPr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iCs/>
                <w:color w:val="000000"/>
                <w:sz w:val="24"/>
                <w:szCs w:val="24"/>
              </w:rPr>
            </w:pPr>
            <w:r>
              <w:rPr>
                <w:iCs/>
                <w:color w:val="000000"/>
                <w:sz w:val="24"/>
                <w:szCs w:val="24"/>
              </w:rPr>
            </w:r>
          </w:p>
        </w:tc>
      </w:tr>
      <w:tr>
        <w:trPr>
          <w:trHeight w:val="23" w:hRule="atLeast"/>
        </w:trPr>
        <w:tc>
          <w:tcPr>
            <w:tcW w:w="10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4"/>
              <w:snapToGrid w:val="false"/>
              <w:ind w:hanging="0" w:left="0" w:right="0"/>
              <w:jc w:val="both"/>
              <w:rPr>
                <w:iCs/>
                <w:color w:val="000000"/>
                <w:sz w:val="24"/>
                <w:szCs w:val="24"/>
              </w:rPr>
            </w:pPr>
            <w:r>
              <w:rPr>
                <w:iCs/>
                <w:color w:val="000000"/>
                <w:sz w:val="24"/>
                <w:szCs w:val="24"/>
              </w:rPr>
            </w:r>
          </w:p>
        </w:tc>
        <w:tc>
          <w:tcPr>
            <w:tcW w:w="32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color w:val="000000"/>
                <w:sz w:val="24"/>
                <w:szCs w:val="24"/>
                <w:shd w:fill="auto" w:val="clear"/>
                <w:lang w:eastAsia="ru-RU"/>
              </w:rPr>
            </w:pPr>
            <w:r>
              <w:rPr>
                <w:color w:val="000000"/>
                <w:sz w:val="24"/>
                <w:szCs w:val="24"/>
                <w:shd w:fill="auto" w:val="clear"/>
                <w:lang w:eastAsia="ru-RU"/>
              </w:rPr>
              <w:t>Опорный контур, м:</w:t>
            </w:r>
          </w:p>
          <w:p>
            <w:pPr>
              <w:pStyle w:val="Normal"/>
              <w:rPr>
                <w:color w:val="000000"/>
                <w:sz w:val="24"/>
                <w:szCs w:val="24"/>
                <w:shd w:fill="auto" w:val="clear"/>
                <w:lang w:eastAsia="ru-RU"/>
              </w:rPr>
            </w:pPr>
            <w:r>
              <w:rPr>
                <w:color w:val="000000"/>
                <w:sz w:val="24"/>
                <w:szCs w:val="24"/>
                <w:shd w:fill="auto" w:val="clear"/>
                <w:lang w:eastAsia="ru-RU"/>
              </w:rPr>
              <w:t>- поперечный</w:t>
            </w:r>
          </w:p>
          <w:p>
            <w:pPr>
              <w:pStyle w:val="Normal"/>
              <w:rPr>
                <w:color w:val="000000"/>
                <w:sz w:val="24"/>
                <w:szCs w:val="24"/>
                <w:shd w:fill="auto" w:val="clear"/>
                <w:lang w:eastAsia="ru-RU"/>
              </w:rPr>
            </w:pPr>
            <w:r>
              <w:rPr>
                <w:color w:val="000000"/>
                <w:sz w:val="24"/>
                <w:szCs w:val="24"/>
                <w:shd w:fill="auto" w:val="clear"/>
                <w:lang w:eastAsia="ru-RU"/>
              </w:rPr>
              <w:t>- продольный</w:t>
            </w:r>
          </w:p>
        </w:tc>
        <w:tc>
          <w:tcPr>
            <w:tcW w:w="30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24"/>
                <w:szCs w:val="24"/>
                <w:shd w:fill="auto" w:val="clear"/>
                <w:lang w:eastAsia="ru-RU"/>
              </w:rPr>
            </w:pPr>
            <w:r>
              <w:rPr>
                <w:color w:val="000000"/>
                <w:sz w:val="24"/>
                <w:szCs w:val="24"/>
                <w:shd w:fill="auto" w:val="clear"/>
                <w:lang w:eastAsia="ru-RU"/>
              </w:rPr>
            </w:r>
          </w:p>
          <w:p>
            <w:pPr>
              <w:pStyle w:val="Normal"/>
              <w:jc w:val="center"/>
              <w:rPr>
                <w:color w:val="000000"/>
                <w:sz w:val="24"/>
                <w:szCs w:val="24"/>
                <w:shd w:fill="auto" w:val="clear"/>
                <w:lang w:eastAsia="ru-RU"/>
              </w:rPr>
            </w:pPr>
            <w:r>
              <w:rPr>
                <w:color w:val="000000"/>
                <w:sz w:val="24"/>
                <w:szCs w:val="24"/>
                <w:shd w:fill="auto" w:val="clear"/>
                <w:lang w:eastAsia="ru-RU"/>
              </w:rPr>
              <w:t>Не менее 6.0, не более 6,1</w:t>
            </w:r>
          </w:p>
          <w:p>
            <w:pPr>
              <w:pStyle w:val="Normal"/>
              <w:jc w:val="center"/>
              <w:rPr>
                <w:color w:val="000000"/>
                <w:sz w:val="24"/>
                <w:szCs w:val="24"/>
                <w:shd w:fill="auto" w:val="clear"/>
                <w:lang w:eastAsia="ru-RU"/>
              </w:rPr>
            </w:pPr>
            <w:r>
              <w:rPr>
                <w:color w:val="000000"/>
                <w:sz w:val="24"/>
                <w:szCs w:val="24"/>
                <w:shd w:fill="auto" w:val="clear"/>
                <w:lang w:eastAsia="ru-RU"/>
              </w:rPr>
              <w:t>Не менее 3.5, не более 4.6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iCs/>
                <w:color w:val="000000"/>
                <w:sz w:val="24"/>
                <w:szCs w:val="24"/>
                <w:shd w:fill="auto" w:val="clear"/>
              </w:rPr>
            </w:pPr>
            <w:r>
              <w:rPr>
                <w:iCs/>
                <w:color w:val="000000"/>
                <w:sz w:val="24"/>
                <w:szCs w:val="24"/>
                <w:shd w:fill="auto" w:val="clear"/>
              </w:rPr>
              <w:t>Указание характеристик</w:t>
            </w:r>
          </w:p>
        </w:tc>
        <w:tc>
          <w:tcPr>
            <w:tcW w:w="30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iCs/>
                <w:color w:val="000000"/>
                <w:sz w:val="24"/>
                <w:szCs w:val="24"/>
              </w:rPr>
            </w:pPr>
            <w:r>
              <w:rPr>
                <w:iCs/>
                <w:color w:val="000000"/>
                <w:sz w:val="24"/>
                <w:szCs w:val="24"/>
              </w:rPr>
            </w:r>
          </w:p>
        </w:tc>
        <w:tc>
          <w:tcPr>
            <w:tcW w:w="19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iCs/>
                <w:color w:val="000000"/>
                <w:sz w:val="24"/>
                <w:szCs w:val="24"/>
              </w:rPr>
            </w:pPr>
            <w:r>
              <w:rPr>
                <w:iCs/>
                <w:color w:val="000000"/>
                <w:sz w:val="24"/>
                <w:szCs w:val="24"/>
              </w:rPr>
            </w:r>
          </w:p>
        </w:tc>
      </w:tr>
      <w:tr>
        <w:trPr>
          <w:trHeight w:val="23" w:hRule="atLeast"/>
        </w:trPr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4"/>
              <w:snapToGrid w:val="false"/>
              <w:ind w:hanging="0" w:left="0" w:right="0"/>
              <w:jc w:val="both"/>
              <w:rPr>
                <w:iCs/>
                <w:color w:val="000000"/>
                <w:sz w:val="24"/>
                <w:szCs w:val="24"/>
              </w:rPr>
            </w:pPr>
            <w:r>
              <w:rPr>
                <w:iCs/>
                <w:color w:val="000000"/>
                <w:sz w:val="24"/>
                <w:szCs w:val="24"/>
              </w:rPr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color w:val="000000"/>
                <w:sz w:val="24"/>
                <w:szCs w:val="24"/>
                <w:shd w:fill="auto" w:val="clear"/>
                <w:lang w:eastAsia="ru-RU"/>
              </w:rPr>
            </w:pPr>
            <w:r>
              <w:rPr>
                <w:color w:val="000000"/>
                <w:sz w:val="24"/>
                <w:szCs w:val="24"/>
                <w:shd w:fill="auto" w:val="clear"/>
                <w:lang w:eastAsia="ru-RU"/>
              </w:rPr>
              <w:t>Время подъема рабочей платформы на максимальную высоту, с</w:t>
            </w:r>
          </w:p>
        </w:tc>
        <w:tc>
          <w:tcPr>
            <w:tcW w:w="3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4"/>
                <w:szCs w:val="24"/>
                <w:shd w:fill="auto" w:val="clear"/>
                <w:lang w:eastAsia="ru-RU"/>
              </w:rPr>
            </w:pPr>
            <w:r>
              <w:rPr>
                <w:color w:val="000000"/>
                <w:sz w:val="24"/>
                <w:szCs w:val="24"/>
                <w:shd w:fill="auto" w:val="clear"/>
                <w:lang w:eastAsia="ru-RU"/>
              </w:rPr>
              <w:t>Не менее 50</w:t>
            </w:r>
          </w:p>
          <w:p>
            <w:pPr>
              <w:pStyle w:val="Normal"/>
              <w:jc w:val="center"/>
              <w:rPr>
                <w:color w:val="000000"/>
                <w:sz w:val="24"/>
                <w:szCs w:val="24"/>
                <w:shd w:fill="auto" w:val="clear"/>
                <w:lang w:eastAsia="ru-RU"/>
              </w:rPr>
            </w:pPr>
            <w:r>
              <w:rPr>
                <w:color w:val="000000"/>
                <w:sz w:val="24"/>
                <w:szCs w:val="24"/>
                <w:shd w:fill="auto" w:val="clear"/>
                <w:lang w:eastAsia="ru-RU"/>
              </w:rPr>
              <w:t>Не более 70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iCs/>
                <w:color w:val="000000"/>
                <w:sz w:val="24"/>
                <w:szCs w:val="24"/>
                <w:shd w:fill="auto" w:val="clear"/>
              </w:rPr>
            </w:pPr>
            <w:r>
              <w:rPr>
                <w:iCs/>
                <w:color w:val="000000"/>
                <w:sz w:val="24"/>
                <w:szCs w:val="24"/>
                <w:shd w:fill="auto" w:val="clear"/>
              </w:rPr>
              <w:t>Указание характеристик</w:t>
            </w:r>
          </w:p>
        </w:tc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23" w:hRule="atLeast"/>
        </w:trPr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4"/>
              <w:snapToGrid w:val="false"/>
              <w:ind w:hanging="0" w:left="0" w:right="0"/>
              <w:jc w:val="both"/>
              <w:rPr>
                <w:iCs/>
                <w:color w:val="000000"/>
                <w:sz w:val="24"/>
                <w:szCs w:val="24"/>
              </w:rPr>
            </w:pPr>
            <w:r>
              <w:rPr>
                <w:iCs/>
                <w:color w:val="000000"/>
                <w:sz w:val="24"/>
                <w:szCs w:val="24"/>
              </w:rPr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color w:val="000000"/>
                <w:sz w:val="24"/>
                <w:szCs w:val="24"/>
                <w:shd w:fill="auto" w:val="clear"/>
                <w:lang w:eastAsia="ru-RU"/>
              </w:rPr>
            </w:pPr>
            <w:r>
              <w:rPr>
                <w:color w:val="000000"/>
                <w:sz w:val="24"/>
                <w:szCs w:val="24"/>
                <w:shd w:fill="auto" w:val="clear"/>
                <w:lang w:eastAsia="ru-RU"/>
              </w:rPr>
              <w:t>Угол наклона стрелы, (относительно горизонта), градус</w:t>
            </w:r>
          </w:p>
        </w:tc>
        <w:tc>
          <w:tcPr>
            <w:tcW w:w="3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24"/>
                <w:szCs w:val="24"/>
                <w:shd w:fill="auto" w:val="clear"/>
                <w:lang w:eastAsia="ru-RU"/>
              </w:rPr>
            </w:pPr>
            <w:r>
              <w:rPr>
                <w:color w:val="000000"/>
                <w:sz w:val="24"/>
                <w:szCs w:val="24"/>
                <w:shd w:fill="auto" w:val="clear"/>
                <w:lang w:eastAsia="ru-RU"/>
              </w:rPr>
              <w:t>от -17 до 79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iCs/>
                <w:color w:val="000000"/>
                <w:sz w:val="24"/>
                <w:szCs w:val="24"/>
                <w:shd w:fill="auto" w:val="clear"/>
              </w:rPr>
            </w:pPr>
            <w:r>
              <w:rPr>
                <w:iCs/>
                <w:color w:val="000000"/>
                <w:sz w:val="24"/>
                <w:szCs w:val="24"/>
                <w:shd w:fill="auto" w:val="clear"/>
              </w:rPr>
              <w:t>Указание характеристик</w:t>
            </w:r>
          </w:p>
        </w:tc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23" w:hRule="atLeast"/>
        </w:trPr>
        <w:tc>
          <w:tcPr>
            <w:tcW w:w="10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4"/>
              <w:snapToGrid w:val="false"/>
              <w:ind w:hanging="0" w:left="0" w:right="0"/>
              <w:jc w:val="both"/>
              <w:rPr>
                <w:iCs/>
                <w:color w:val="000000"/>
                <w:sz w:val="24"/>
                <w:szCs w:val="24"/>
              </w:rPr>
            </w:pPr>
            <w:r>
              <w:rPr>
                <w:iCs/>
                <w:color w:val="000000"/>
                <w:sz w:val="24"/>
                <w:szCs w:val="24"/>
              </w:rPr>
            </w:r>
          </w:p>
        </w:tc>
        <w:tc>
          <w:tcPr>
            <w:tcW w:w="32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color w:val="000000"/>
                <w:sz w:val="24"/>
                <w:szCs w:val="24"/>
                <w:shd w:fill="auto" w:val="clear"/>
                <w:lang w:eastAsia="ru-RU"/>
              </w:rPr>
            </w:pPr>
            <w:r>
              <w:rPr>
                <w:color w:val="000000"/>
                <w:sz w:val="24"/>
                <w:szCs w:val="24"/>
                <w:shd w:fill="auto" w:val="clear"/>
                <w:lang w:eastAsia="ru-RU"/>
              </w:rPr>
              <w:t>Тип стрелы</w:t>
            </w:r>
          </w:p>
        </w:tc>
        <w:tc>
          <w:tcPr>
            <w:tcW w:w="30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24"/>
                <w:szCs w:val="24"/>
                <w:shd w:fill="auto" w:val="clear"/>
                <w:lang w:eastAsia="ru-RU"/>
              </w:rPr>
            </w:pPr>
            <w:r>
              <w:rPr>
                <w:color w:val="000000"/>
                <w:sz w:val="24"/>
                <w:szCs w:val="24"/>
                <w:shd w:fill="auto" w:val="clear"/>
                <w:lang w:eastAsia="ru-RU"/>
              </w:rPr>
              <w:t>телескопическая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Согласие с требованием</w:t>
            </w:r>
          </w:p>
        </w:tc>
        <w:tc>
          <w:tcPr>
            <w:tcW w:w="30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i/>
                <w:i/>
                <w:iCs/>
                <w:color w:val="000000"/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  <w:t>-//-</w:t>
            </w:r>
          </w:p>
        </w:tc>
        <w:tc>
          <w:tcPr>
            <w:tcW w:w="19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i/>
                <w:i/>
                <w:iCs/>
                <w:color w:val="000000"/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  <w:t>-//-</w:t>
            </w:r>
          </w:p>
        </w:tc>
      </w:tr>
      <w:tr>
        <w:trPr>
          <w:trHeight w:val="23" w:hRule="atLeast"/>
        </w:trPr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4"/>
              <w:snapToGrid w:val="false"/>
              <w:ind w:hanging="0" w:left="0" w:right="0"/>
              <w:jc w:val="both"/>
              <w:rPr>
                <w:iCs/>
                <w:color w:val="000000"/>
                <w:sz w:val="24"/>
                <w:szCs w:val="24"/>
              </w:rPr>
            </w:pPr>
            <w:r>
              <w:rPr>
                <w:iCs/>
                <w:color w:val="000000"/>
                <w:sz w:val="24"/>
                <w:szCs w:val="24"/>
              </w:rPr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color w:val="000000"/>
                <w:sz w:val="24"/>
                <w:szCs w:val="24"/>
                <w:shd w:fill="auto" w:val="clear"/>
                <w:lang w:eastAsia="ru-RU"/>
              </w:rPr>
            </w:pPr>
            <w:r>
              <w:rPr>
                <w:color w:val="000000"/>
                <w:sz w:val="24"/>
                <w:szCs w:val="24"/>
                <w:shd w:fill="auto" w:val="clear"/>
                <w:lang w:eastAsia="ru-RU"/>
              </w:rPr>
              <w:t>Размеры рабочей платформы, мм</w:t>
            </w:r>
          </w:p>
        </w:tc>
        <w:tc>
          <w:tcPr>
            <w:tcW w:w="3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24"/>
                <w:szCs w:val="24"/>
                <w:shd w:fill="auto" w:val="clear"/>
                <w:lang w:eastAsia="ru-RU"/>
              </w:rPr>
            </w:pPr>
            <w:r>
              <w:rPr>
                <w:color w:val="000000"/>
                <w:sz w:val="24"/>
                <w:szCs w:val="24"/>
                <w:shd w:fill="auto" w:val="clear"/>
                <w:lang w:eastAsia="ru-RU"/>
              </w:rPr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color w:val="000000"/>
                <w:sz w:val="24"/>
                <w:szCs w:val="24"/>
                <w:shd w:fill="auto" w:val="clear"/>
                <w:lang w:eastAsia="ru-RU"/>
              </w:rPr>
            </w:pPr>
            <w:r>
              <w:rPr>
                <w:color w:val="000000"/>
                <w:sz w:val="24"/>
                <w:szCs w:val="24"/>
                <w:shd w:fill="auto" w:val="clear"/>
                <w:lang w:eastAsia="ru-RU"/>
              </w:rPr>
            </w:r>
          </w:p>
        </w:tc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24"/>
                <w:szCs w:val="24"/>
                <w:shd w:fill="auto" w:val="clear"/>
                <w:lang w:eastAsia="ru-RU"/>
              </w:rPr>
            </w:pPr>
            <w:r>
              <w:rPr>
                <w:color w:val="000000"/>
                <w:sz w:val="24"/>
                <w:szCs w:val="24"/>
                <w:shd w:fill="auto" w:val="clear"/>
                <w:lang w:eastAsia="ru-RU"/>
              </w:rPr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24"/>
                <w:szCs w:val="24"/>
                <w:shd w:fill="auto" w:val="clear"/>
                <w:lang w:eastAsia="ru-RU"/>
              </w:rPr>
            </w:pPr>
            <w:r>
              <w:rPr>
                <w:color w:val="000000"/>
                <w:sz w:val="24"/>
                <w:szCs w:val="24"/>
                <w:shd w:fill="auto" w:val="clear"/>
                <w:lang w:eastAsia="ru-RU"/>
              </w:rPr>
            </w:r>
          </w:p>
        </w:tc>
      </w:tr>
      <w:tr>
        <w:trPr>
          <w:trHeight w:val="23" w:hRule="atLeast"/>
        </w:trPr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4"/>
              <w:snapToGrid w:val="false"/>
              <w:ind w:hanging="0" w:left="0" w:right="0"/>
              <w:jc w:val="both"/>
              <w:rPr>
                <w:color w:val="000000"/>
                <w:sz w:val="24"/>
                <w:szCs w:val="24"/>
                <w:shd w:fill="auto" w:val="clear"/>
                <w:lang w:eastAsia="ru-RU"/>
              </w:rPr>
            </w:pPr>
            <w:r>
              <w:rPr>
                <w:color w:val="000000"/>
                <w:sz w:val="24"/>
                <w:szCs w:val="24"/>
                <w:shd w:fill="auto" w:val="clear"/>
                <w:lang w:eastAsia="ru-RU"/>
              </w:rPr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color w:val="000000"/>
                <w:sz w:val="24"/>
                <w:szCs w:val="24"/>
                <w:shd w:fill="auto" w:val="clear"/>
                <w:lang w:eastAsia="ru-RU"/>
              </w:rPr>
            </w:pPr>
            <w:r>
              <w:rPr>
                <w:color w:val="000000"/>
                <w:sz w:val="24"/>
                <w:szCs w:val="24"/>
                <w:shd w:fill="auto" w:val="clear"/>
                <w:lang w:eastAsia="ru-RU"/>
              </w:rPr>
              <w:t>Длина, мм</w:t>
            </w:r>
          </w:p>
        </w:tc>
        <w:tc>
          <w:tcPr>
            <w:tcW w:w="3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4"/>
                <w:szCs w:val="24"/>
                <w:shd w:fill="auto" w:val="clear"/>
                <w:lang w:eastAsia="ru-RU"/>
              </w:rPr>
            </w:pPr>
            <w:r>
              <w:rPr>
                <w:color w:val="000000"/>
                <w:sz w:val="24"/>
                <w:szCs w:val="24"/>
                <w:shd w:fill="auto" w:val="clear"/>
                <w:lang w:eastAsia="ru-RU"/>
              </w:rPr>
              <w:t>Не менее 2000</w:t>
            </w:r>
          </w:p>
          <w:p>
            <w:pPr>
              <w:pStyle w:val="Normal"/>
              <w:jc w:val="center"/>
              <w:rPr>
                <w:color w:val="000000"/>
                <w:sz w:val="24"/>
                <w:szCs w:val="24"/>
                <w:shd w:fill="auto" w:val="clear"/>
                <w:lang w:eastAsia="ru-RU"/>
              </w:rPr>
            </w:pPr>
            <w:r>
              <w:rPr>
                <w:color w:val="000000"/>
                <w:sz w:val="24"/>
                <w:szCs w:val="24"/>
                <w:shd w:fill="auto" w:val="clear"/>
                <w:lang w:eastAsia="ru-RU"/>
              </w:rPr>
              <w:t>Не более 2400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iCs/>
                <w:color w:val="000000"/>
                <w:sz w:val="24"/>
                <w:szCs w:val="24"/>
                <w:shd w:fill="auto" w:val="clear"/>
              </w:rPr>
            </w:pPr>
            <w:r>
              <w:rPr>
                <w:iCs/>
                <w:color w:val="000000"/>
                <w:sz w:val="24"/>
                <w:szCs w:val="24"/>
                <w:shd w:fill="auto" w:val="clear"/>
              </w:rPr>
              <w:t>Указание характеристик</w:t>
            </w:r>
          </w:p>
        </w:tc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23" w:hRule="atLeast"/>
        </w:trPr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4"/>
              <w:snapToGrid w:val="false"/>
              <w:ind w:hanging="0" w:left="0" w:righ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color w:val="000000"/>
                <w:sz w:val="24"/>
                <w:szCs w:val="24"/>
                <w:shd w:fill="auto" w:val="clear"/>
                <w:lang w:eastAsia="ru-RU"/>
              </w:rPr>
            </w:pPr>
            <w:r>
              <w:rPr>
                <w:color w:val="000000"/>
                <w:sz w:val="24"/>
                <w:szCs w:val="24"/>
                <w:shd w:fill="auto" w:val="clear"/>
                <w:lang w:eastAsia="ru-RU"/>
              </w:rPr>
              <w:t>Ширина, мм</w:t>
            </w:r>
          </w:p>
        </w:tc>
        <w:tc>
          <w:tcPr>
            <w:tcW w:w="3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4"/>
                <w:szCs w:val="24"/>
                <w:shd w:fill="auto" w:val="clear"/>
                <w:lang w:eastAsia="ru-RU"/>
              </w:rPr>
            </w:pPr>
            <w:r>
              <w:rPr>
                <w:color w:val="000000"/>
                <w:sz w:val="24"/>
                <w:szCs w:val="24"/>
                <w:shd w:fill="auto" w:val="clear"/>
                <w:lang w:eastAsia="ru-RU"/>
              </w:rPr>
              <w:t>Не менее 800</w:t>
            </w:r>
          </w:p>
          <w:p>
            <w:pPr>
              <w:pStyle w:val="Normal"/>
              <w:jc w:val="center"/>
              <w:rPr>
                <w:color w:val="000000"/>
                <w:sz w:val="24"/>
                <w:szCs w:val="24"/>
                <w:shd w:fill="auto" w:val="clear"/>
                <w:lang w:eastAsia="ru-RU"/>
              </w:rPr>
            </w:pPr>
            <w:r>
              <w:rPr>
                <w:color w:val="000000"/>
                <w:sz w:val="24"/>
                <w:szCs w:val="24"/>
                <w:shd w:fill="auto" w:val="clear"/>
                <w:lang w:eastAsia="ru-RU"/>
              </w:rPr>
              <w:t>Не более 850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iCs/>
                <w:color w:val="000000"/>
                <w:sz w:val="24"/>
                <w:szCs w:val="24"/>
                <w:shd w:fill="auto" w:val="clear"/>
              </w:rPr>
            </w:pPr>
            <w:r>
              <w:rPr>
                <w:iCs/>
                <w:color w:val="000000"/>
                <w:sz w:val="24"/>
                <w:szCs w:val="24"/>
                <w:shd w:fill="auto" w:val="clear"/>
              </w:rPr>
              <w:t>Указание характеристик</w:t>
            </w:r>
          </w:p>
        </w:tc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23" w:hRule="atLeast"/>
        </w:trPr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4"/>
              <w:snapToGrid w:val="false"/>
              <w:ind w:hanging="0" w:left="0" w:righ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color w:val="000000"/>
                <w:sz w:val="24"/>
                <w:szCs w:val="24"/>
                <w:shd w:fill="auto" w:val="clear"/>
                <w:lang w:eastAsia="ru-RU"/>
              </w:rPr>
            </w:pPr>
            <w:r>
              <w:rPr>
                <w:color w:val="000000"/>
                <w:sz w:val="24"/>
                <w:szCs w:val="24"/>
                <w:shd w:fill="auto" w:val="clear"/>
                <w:lang w:eastAsia="ru-RU"/>
              </w:rPr>
              <w:t>Высота, мм</w:t>
            </w:r>
          </w:p>
        </w:tc>
        <w:tc>
          <w:tcPr>
            <w:tcW w:w="3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color w:val="000000"/>
                <w:sz w:val="24"/>
                <w:szCs w:val="24"/>
                <w:shd w:fill="auto" w:val="clear"/>
                <w:lang w:eastAsia="ru-RU"/>
              </w:rPr>
            </w:pPr>
            <w:r>
              <w:rPr>
                <w:color w:val="000000"/>
                <w:sz w:val="24"/>
                <w:szCs w:val="24"/>
                <w:shd w:fill="auto" w:val="clear"/>
                <w:lang w:eastAsia="ru-RU"/>
              </w:rPr>
              <w:t>Не менее 1000</w:t>
            </w:r>
          </w:p>
          <w:p>
            <w:pPr>
              <w:pStyle w:val="Normal"/>
              <w:jc w:val="center"/>
              <w:rPr>
                <w:color w:val="000000"/>
                <w:sz w:val="24"/>
                <w:szCs w:val="24"/>
                <w:shd w:fill="auto" w:val="clear"/>
                <w:lang w:eastAsia="ru-RU"/>
              </w:rPr>
            </w:pPr>
            <w:r>
              <w:rPr>
                <w:color w:val="000000"/>
                <w:sz w:val="24"/>
                <w:szCs w:val="24"/>
                <w:shd w:fill="auto" w:val="clear"/>
                <w:lang w:eastAsia="ru-RU"/>
              </w:rPr>
              <w:t>Не менее 1100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iCs/>
                <w:color w:val="000000"/>
                <w:sz w:val="24"/>
                <w:szCs w:val="24"/>
                <w:shd w:fill="auto" w:val="clear"/>
              </w:rPr>
            </w:pPr>
            <w:r>
              <w:rPr>
                <w:iCs/>
                <w:color w:val="000000"/>
                <w:sz w:val="24"/>
                <w:szCs w:val="24"/>
                <w:shd w:fill="auto" w:val="clear"/>
              </w:rPr>
              <w:t>Указание характеристик</w:t>
            </w:r>
          </w:p>
        </w:tc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23" w:hRule="atLeast"/>
        </w:trPr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4"/>
              <w:snapToGrid w:val="false"/>
              <w:ind w:hanging="0" w:left="0" w:righ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color w:val="000000"/>
                <w:sz w:val="24"/>
                <w:szCs w:val="24"/>
                <w:shd w:fill="auto" w:val="clear"/>
                <w:lang w:eastAsia="ru-RU"/>
              </w:rPr>
            </w:pPr>
            <w:r>
              <w:rPr>
                <w:color w:val="000000"/>
                <w:sz w:val="24"/>
                <w:szCs w:val="24"/>
                <w:shd w:fill="auto" w:val="clear"/>
                <w:lang w:eastAsia="ru-RU"/>
              </w:rPr>
              <w:t>Материал изготовления люльки</w:t>
            </w:r>
          </w:p>
        </w:tc>
        <w:tc>
          <w:tcPr>
            <w:tcW w:w="3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24"/>
                <w:szCs w:val="24"/>
                <w:shd w:fill="auto" w:val="clear"/>
                <w:lang w:eastAsia="ru-RU"/>
              </w:rPr>
            </w:pPr>
            <w:r>
              <w:rPr>
                <w:color w:val="000000"/>
                <w:sz w:val="24"/>
                <w:szCs w:val="24"/>
                <w:shd w:fill="auto" w:val="clear"/>
                <w:lang w:eastAsia="ru-RU"/>
              </w:rPr>
              <w:t>Сталь или алюминий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iCs/>
                <w:color w:val="000000"/>
                <w:sz w:val="24"/>
                <w:szCs w:val="24"/>
                <w:shd w:fill="auto" w:val="clear"/>
              </w:rPr>
            </w:pPr>
            <w:r>
              <w:rPr>
                <w:iCs/>
                <w:color w:val="000000"/>
                <w:sz w:val="24"/>
                <w:szCs w:val="24"/>
                <w:shd w:fill="auto" w:val="clear"/>
              </w:rPr>
              <w:t>Указание характеристик</w:t>
            </w:r>
          </w:p>
        </w:tc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iCs/>
                <w:color w:val="000000"/>
                <w:sz w:val="24"/>
                <w:szCs w:val="24"/>
              </w:rPr>
            </w:pPr>
            <w:r>
              <w:rPr>
                <w:iCs/>
                <w:color w:val="000000"/>
                <w:sz w:val="24"/>
                <w:szCs w:val="24"/>
              </w:rPr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iCs/>
                <w:color w:val="000000"/>
                <w:sz w:val="24"/>
                <w:szCs w:val="24"/>
              </w:rPr>
            </w:pPr>
            <w:r>
              <w:rPr>
                <w:iCs/>
                <w:color w:val="000000"/>
                <w:sz w:val="24"/>
                <w:szCs w:val="24"/>
              </w:rPr>
            </w:r>
          </w:p>
        </w:tc>
      </w:tr>
      <w:tr>
        <w:trPr>
          <w:trHeight w:val="23" w:hRule="atLeast"/>
        </w:trPr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4"/>
              <w:snapToGrid w:val="false"/>
              <w:ind w:hanging="0" w:left="0" w:right="0"/>
              <w:jc w:val="both"/>
              <w:rPr>
                <w:iCs/>
                <w:color w:val="000000"/>
                <w:sz w:val="24"/>
                <w:szCs w:val="24"/>
              </w:rPr>
            </w:pPr>
            <w:r>
              <w:rPr>
                <w:iCs/>
                <w:color w:val="000000"/>
                <w:sz w:val="24"/>
                <w:szCs w:val="24"/>
              </w:rPr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color w:val="000000"/>
                <w:sz w:val="24"/>
                <w:szCs w:val="24"/>
                <w:shd w:fill="auto" w:val="clear"/>
                <w:lang w:eastAsia="ru-RU"/>
              </w:rPr>
            </w:pPr>
            <w:r>
              <w:rPr>
                <w:color w:val="000000"/>
                <w:sz w:val="24"/>
                <w:szCs w:val="24"/>
                <w:shd w:fill="auto" w:val="clear"/>
                <w:lang w:eastAsia="ru-RU"/>
              </w:rPr>
              <w:t>Угол поворота стрелы, град.</w:t>
            </w:r>
          </w:p>
        </w:tc>
        <w:tc>
          <w:tcPr>
            <w:tcW w:w="3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4"/>
                <w:szCs w:val="24"/>
                <w:shd w:fill="auto" w:val="clear"/>
                <w:lang w:eastAsia="ru-RU"/>
              </w:rPr>
            </w:pPr>
            <w:r>
              <w:rPr>
                <w:color w:val="000000"/>
                <w:sz w:val="24"/>
                <w:szCs w:val="24"/>
                <w:shd w:fill="auto" w:val="clear"/>
                <w:lang w:eastAsia="ru-RU"/>
              </w:rPr>
              <w:t>360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Указание характеристик</w:t>
            </w:r>
          </w:p>
        </w:tc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23" w:hRule="atLeast"/>
        </w:trPr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4"/>
              <w:snapToGrid w:val="false"/>
              <w:ind w:hanging="0" w:left="0" w:righ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color w:val="000000"/>
                <w:sz w:val="24"/>
                <w:szCs w:val="24"/>
                <w:shd w:fill="auto" w:val="clear"/>
                <w:lang w:eastAsia="ru-RU"/>
              </w:rPr>
            </w:pPr>
            <w:r>
              <w:rPr>
                <w:color w:val="000000"/>
                <w:sz w:val="24"/>
                <w:szCs w:val="24"/>
                <w:shd w:fill="auto" w:val="clear"/>
                <w:lang w:eastAsia="ru-RU"/>
              </w:rPr>
              <w:t>Угол поворота люльки, град.</w:t>
            </w:r>
          </w:p>
        </w:tc>
        <w:tc>
          <w:tcPr>
            <w:tcW w:w="3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4"/>
                <w:szCs w:val="24"/>
                <w:shd w:fill="auto" w:val="clear"/>
                <w:lang w:eastAsia="ru-RU"/>
              </w:rPr>
            </w:pPr>
            <w:r>
              <w:rPr>
                <w:color w:val="000000"/>
                <w:sz w:val="24"/>
                <w:szCs w:val="24"/>
                <w:shd w:fill="auto" w:val="clear"/>
                <w:lang w:eastAsia="ru-RU"/>
              </w:rPr>
              <w:t>90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Указание характеристик</w:t>
            </w:r>
          </w:p>
        </w:tc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23" w:hRule="atLeast"/>
        </w:trPr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4"/>
              <w:snapToGrid w:val="false"/>
              <w:ind w:hanging="0" w:left="0" w:righ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color w:val="000000"/>
                <w:sz w:val="24"/>
                <w:szCs w:val="24"/>
                <w:shd w:fill="auto" w:val="clear"/>
                <w:lang w:eastAsia="ru-RU"/>
              </w:rPr>
            </w:pPr>
            <w:r>
              <w:rPr>
                <w:color w:val="000000"/>
                <w:sz w:val="24"/>
                <w:szCs w:val="24"/>
                <w:shd w:fill="auto" w:val="clear"/>
                <w:lang w:eastAsia="ru-RU"/>
              </w:rPr>
              <w:t>Расположение люльки</w:t>
            </w:r>
          </w:p>
        </w:tc>
        <w:tc>
          <w:tcPr>
            <w:tcW w:w="3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4"/>
                <w:szCs w:val="24"/>
                <w:shd w:fill="auto" w:val="clear"/>
                <w:lang w:eastAsia="ru-RU"/>
              </w:rPr>
            </w:pPr>
            <w:r>
              <w:rPr>
                <w:color w:val="000000"/>
                <w:sz w:val="24"/>
                <w:szCs w:val="24"/>
                <w:shd w:fill="auto" w:val="clear"/>
                <w:lang w:eastAsia="ru-RU"/>
              </w:rPr>
              <w:t>За кабиной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iCs/>
                <w:color w:val="000000"/>
                <w:sz w:val="24"/>
                <w:szCs w:val="24"/>
                <w:shd w:fill="auto" w:val="clear"/>
              </w:rPr>
            </w:pPr>
            <w:r>
              <w:rPr>
                <w:iCs/>
                <w:color w:val="000000"/>
                <w:sz w:val="24"/>
                <w:szCs w:val="24"/>
                <w:shd w:fill="auto" w:val="clear"/>
              </w:rPr>
              <w:t>Указание характеристик</w:t>
            </w:r>
          </w:p>
        </w:tc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23" w:hRule="atLeast"/>
        </w:trPr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4"/>
              <w:snapToGrid w:val="false"/>
              <w:ind w:hanging="0" w:left="0" w:righ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color w:val="000000"/>
                <w:sz w:val="24"/>
                <w:szCs w:val="24"/>
                <w:shd w:fill="auto" w:val="clear"/>
                <w:lang w:eastAsia="ru-RU"/>
              </w:rPr>
            </w:pPr>
            <w:r>
              <w:rPr>
                <w:color w:val="000000"/>
                <w:sz w:val="24"/>
                <w:szCs w:val="24"/>
                <w:shd w:fill="auto" w:val="clear"/>
                <w:lang w:eastAsia="ru-RU"/>
              </w:rPr>
              <w:t>Электроизоляция люльки, В</w:t>
            </w:r>
          </w:p>
        </w:tc>
        <w:tc>
          <w:tcPr>
            <w:tcW w:w="3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4"/>
                <w:szCs w:val="24"/>
                <w:shd w:fill="auto" w:val="clear"/>
                <w:lang w:eastAsia="ru-RU"/>
              </w:rPr>
            </w:pPr>
            <w:r>
              <w:rPr>
                <w:color w:val="000000"/>
                <w:sz w:val="24"/>
                <w:szCs w:val="24"/>
                <w:shd w:fill="auto" w:val="clear"/>
                <w:lang w:eastAsia="ru-RU"/>
              </w:rPr>
              <w:t>Не менее 1000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iCs/>
                <w:color w:val="000000"/>
                <w:sz w:val="24"/>
                <w:szCs w:val="24"/>
                <w:shd w:fill="auto" w:val="clear"/>
              </w:rPr>
            </w:pPr>
            <w:r>
              <w:rPr>
                <w:iCs/>
                <w:color w:val="000000"/>
                <w:sz w:val="24"/>
                <w:szCs w:val="24"/>
                <w:shd w:fill="auto" w:val="clear"/>
              </w:rPr>
              <w:t>Указание характеристик</w:t>
            </w:r>
          </w:p>
        </w:tc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23" w:hRule="atLeast"/>
        </w:trPr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4"/>
              <w:snapToGrid w:val="false"/>
              <w:ind w:hanging="0" w:left="0" w:righ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color w:val="000000"/>
                <w:sz w:val="24"/>
                <w:szCs w:val="24"/>
                <w:shd w:fill="auto" w:val="clear"/>
                <w:lang w:eastAsia="ru-RU"/>
              </w:rPr>
            </w:pPr>
            <w:r>
              <w:rPr>
                <w:color w:val="000000"/>
                <w:sz w:val="24"/>
                <w:szCs w:val="24"/>
                <w:shd w:fill="auto" w:val="clear"/>
                <w:lang w:eastAsia="ru-RU"/>
              </w:rPr>
              <w:t>Способ управления</w:t>
            </w:r>
          </w:p>
        </w:tc>
        <w:tc>
          <w:tcPr>
            <w:tcW w:w="3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4"/>
                <w:szCs w:val="24"/>
                <w:shd w:fill="auto" w:val="clear"/>
                <w:lang w:eastAsia="ru-RU"/>
              </w:rPr>
            </w:pPr>
            <w:r>
              <w:rPr>
                <w:color w:val="000000"/>
                <w:sz w:val="24"/>
                <w:szCs w:val="24"/>
                <w:shd w:fill="auto" w:val="clear"/>
                <w:lang w:eastAsia="ru-RU"/>
              </w:rPr>
              <w:t>Электрогидравлический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Согласие с требованием</w:t>
            </w:r>
          </w:p>
        </w:tc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i/>
                <w:i/>
                <w:iCs/>
                <w:color w:val="000000"/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  <w:t>-//-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i/>
                <w:i/>
                <w:iCs/>
                <w:color w:val="000000"/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  <w:t>-//-</w:t>
            </w:r>
          </w:p>
        </w:tc>
      </w:tr>
      <w:tr>
        <w:trPr>
          <w:trHeight w:val="23" w:hRule="atLeast"/>
        </w:trPr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4"/>
              <w:snapToGrid w:val="false"/>
              <w:ind w:hanging="0" w:left="0" w:righ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color w:val="000000"/>
                <w:sz w:val="24"/>
                <w:szCs w:val="24"/>
                <w:shd w:fill="auto" w:val="clear"/>
                <w:lang w:eastAsia="ru-RU"/>
              </w:rPr>
            </w:pPr>
            <w:r>
              <w:rPr>
                <w:color w:val="000000"/>
                <w:sz w:val="24"/>
                <w:szCs w:val="24"/>
                <w:shd w:fill="auto" w:val="clear"/>
                <w:lang w:eastAsia="ru-RU"/>
              </w:rPr>
              <w:t>Система безопасности</w:t>
            </w:r>
          </w:p>
        </w:tc>
        <w:tc>
          <w:tcPr>
            <w:tcW w:w="3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left"/>
              <w:rPr>
                <w:color w:val="000000"/>
                <w:sz w:val="24"/>
                <w:szCs w:val="24"/>
                <w:shd w:fill="auto" w:val="clear"/>
                <w:lang w:eastAsia="ru-RU"/>
              </w:rPr>
            </w:pPr>
            <w:r>
              <w:rPr>
                <w:color w:val="000000"/>
                <w:sz w:val="24"/>
                <w:szCs w:val="24"/>
                <w:shd w:fill="auto" w:val="clear"/>
                <w:lang w:eastAsia="ru-RU"/>
              </w:rPr>
              <w:t>Предохранительный клапан, балансировочный клапан аварийного выпадения стрелы, двойной балансировочный клапан выдвижения и сложения стрелы, двойной обратный клапан аварийного выдвижения и сложения опорного цилиндра, клапан аварийной остановки оборудования, отводной клапан рабочей системы (оборудование/аутригеры), аварийный насос, аварийные световые лампы, защитный датчик от опрокидывания, весовой тензодатчик, анемометр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Согласие с требованием</w:t>
            </w:r>
          </w:p>
        </w:tc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i/>
                <w:i/>
                <w:iCs/>
                <w:color w:val="000000"/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  <w:t>-//-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i/>
                <w:i/>
                <w:iCs/>
                <w:color w:val="000000"/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  <w:t>-//-</w:t>
            </w:r>
          </w:p>
        </w:tc>
      </w:tr>
      <w:tr>
        <w:trPr>
          <w:trHeight w:val="23" w:hRule="atLeast"/>
        </w:trPr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4"/>
              <w:snapToGrid w:val="false"/>
              <w:ind w:hanging="0" w:left="0" w:righ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color w:val="000000"/>
                <w:sz w:val="24"/>
                <w:szCs w:val="24"/>
                <w:shd w:fill="auto" w:val="clear"/>
                <w:lang w:eastAsia="ru-RU"/>
              </w:rPr>
            </w:pPr>
            <w:r>
              <w:rPr>
                <w:color w:val="000000"/>
                <w:sz w:val="24"/>
                <w:szCs w:val="24"/>
                <w:shd w:fill="auto" w:val="clear"/>
                <w:lang w:eastAsia="ru-RU"/>
              </w:rPr>
              <w:t>Комплектация</w:t>
            </w:r>
          </w:p>
        </w:tc>
        <w:tc>
          <w:tcPr>
            <w:tcW w:w="3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left"/>
              <w:rPr>
                <w:color w:val="000000"/>
                <w:sz w:val="24"/>
                <w:szCs w:val="24"/>
                <w:shd w:fill="auto" w:val="clear"/>
                <w:lang w:eastAsia="ru-RU"/>
              </w:rPr>
            </w:pPr>
            <w:r>
              <w:rPr>
                <w:color w:val="000000"/>
                <w:sz w:val="24"/>
                <w:szCs w:val="24"/>
                <w:shd w:fill="auto" w:val="clear"/>
                <w:lang w:eastAsia="ru-RU"/>
              </w:rPr>
              <w:t xml:space="preserve">● </w:t>
            </w:r>
            <w:r>
              <w:rPr>
                <w:color w:val="000000"/>
                <w:sz w:val="24"/>
                <w:szCs w:val="24"/>
                <w:shd w:fill="auto" w:val="clear"/>
                <w:lang w:eastAsia="ru-RU"/>
              </w:rPr>
              <w:t>Дистанционный пульт управления;</w:t>
            </w:r>
          </w:p>
          <w:p>
            <w:pPr>
              <w:pStyle w:val="Normal"/>
              <w:jc w:val="left"/>
              <w:rPr>
                <w:color w:val="000000"/>
                <w:sz w:val="24"/>
                <w:szCs w:val="24"/>
                <w:shd w:fill="auto" w:val="clear"/>
                <w:lang w:eastAsia="ru-RU"/>
              </w:rPr>
            </w:pPr>
            <w:r>
              <w:rPr>
                <w:color w:val="000000"/>
                <w:sz w:val="24"/>
                <w:szCs w:val="24"/>
                <w:shd w:fill="auto" w:val="clear"/>
                <w:lang w:eastAsia="ru-RU"/>
              </w:rPr>
              <w:t xml:space="preserve">● </w:t>
            </w:r>
            <w:r>
              <w:rPr>
                <w:color w:val="000000"/>
                <w:sz w:val="24"/>
                <w:szCs w:val="24"/>
                <w:shd w:fill="auto" w:val="clear"/>
                <w:lang w:eastAsia="ru-RU"/>
              </w:rPr>
              <w:t>Анемометр;</w:t>
            </w:r>
          </w:p>
          <w:p>
            <w:pPr>
              <w:pStyle w:val="Normal"/>
              <w:jc w:val="left"/>
              <w:rPr>
                <w:color w:val="000000"/>
                <w:sz w:val="24"/>
                <w:szCs w:val="24"/>
                <w:shd w:fill="auto" w:val="clear"/>
                <w:lang w:eastAsia="ru-RU"/>
              </w:rPr>
            </w:pPr>
            <w:r>
              <w:rPr>
                <w:color w:val="000000"/>
                <w:sz w:val="24"/>
                <w:szCs w:val="24"/>
                <w:shd w:fill="auto" w:val="clear"/>
                <w:lang w:eastAsia="ru-RU"/>
              </w:rPr>
              <w:t xml:space="preserve">● </w:t>
            </w:r>
            <w:r>
              <w:rPr>
                <w:color w:val="000000"/>
                <w:sz w:val="24"/>
                <w:szCs w:val="24"/>
                <w:shd w:fill="auto" w:val="clear"/>
                <w:lang w:eastAsia="ru-RU"/>
              </w:rPr>
              <w:t>Изоляция рабочей платформы не менее 1000 В;</w:t>
            </w:r>
          </w:p>
          <w:p>
            <w:pPr>
              <w:pStyle w:val="Normal"/>
              <w:jc w:val="left"/>
              <w:rPr>
                <w:color w:val="000000"/>
                <w:sz w:val="24"/>
                <w:szCs w:val="24"/>
                <w:shd w:fill="auto" w:val="clear"/>
                <w:lang w:eastAsia="ru-RU"/>
              </w:rPr>
            </w:pPr>
            <w:r>
              <w:rPr>
                <w:color w:val="000000"/>
                <w:sz w:val="24"/>
                <w:szCs w:val="24"/>
                <w:shd w:fill="auto" w:val="clear"/>
                <w:lang w:eastAsia="ru-RU"/>
              </w:rPr>
              <w:t xml:space="preserve">● </w:t>
            </w:r>
            <w:r>
              <w:rPr>
                <w:color w:val="000000"/>
                <w:sz w:val="24"/>
                <w:szCs w:val="24"/>
                <w:shd w:fill="auto" w:val="clear"/>
                <w:lang w:eastAsia="ru-RU"/>
              </w:rPr>
              <w:t>Система аварийной остановки двигателя с возможностью управления из рабочей платформы и с пульта оператора;</w:t>
            </w:r>
          </w:p>
          <w:p>
            <w:pPr>
              <w:pStyle w:val="Normal"/>
              <w:jc w:val="left"/>
              <w:rPr>
                <w:color w:val="000000"/>
                <w:sz w:val="24"/>
                <w:szCs w:val="24"/>
                <w:shd w:fill="auto" w:val="clear"/>
                <w:lang w:eastAsia="ru-RU"/>
              </w:rPr>
            </w:pPr>
            <w:r>
              <w:rPr>
                <w:color w:val="000000"/>
                <w:sz w:val="24"/>
                <w:szCs w:val="24"/>
                <w:shd w:fill="auto" w:val="clear"/>
                <w:lang w:eastAsia="ru-RU"/>
              </w:rPr>
              <w:t xml:space="preserve">● </w:t>
            </w:r>
            <w:r>
              <w:rPr>
                <w:color w:val="000000"/>
                <w:sz w:val="24"/>
                <w:szCs w:val="24"/>
                <w:shd w:fill="auto" w:val="clear"/>
                <w:lang w:eastAsia="ru-RU"/>
              </w:rPr>
              <w:t>Ограничитель зоны обслуживания;</w:t>
            </w:r>
          </w:p>
          <w:p>
            <w:pPr>
              <w:pStyle w:val="Normal"/>
              <w:jc w:val="left"/>
              <w:rPr>
                <w:color w:val="000000"/>
                <w:sz w:val="24"/>
                <w:szCs w:val="24"/>
                <w:shd w:fill="auto" w:val="clear"/>
                <w:lang w:eastAsia="ru-RU"/>
              </w:rPr>
            </w:pPr>
            <w:r>
              <w:rPr>
                <w:color w:val="000000"/>
                <w:sz w:val="24"/>
                <w:szCs w:val="24"/>
                <w:shd w:fill="auto" w:val="clear"/>
                <w:lang w:eastAsia="ru-RU"/>
              </w:rPr>
              <w:t xml:space="preserve">● </w:t>
            </w:r>
            <w:r>
              <w:rPr>
                <w:color w:val="000000"/>
                <w:sz w:val="24"/>
                <w:szCs w:val="24"/>
                <w:shd w:fill="auto" w:val="clear"/>
                <w:lang w:eastAsia="ru-RU"/>
              </w:rPr>
              <w:t>Ограничитель максимального груза в рабочей платформы (тензодатчик);</w:t>
            </w:r>
          </w:p>
          <w:p>
            <w:pPr>
              <w:pStyle w:val="Normal"/>
              <w:jc w:val="left"/>
              <w:rPr>
                <w:color w:val="000000"/>
                <w:sz w:val="24"/>
                <w:szCs w:val="24"/>
                <w:shd w:fill="auto" w:val="clear"/>
                <w:lang w:eastAsia="ru-RU"/>
              </w:rPr>
            </w:pPr>
            <w:r>
              <w:rPr>
                <w:color w:val="000000"/>
                <w:sz w:val="24"/>
                <w:szCs w:val="24"/>
                <w:shd w:fill="auto" w:val="clear"/>
                <w:lang w:eastAsia="ru-RU"/>
              </w:rPr>
              <w:t xml:space="preserve">● </w:t>
            </w:r>
            <w:r>
              <w:rPr>
                <w:color w:val="000000"/>
                <w:sz w:val="24"/>
                <w:szCs w:val="24"/>
                <w:shd w:fill="auto" w:val="clear"/>
                <w:lang w:eastAsia="ru-RU"/>
              </w:rPr>
              <w:t>Механизм блокировки стрелы при выходе из безопасной зоны обслуживания;</w:t>
            </w:r>
          </w:p>
          <w:p>
            <w:pPr>
              <w:pStyle w:val="Normal"/>
              <w:jc w:val="left"/>
              <w:rPr>
                <w:color w:val="000000"/>
                <w:sz w:val="24"/>
                <w:szCs w:val="24"/>
                <w:shd w:fill="auto" w:val="clear"/>
                <w:lang w:eastAsia="ru-RU"/>
              </w:rPr>
            </w:pPr>
            <w:r>
              <w:rPr>
                <w:color w:val="000000"/>
                <w:sz w:val="24"/>
                <w:szCs w:val="24"/>
                <w:shd w:fill="auto" w:val="clear"/>
                <w:lang w:eastAsia="ru-RU"/>
              </w:rPr>
              <w:t xml:space="preserve">● </w:t>
            </w:r>
            <w:r>
              <w:rPr>
                <w:color w:val="000000"/>
                <w:sz w:val="24"/>
                <w:szCs w:val="24"/>
                <w:shd w:fill="auto" w:val="clear"/>
                <w:lang w:eastAsia="ru-RU"/>
              </w:rPr>
              <w:t>Блокировка работы стрелы до момента установки автогидроподъемника на выносные опоры;</w:t>
            </w:r>
          </w:p>
          <w:p>
            <w:pPr>
              <w:pStyle w:val="Normal"/>
              <w:jc w:val="left"/>
              <w:rPr>
                <w:color w:val="000000"/>
                <w:sz w:val="24"/>
                <w:szCs w:val="24"/>
                <w:shd w:fill="auto" w:val="clear"/>
                <w:lang w:eastAsia="ru-RU"/>
              </w:rPr>
            </w:pPr>
            <w:r>
              <w:rPr>
                <w:color w:val="000000"/>
                <w:sz w:val="24"/>
                <w:szCs w:val="24"/>
                <w:shd w:fill="auto" w:val="clear"/>
                <w:lang w:eastAsia="ru-RU"/>
              </w:rPr>
              <w:t xml:space="preserve">● </w:t>
            </w:r>
            <w:r>
              <w:rPr>
                <w:color w:val="000000"/>
                <w:sz w:val="24"/>
                <w:szCs w:val="24"/>
                <w:shd w:fill="auto" w:val="clear"/>
                <w:lang w:eastAsia="ru-RU"/>
              </w:rPr>
              <w:t>Блокировка подъема опор при рабочем положении стрелы;</w:t>
            </w:r>
          </w:p>
          <w:p>
            <w:pPr>
              <w:pStyle w:val="Normal"/>
              <w:jc w:val="left"/>
              <w:rPr>
                <w:color w:val="000000"/>
                <w:sz w:val="24"/>
                <w:szCs w:val="24"/>
                <w:shd w:fill="auto" w:val="clear"/>
                <w:lang w:eastAsia="ru-RU"/>
              </w:rPr>
            </w:pPr>
            <w:r>
              <w:rPr>
                <w:color w:val="000000"/>
                <w:sz w:val="24"/>
                <w:szCs w:val="24"/>
                <w:shd w:fill="auto" w:val="clear"/>
                <w:lang w:eastAsia="ru-RU"/>
              </w:rPr>
              <w:t xml:space="preserve">● </w:t>
            </w:r>
            <w:r>
              <w:rPr>
                <w:color w:val="000000"/>
                <w:sz w:val="24"/>
                <w:szCs w:val="24"/>
                <w:shd w:fill="auto" w:val="clear"/>
                <w:lang w:eastAsia="ru-RU"/>
              </w:rPr>
              <w:t>Аварийный режим складывания (электрический гидронасос);</w:t>
            </w:r>
          </w:p>
          <w:p>
            <w:pPr>
              <w:pStyle w:val="Normal"/>
              <w:jc w:val="left"/>
              <w:rPr>
                <w:color w:val="000000"/>
                <w:sz w:val="24"/>
                <w:szCs w:val="24"/>
                <w:shd w:fill="auto" w:val="clear"/>
                <w:lang w:eastAsia="ru-RU"/>
              </w:rPr>
            </w:pPr>
            <w:r>
              <w:rPr>
                <w:color w:val="000000"/>
                <w:sz w:val="24"/>
                <w:szCs w:val="24"/>
                <w:shd w:fill="auto" w:val="clear"/>
                <w:lang w:eastAsia="ru-RU"/>
              </w:rPr>
              <w:t xml:space="preserve">● </w:t>
            </w:r>
            <w:r>
              <w:rPr>
                <w:color w:val="000000"/>
                <w:sz w:val="24"/>
                <w:szCs w:val="24"/>
                <w:shd w:fill="auto" w:val="clear"/>
                <w:lang w:eastAsia="ru-RU"/>
              </w:rPr>
              <w:t>Платформа подъёмника покрыта рифлёным нескользящим листом;</w:t>
            </w:r>
          </w:p>
          <w:p>
            <w:pPr>
              <w:pStyle w:val="Normal"/>
              <w:jc w:val="left"/>
              <w:rPr>
                <w:color w:val="000000"/>
                <w:sz w:val="24"/>
                <w:szCs w:val="24"/>
                <w:shd w:fill="auto" w:val="clear"/>
                <w:lang w:eastAsia="ru-RU"/>
              </w:rPr>
            </w:pPr>
            <w:r>
              <w:rPr>
                <w:color w:val="000000"/>
                <w:sz w:val="24"/>
                <w:szCs w:val="24"/>
                <w:shd w:fill="auto" w:val="clear"/>
                <w:lang w:eastAsia="ru-RU"/>
              </w:rPr>
              <w:t xml:space="preserve">● </w:t>
            </w:r>
            <w:r>
              <w:rPr>
                <w:color w:val="000000"/>
                <w:sz w:val="24"/>
                <w:szCs w:val="24"/>
                <w:shd w:fill="auto" w:val="clear"/>
                <w:lang w:eastAsia="ru-RU"/>
              </w:rPr>
              <w:t>Гидрозамки запирания рабочей жидкости в полостях гидроцилиндров;</w:t>
            </w:r>
          </w:p>
          <w:p>
            <w:pPr>
              <w:pStyle w:val="Normal"/>
              <w:jc w:val="left"/>
              <w:rPr>
                <w:color w:val="000000"/>
                <w:sz w:val="24"/>
                <w:szCs w:val="24"/>
                <w:shd w:fill="auto" w:val="clear"/>
                <w:lang w:eastAsia="ru-RU"/>
              </w:rPr>
            </w:pPr>
            <w:r>
              <w:rPr>
                <w:color w:val="000000"/>
                <w:sz w:val="24"/>
                <w:szCs w:val="24"/>
                <w:shd w:fill="auto" w:val="clear"/>
                <w:lang w:eastAsia="ru-RU"/>
              </w:rPr>
              <w:t xml:space="preserve">● </w:t>
            </w:r>
            <w:r>
              <w:rPr>
                <w:color w:val="000000"/>
                <w:sz w:val="24"/>
                <w:szCs w:val="24"/>
                <w:shd w:fill="auto" w:val="clear"/>
                <w:lang w:eastAsia="ru-RU"/>
              </w:rPr>
              <w:t>Подача предупредительных звуковых сигналов;</w:t>
            </w:r>
          </w:p>
          <w:p>
            <w:pPr>
              <w:pStyle w:val="Normal"/>
              <w:jc w:val="left"/>
              <w:rPr>
                <w:color w:val="000000"/>
                <w:sz w:val="24"/>
                <w:szCs w:val="24"/>
                <w:shd w:fill="auto" w:val="clear"/>
                <w:lang w:eastAsia="ru-RU"/>
              </w:rPr>
            </w:pPr>
            <w:r>
              <w:rPr>
                <w:color w:val="000000"/>
                <w:sz w:val="24"/>
                <w:szCs w:val="24"/>
                <w:shd w:fill="auto" w:val="clear"/>
                <w:lang w:eastAsia="ru-RU"/>
              </w:rPr>
              <w:t xml:space="preserve">● </w:t>
            </w:r>
            <w:r>
              <w:rPr>
                <w:color w:val="000000"/>
                <w:sz w:val="24"/>
                <w:szCs w:val="24"/>
                <w:shd w:fill="auto" w:val="clear"/>
                <w:lang w:eastAsia="ru-RU"/>
              </w:rPr>
              <w:t>Автоматическая система выравнивания горизонтального положения рабочей платформы;</w:t>
            </w:r>
          </w:p>
          <w:p>
            <w:pPr>
              <w:pStyle w:val="Normal"/>
              <w:jc w:val="left"/>
              <w:rPr>
                <w:color w:val="000000"/>
                <w:sz w:val="24"/>
                <w:szCs w:val="24"/>
                <w:shd w:fill="auto" w:val="clear"/>
                <w:lang w:eastAsia="ru-RU"/>
              </w:rPr>
            </w:pPr>
            <w:r>
              <w:rPr>
                <w:color w:val="000000"/>
                <w:sz w:val="24"/>
                <w:szCs w:val="24"/>
                <w:shd w:fill="auto" w:val="clear"/>
                <w:lang w:eastAsia="ru-RU"/>
              </w:rPr>
              <w:t xml:space="preserve">● </w:t>
            </w:r>
            <w:r>
              <w:rPr>
                <w:color w:val="000000"/>
                <w:sz w:val="24"/>
                <w:szCs w:val="24"/>
                <w:shd w:fill="auto" w:val="clear"/>
                <w:lang w:eastAsia="ru-RU"/>
              </w:rPr>
              <w:t>Система управления оборотов двигателя в ПДУ и поста управления;</w:t>
            </w:r>
          </w:p>
          <w:p>
            <w:pPr>
              <w:pStyle w:val="Normal"/>
              <w:jc w:val="left"/>
              <w:rPr>
                <w:color w:val="000000"/>
                <w:sz w:val="24"/>
                <w:szCs w:val="24"/>
                <w:shd w:fill="auto" w:val="clear"/>
                <w:lang w:eastAsia="ru-RU"/>
              </w:rPr>
            </w:pPr>
            <w:r>
              <w:rPr>
                <w:color w:val="000000"/>
                <w:sz w:val="24"/>
                <w:szCs w:val="24"/>
                <w:shd w:fill="auto" w:val="clear"/>
                <w:lang w:eastAsia="ru-RU"/>
              </w:rPr>
              <w:t xml:space="preserve">● </w:t>
            </w:r>
            <w:r>
              <w:rPr>
                <w:color w:val="000000"/>
                <w:sz w:val="24"/>
                <w:szCs w:val="24"/>
                <w:shd w:fill="auto" w:val="clear"/>
                <w:lang w:eastAsia="ru-RU"/>
              </w:rPr>
              <w:t>Система управления СТАРТ/СТОП двигателя с ПДУ и поста управления;</w:t>
            </w:r>
          </w:p>
          <w:p>
            <w:pPr>
              <w:pStyle w:val="Normal"/>
              <w:jc w:val="left"/>
              <w:rPr>
                <w:color w:val="000000"/>
                <w:sz w:val="24"/>
                <w:szCs w:val="24"/>
                <w:shd w:fill="auto" w:val="clear"/>
                <w:lang w:eastAsia="ru-RU"/>
              </w:rPr>
            </w:pPr>
            <w:r>
              <w:rPr>
                <w:color w:val="000000"/>
                <w:sz w:val="24"/>
                <w:szCs w:val="24"/>
                <w:shd w:fill="auto" w:val="clear"/>
                <w:lang w:eastAsia="ru-RU"/>
              </w:rPr>
              <w:t xml:space="preserve">● </w:t>
            </w:r>
            <w:r>
              <w:rPr>
                <w:color w:val="000000"/>
                <w:sz w:val="24"/>
                <w:szCs w:val="24"/>
                <w:shd w:fill="auto" w:val="clear"/>
                <w:lang w:eastAsia="ru-RU"/>
              </w:rPr>
              <w:t>Проблесковые рабочие огни;</w:t>
            </w:r>
          </w:p>
          <w:p>
            <w:pPr>
              <w:pStyle w:val="Normal"/>
              <w:jc w:val="left"/>
              <w:rPr>
                <w:color w:val="000000"/>
                <w:sz w:val="24"/>
                <w:szCs w:val="24"/>
                <w:shd w:fill="auto" w:val="clear"/>
                <w:lang w:eastAsia="ru-RU"/>
              </w:rPr>
            </w:pPr>
            <w:r>
              <w:rPr>
                <w:color w:val="000000"/>
                <w:sz w:val="24"/>
                <w:szCs w:val="24"/>
                <w:shd w:fill="auto" w:val="clear"/>
                <w:lang w:eastAsia="ru-RU"/>
              </w:rPr>
              <w:t xml:space="preserve">● </w:t>
            </w:r>
            <w:r>
              <w:rPr>
                <w:color w:val="000000"/>
                <w:sz w:val="24"/>
                <w:szCs w:val="24"/>
                <w:shd w:fill="auto" w:val="clear"/>
                <w:lang w:eastAsia="ru-RU"/>
              </w:rPr>
              <w:t>Система охлаждения гидравлического масла;</w:t>
            </w:r>
          </w:p>
          <w:p>
            <w:pPr>
              <w:pStyle w:val="Normal"/>
              <w:jc w:val="left"/>
              <w:rPr>
                <w:color w:val="000000"/>
                <w:sz w:val="24"/>
                <w:szCs w:val="24"/>
                <w:shd w:fill="auto" w:val="clear"/>
                <w:lang w:eastAsia="ru-RU"/>
              </w:rPr>
            </w:pPr>
            <w:r>
              <w:rPr>
                <w:color w:val="000000"/>
                <w:sz w:val="24"/>
                <w:szCs w:val="24"/>
                <w:shd w:fill="auto" w:val="clear"/>
                <w:lang w:eastAsia="ru-RU"/>
              </w:rPr>
              <w:t xml:space="preserve">● </w:t>
            </w:r>
            <w:r>
              <w:rPr>
                <w:color w:val="000000"/>
                <w:sz w:val="24"/>
                <w:szCs w:val="24"/>
                <w:shd w:fill="auto" w:val="clear"/>
                <w:lang w:eastAsia="ru-RU"/>
              </w:rPr>
              <w:t>Розетка 220в на рабочей платформе;</w:t>
            </w:r>
          </w:p>
          <w:p>
            <w:pPr>
              <w:pStyle w:val="Normal"/>
              <w:jc w:val="left"/>
              <w:rPr>
                <w:color w:val="000000"/>
                <w:sz w:val="24"/>
                <w:szCs w:val="24"/>
                <w:shd w:fill="auto" w:val="clear"/>
                <w:lang w:eastAsia="ru-RU"/>
              </w:rPr>
            </w:pPr>
            <w:r>
              <w:rPr>
                <w:color w:val="000000"/>
                <w:sz w:val="24"/>
                <w:szCs w:val="24"/>
                <w:shd w:fill="auto" w:val="clear"/>
                <w:lang w:eastAsia="ru-RU"/>
              </w:rPr>
              <w:t xml:space="preserve">● </w:t>
            </w:r>
            <w:r>
              <w:rPr>
                <w:color w:val="000000"/>
                <w:sz w:val="24"/>
                <w:szCs w:val="24"/>
                <w:shd w:fill="auto" w:val="clear"/>
                <w:lang w:eastAsia="ru-RU"/>
              </w:rPr>
              <w:t>Перила рабочей платформы облицованы малотеплопроводным материалом;</w:t>
            </w:r>
          </w:p>
          <w:p>
            <w:pPr>
              <w:pStyle w:val="Normal"/>
              <w:jc w:val="left"/>
              <w:rPr>
                <w:color w:val="000000"/>
                <w:sz w:val="24"/>
                <w:szCs w:val="24"/>
                <w:shd w:fill="auto" w:val="clear"/>
                <w:lang w:eastAsia="ru-RU"/>
              </w:rPr>
            </w:pPr>
            <w:r>
              <w:rPr>
                <w:color w:val="000000"/>
                <w:sz w:val="24"/>
                <w:szCs w:val="24"/>
                <w:shd w:fill="auto" w:val="clear"/>
                <w:lang w:eastAsia="ru-RU"/>
              </w:rPr>
              <w:t xml:space="preserve">● </w:t>
            </w:r>
            <w:r>
              <w:rPr>
                <w:color w:val="000000"/>
                <w:sz w:val="24"/>
                <w:szCs w:val="24"/>
                <w:shd w:fill="auto" w:val="clear"/>
                <w:lang w:eastAsia="ru-RU"/>
              </w:rPr>
              <w:t>Все рабочие поверхности облицованы алюминием</w:t>
            </w:r>
          </w:p>
          <w:p>
            <w:pPr>
              <w:pStyle w:val="Normal"/>
              <w:jc w:val="left"/>
              <w:rPr/>
            </w:pPr>
            <w:r>
              <w:rPr>
                <w:color w:val="000000"/>
                <w:sz w:val="24"/>
                <w:szCs w:val="24"/>
                <w:shd w:fill="auto" w:val="clear"/>
                <w:lang w:eastAsia="ru-RU"/>
              </w:rPr>
              <w:t xml:space="preserve">● </w:t>
            </w:r>
            <w:r>
              <w:rPr>
                <w:color w:val="000000"/>
                <w:sz w:val="24"/>
                <w:szCs w:val="24"/>
                <w:shd w:fill="auto" w:val="clear"/>
                <w:lang w:eastAsia="ru-RU"/>
              </w:rPr>
              <w:t>Система подогрева масляного бака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Согласие с требованием</w:t>
            </w:r>
          </w:p>
        </w:tc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i/>
                <w:i/>
                <w:iCs/>
                <w:color w:val="000000"/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  <w:t>-//-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i/>
                <w:i/>
                <w:iCs/>
                <w:color w:val="000000"/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  <w:t>-//-</w:t>
            </w:r>
          </w:p>
        </w:tc>
      </w:tr>
      <w:tr>
        <w:trPr>
          <w:trHeight w:val="23" w:hRule="atLeast"/>
        </w:trPr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4"/>
              <w:ind w:hanging="0" w:left="0" w:right="0"/>
              <w:jc w:val="both"/>
              <w:rPr/>
            </w:pPr>
            <w:r>
              <w:rPr/>
              <w:t>1.9.</w:t>
            </w:r>
          </w:p>
        </w:tc>
        <w:tc>
          <w:tcPr>
            <w:tcW w:w="87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b/>
                <w:sz w:val="24"/>
                <w:szCs w:val="22"/>
              </w:rPr>
            </w:pPr>
            <w:r>
              <w:rPr>
                <w:b/>
                <w:sz w:val="24"/>
                <w:szCs w:val="22"/>
              </w:rPr>
              <w:t>Кабина</w:t>
            </w:r>
          </w:p>
        </w:tc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i/>
                <w:i/>
                <w:iCs/>
                <w:color w:val="000000"/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  <w:t>-//-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i/>
                <w:i/>
                <w:iCs/>
                <w:color w:val="000000"/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  <w:t>-//-</w:t>
            </w:r>
          </w:p>
        </w:tc>
      </w:tr>
      <w:tr>
        <w:trPr>
          <w:trHeight w:val="23" w:hRule="atLeast"/>
        </w:trPr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4"/>
              <w:snapToGrid w:val="false"/>
              <w:ind w:hanging="0" w:left="0" w:right="0"/>
              <w:jc w:val="both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Расположение</w:t>
            </w:r>
          </w:p>
        </w:tc>
        <w:tc>
          <w:tcPr>
            <w:tcW w:w="3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color w:val="000000"/>
                <w:sz w:val="24"/>
                <w:szCs w:val="24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Над двигателем цельнометаллическая, двухдверная, откидывающаяся вперед, без спального места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i/>
                <w:i/>
                <w:iCs/>
                <w:color w:val="000000"/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  <w:t>-//-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i/>
                <w:i/>
                <w:iCs/>
                <w:color w:val="000000"/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  <w:t>-//-</w:t>
            </w:r>
          </w:p>
        </w:tc>
      </w:tr>
      <w:tr>
        <w:trPr>
          <w:trHeight w:val="23" w:hRule="atLeast"/>
        </w:trPr>
        <w:tc>
          <w:tcPr>
            <w:tcW w:w="10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4"/>
              <w:snapToGrid w:val="false"/>
              <w:ind w:hanging="0" w:left="0" w:right="0"/>
              <w:jc w:val="both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32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Количество мест в кабине</w:t>
            </w:r>
          </w:p>
        </w:tc>
        <w:tc>
          <w:tcPr>
            <w:tcW w:w="30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color w:val="000000"/>
                <w:sz w:val="24"/>
                <w:szCs w:val="24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Не менее двух включая водителя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iCs/>
                <w:color w:val="000000"/>
                <w:sz w:val="24"/>
                <w:szCs w:val="24"/>
                <w:shd w:fill="auto" w:val="clear"/>
              </w:rPr>
            </w:pPr>
            <w:r>
              <w:rPr>
                <w:iCs/>
                <w:color w:val="000000"/>
                <w:sz w:val="24"/>
                <w:szCs w:val="24"/>
                <w:shd w:fill="auto" w:val="clear"/>
              </w:rPr>
              <w:t>Указание характеристик</w:t>
            </w:r>
          </w:p>
        </w:tc>
        <w:tc>
          <w:tcPr>
            <w:tcW w:w="30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i/>
                <w:i/>
                <w:iCs/>
                <w:color w:val="000000"/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</w:r>
          </w:p>
        </w:tc>
        <w:tc>
          <w:tcPr>
            <w:tcW w:w="19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i/>
                <w:i/>
                <w:iCs/>
                <w:color w:val="000000"/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</w:r>
          </w:p>
        </w:tc>
      </w:tr>
      <w:tr>
        <w:trPr>
          <w:trHeight w:val="23" w:hRule="atLeast"/>
        </w:trPr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4"/>
              <w:snapToGrid w:val="false"/>
              <w:ind w:hanging="0" w:left="0" w:right="0"/>
              <w:jc w:val="both"/>
              <w:rPr>
                <w:i/>
                <w:i/>
                <w:iCs/>
                <w:color w:val="000000"/>
                <w:sz w:val="24"/>
                <w:szCs w:val="22"/>
              </w:rPr>
            </w:pPr>
            <w:r>
              <w:rPr>
                <w:i/>
                <w:iCs/>
                <w:color w:val="000000"/>
                <w:sz w:val="24"/>
                <w:szCs w:val="22"/>
              </w:rPr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Система мониторинга</w:t>
            </w:r>
          </w:p>
        </w:tc>
        <w:tc>
          <w:tcPr>
            <w:tcW w:w="3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УВЭОС «Эра-Глонасс»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i/>
                <w:i/>
                <w:iCs/>
                <w:color w:val="000000"/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  <w:t>-//-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i/>
                <w:i/>
                <w:iCs/>
                <w:color w:val="000000"/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  <w:t>-//-</w:t>
            </w:r>
          </w:p>
        </w:tc>
      </w:tr>
      <w:tr>
        <w:trPr>
          <w:trHeight w:val="23" w:hRule="atLeast"/>
        </w:trPr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4"/>
              <w:numPr>
                <w:ilvl w:val="0"/>
                <w:numId w:val="9"/>
              </w:numPr>
              <w:snapToGrid w:val="false"/>
              <w:ind w:hanging="0" w:left="0" w:right="0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</w:r>
          </w:p>
        </w:tc>
        <w:tc>
          <w:tcPr>
            <w:tcW w:w="87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безопасности</w:t>
            </w:r>
          </w:p>
        </w:tc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i/>
                <w:i/>
                <w:iCs/>
                <w:color w:val="000000"/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i/>
                <w:i/>
                <w:iCs/>
                <w:color w:val="000000"/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</w:r>
          </w:p>
        </w:tc>
      </w:tr>
      <w:tr>
        <w:trPr>
          <w:trHeight w:val="23" w:hRule="atLeast"/>
        </w:trPr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47"/>
              <w:snapToGrid w:val="false"/>
              <w:spacing w:before="120" w:after="0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2.1.</w:t>
            </w:r>
          </w:p>
        </w:tc>
        <w:tc>
          <w:tcPr>
            <w:tcW w:w="63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4"/>
              <w:tabs>
                <w:tab w:val="clear" w:pos="708"/>
                <w:tab w:val="left" w:pos="317" w:leader="none"/>
              </w:tabs>
              <w:ind w:hanging="0" w:left="0" w:right="0"/>
              <w:rPr/>
            </w:pPr>
            <w:r>
              <w:rPr/>
              <w:t>Поставляемая продукция должна соответствовать требованиям ТР ТС 010/2011 «О безопасности машин и оборудования», утвержденного Решением Комиссии Таможенного союза от 18 октября 2011 года N 823 (в действующей редакции) и иметь действующий сертификат соответствия (ОТТС), выданный органом сертификации Российской Федерации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Предоставление действующего сертификата/декларации в соответствии с требованиями  ТР ТС 010/2011 «О безопасности машин и оборудования» и действующий сертификат соответствия (ОТТС)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iCs/>
                <w:color w:val="FF0000"/>
                <w:sz w:val="24"/>
                <w:szCs w:val="24"/>
              </w:rPr>
            </w:pPr>
            <w:r>
              <w:rPr>
                <w:iCs/>
                <w:color w:val="FF0000"/>
                <w:sz w:val="24"/>
                <w:szCs w:val="24"/>
              </w:rPr>
            </w:r>
          </w:p>
        </w:tc>
      </w:tr>
      <w:tr>
        <w:trPr>
          <w:trHeight w:val="23" w:hRule="atLeast"/>
        </w:trPr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47"/>
              <w:snapToGrid w:val="false"/>
              <w:spacing w:before="120" w:after="0"/>
              <w:rPr>
                <w:rFonts w:cs="Times New Roman"/>
                <w:iCs/>
                <w:sz w:val="24"/>
              </w:rPr>
            </w:pPr>
            <w:r>
              <w:rPr>
                <w:rFonts w:cs="Times New Roman"/>
                <w:iCs/>
                <w:sz w:val="24"/>
              </w:rPr>
              <w:t>2.2.</w:t>
            </w:r>
          </w:p>
        </w:tc>
        <w:tc>
          <w:tcPr>
            <w:tcW w:w="63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HTML1"/>
              <w:tabs>
                <w:tab w:val="clear" w:pos="916"/>
                <w:tab w:val="left" w:pos="709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jc w:val="both"/>
              <w:rPr/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 xml:space="preserve">Габаритные и весовые характеристики поставляемой продукции должны соответствовать требованиям Приложения № 5 ТР ТС 018/2011 «О безопасности колесных транспортных средств», утвержденного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Решением Комиссии Таможенного союза от 09.12.2011 N 877 (в действующей редакции).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iCs/>
                <w:color w:val="000000"/>
                <w:sz w:val="24"/>
                <w:szCs w:val="24"/>
              </w:rPr>
            </w:pPr>
            <w:r>
              <w:rPr>
                <w:iCs/>
                <w:color w:val="000000"/>
                <w:sz w:val="24"/>
                <w:szCs w:val="24"/>
              </w:rPr>
              <w:t>Предоставление в составе заявки к</w:t>
            </w:r>
            <w:r>
              <w:rPr>
                <w:rStyle w:val="Emphasis"/>
                <w:i w:val="false"/>
                <w:color w:val="000000"/>
                <w:sz w:val="24"/>
                <w:szCs w:val="24"/>
                <w:lang w:val="ru-RU"/>
              </w:rPr>
              <w:t xml:space="preserve">опии действующего сертификата/декларации соответствия, выданного органом сертификации Российской Федерации со всеми приложениями в формате PortableDocumentFormat (*.pdf), в соответствии с Техническим регламентом Таможенного Союза </w:t>
            </w:r>
            <w:r>
              <w:rPr>
                <w:rStyle w:val="Emphasis"/>
                <w:rFonts w:cs="Times New Roman"/>
                <w:i w:val="false"/>
                <w:color w:val="000000"/>
                <w:sz w:val="24"/>
                <w:szCs w:val="24"/>
                <w:lang w:val="ru-RU"/>
              </w:rPr>
              <w:t>ТР ТС 018/2011 «О безопасности колесных транспортных средств».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iCs/>
                <w:color w:val="FF0000"/>
                <w:sz w:val="24"/>
                <w:szCs w:val="24"/>
              </w:rPr>
            </w:pPr>
            <w:r>
              <w:rPr>
                <w:iCs/>
                <w:color w:val="FF0000"/>
                <w:sz w:val="24"/>
                <w:szCs w:val="24"/>
              </w:rPr>
            </w:r>
          </w:p>
        </w:tc>
      </w:tr>
      <w:tr>
        <w:trPr>
          <w:trHeight w:val="23" w:hRule="atLeast"/>
        </w:trPr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4"/>
              <w:numPr>
                <w:ilvl w:val="0"/>
                <w:numId w:val="0"/>
              </w:numPr>
              <w:snapToGrid w:val="false"/>
              <w:ind w:hanging="0" w:left="360" w:right="1167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87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Требование к конструкции, изготовлению и материалам</w:t>
            </w:r>
          </w:p>
        </w:tc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i/>
                <w:i/>
                <w:iCs/>
                <w:color w:val="000000"/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  <w:t>-//-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i/>
                <w:i/>
                <w:iCs/>
                <w:color w:val="000000"/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  <w:t>-//-</w:t>
            </w:r>
          </w:p>
        </w:tc>
      </w:tr>
      <w:tr>
        <w:trPr>
          <w:trHeight w:val="23" w:hRule="atLeast"/>
        </w:trPr>
        <w:tc>
          <w:tcPr>
            <w:tcW w:w="10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4"/>
              <w:numPr>
                <w:ilvl w:val="1"/>
                <w:numId w:val="8"/>
              </w:numPr>
              <w:snapToGrid w:val="false"/>
              <w:ind w:hanging="360" w:left="360" w:right="1167"/>
              <w:jc w:val="both"/>
              <w:rPr/>
            </w:pPr>
            <w:r>
              <w:rPr/>
            </w:r>
          </w:p>
        </w:tc>
        <w:tc>
          <w:tcPr>
            <w:tcW w:w="32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iCs/>
                <w:color w:val="000000"/>
                <w:sz w:val="24"/>
                <w:szCs w:val="24"/>
              </w:rPr>
            </w:pPr>
            <w:r>
              <w:rPr>
                <w:iCs/>
                <w:color w:val="000000"/>
                <w:sz w:val="24"/>
                <w:szCs w:val="24"/>
              </w:rPr>
              <w:t>Комплект поставки</w:t>
            </w:r>
          </w:p>
        </w:tc>
        <w:tc>
          <w:tcPr>
            <w:tcW w:w="3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>
                <w:sz w:val="24"/>
                <w:szCs w:val="24"/>
              </w:rPr>
              <w:t>Медицинская автоаптечка (</w:t>
            </w:r>
            <w:r>
              <w:rPr>
                <w:bCs/>
                <w:sz w:val="24"/>
                <w:szCs w:val="24"/>
              </w:rPr>
              <w:t>в соответствии с Приказом Министерства здравоохранения Российской федерации от 24 мая 2024 года № 260н «Об утверждении к комплектации аптечки для оказания первой помощи с применением медицинских изделий пострадавшим в дорожно-транспортных происшествиях (автомобильной)» (в действующей редакции)</w:t>
            </w:r>
            <w:r>
              <w:rPr>
                <w:sz w:val="24"/>
                <w:szCs w:val="24"/>
              </w:rPr>
              <w:t xml:space="preserve"> – 1 шт.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i/>
                <w:i/>
                <w:iCs/>
                <w:color w:val="000000"/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  <w:t>-//-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i/>
                <w:i/>
                <w:iCs/>
                <w:color w:val="000000"/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  <w:t>-//-</w:t>
            </w:r>
          </w:p>
        </w:tc>
      </w:tr>
      <w:tr>
        <w:trPr>
          <w:trHeight w:val="23" w:hRule="atLeast"/>
        </w:trPr>
        <w:tc>
          <w:tcPr>
            <w:tcW w:w="103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4"/>
              <w:snapToGrid w:val="false"/>
              <w:ind w:hanging="0" w:left="0" w:right="1167"/>
              <w:jc w:val="both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</w:r>
          </w:p>
        </w:tc>
        <w:tc>
          <w:tcPr>
            <w:tcW w:w="325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</w:r>
          </w:p>
        </w:tc>
        <w:tc>
          <w:tcPr>
            <w:tcW w:w="3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Огнетушитель ОП-2 (Приложение «В» к СП "Техника пожарная. Огнетушители. Требования к эксплуатации. СП 9.13130.2009"», утвержденному Приказом МЧС России от 25.03.2009 года № 179  (в действующей редакции)</w:t>
            </w:r>
          </w:p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i/>
                <w:i/>
                <w:iCs/>
                <w:color w:val="000000"/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  <w:t>-//-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i/>
                <w:i/>
                <w:iCs/>
                <w:color w:val="000000"/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  <w:t>-//-</w:t>
            </w:r>
          </w:p>
        </w:tc>
      </w:tr>
      <w:tr>
        <w:trPr>
          <w:trHeight w:val="23" w:hRule="atLeast"/>
        </w:trPr>
        <w:tc>
          <w:tcPr>
            <w:tcW w:w="103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4"/>
              <w:snapToGrid w:val="false"/>
              <w:ind w:hanging="0" w:left="0" w:right="1167"/>
              <w:jc w:val="both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</w:r>
          </w:p>
        </w:tc>
        <w:tc>
          <w:tcPr>
            <w:tcW w:w="325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</w:r>
          </w:p>
        </w:tc>
        <w:tc>
          <w:tcPr>
            <w:tcW w:w="3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4"/>
              <w:tabs>
                <w:tab w:val="clear" w:pos="708"/>
                <w:tab w:val="left" w:pos="317" w:leader="none"/>
              </w:tabs>
              <w:ind w:hanging="0" w:left="0" w:right="-108"/>
              <w:rPr/>
            </w:pPr>
            <w:r>
              <w:rPr/>
              <w:t xml:space="preserve">Знак аварийной остановки </w:t>
            </w:r>
            <w:r>
              <w:rPr>
                <w:sz w:val="24"/>
                <w:szCs w:val="24"/>
              </w:rPr>
              <w:t>– 1 шт.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i/>
                <w:i/>
                <w:iCs/>
                <w:color w:val="000000"/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  <w:t>-//-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i/>
                <w:i/>
                <w:iCs/>
                <w:color w:val="000000"/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  <w:t>-//-</w:t>
            </w:r>
          </w:p>
        </w:tc>
      </w:tr>
      <w:tr>
        <w:trPr>
          <w:trHeight w:val="23" w:hRule="atLeast"/>
        </w:trPr>
        <w:tc>
          <w:tcPr>
            <w:tcW w:w="103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4"/>
              <w:snapToGrid w:val="false"/>
              <w:ind w:hanging="0" w:left="0" w:right="1167"/>
              <w:jc w:val="both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</w:r>
          </w:p>
        </w:tc>
        <w:tc>
          <w:tcPr>
            <w:tcW w:w="325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</w:r>
          </w:p>
        </w:tc>
        <w:tc>
          <w:tcPr>
            <w:tcW w:w="3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4"/>
              </w:rPr>
            </w:pPr>
            <w:r>
              <w:rPr>
                <w:sz w:val="24"/>
              </w:rPr>
              <w:t>Противооткатный упор – 2 шт.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>
                <w:sz w:val="24"/>
                <w:szCs w:val="24"/>
              </w:rPr>
              <w:t>Согласие с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требованием</w:t>
            </w:r>
          </w:p>
        </w:tc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i/>
                <w:i/>
                <w:iCs/>
                <w:color w:val="000000"/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  <w:t>-//-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i/>
                <w:i/>
                <w:iCs/>
                <w:color w:val="000000"/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  <w:t>-//-</w:t>
            </w:r>
          </w:p>
        </w:tc>
      </w:tr>
      <w:tr>
        <w:trPr>
          <w:trHeight w:val="23" w:hRule="atLeast"/>
        </w:trPr>
        <w:tc>
          <w:tcPr>
            <w:tcW w:w="103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4"/>
              <w:snapToGrid w:val="false"/>
              <w:ind w:hanging="0" w:left="0" w:right="1167"/>
              <w:jc w:val="both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</w:r>
          </w:p>
        </w:tc>
        <w:tc>
          <w:tcPr>
            <w:tcW w:w="325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</w:r>
          </w:p>
        </w:tc>
        <w:tc>
          <w:tcPr>
            <w:tcW w:w="3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4"/>
              </w:rPr>
            </w:pPr>
            <w:r>
              <w:rPr>
                <w:sz w:val="24"/>
              </w:rPr>
              <w:t>ПТС/ЭПТС транспортного средства, инструкция по эксплуатации, сервисная книжка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i/>
                <w:i/>
                <w:iCs/>
                <w:color w:val="000000"/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  <w:t>-//-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i/>
                <w:i/>
                <w:iCs/>
                <w:color w:val="000000"/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  <w:t>-//-</w:t>
            </w:r>
          </w:p>
        </w:tc>
      </w:tr>
      <w:tr>
        <w:trPr>
          <w:trHeight w:val="23" w:hRule="atLeast"/>
        </w:trPr>
        <w:tc>
          <w:tcPr>
            <w:tcW w:w="103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4"/>
              <w:snapToGrid w:val="false"/>
              <w:ind w:hanging="0" w:left="0" w:right="1167"/>
              <w:jc w:val="both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</w:r>
          </w:p>
        </w:tc>
        <w:tc>
          <w:tcPr>
            <w:tcW w:w="325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bCs/>
                <w:color w:val="FF0000"/>
                <w:sz w:val="24"/>
                <w:szCs w:val="24"/>
              </w:rPr>
            </w:pPr>
            <w:r>
              <w:rPr>
                <w:bCs/>
                <w:color w:val="FF0000"/>
                <w:sz w:val="24"/>
                <w:szCs w:val="24"/>
              </w:rPr>
            </w:r>
          </w:p>
        </w:tc>
        <w:tc>
          <w:tcPr>
            <w:tcW w:w="3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4"/>
              </w:rPr>
            </w:pPr>
            <w:r>
              <w:rPr>
                <w:sz w:val="24"/>
              </w:rPr>
              <w:t>Запасное колесо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i/>
                <w:i/>
                <w:iCs/>
                <w:color w:val="000000"/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  <w:t>-//-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i/>
                <w:i/>
                <w:iCs/>
                <w:color w:val="000000"/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  <w:t>-//-</w:t>
            </w:r>
          </w:p>
        </w:tc>
      </w:tr>
      <w:tr>
        <w:trPr>
          <w:trHeight w:val="23" w:hRule="atLeast"/>
        </w:trPr>
        <w:tc>
          <w:tcPr>
            <w:tcW w:w="103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4"/>
              <w:snapToGrid w:val="false"/>
              <w:ind w:hanging="0" w:left="0" w:right="1167"/>
              <w:jc w:val="both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</w:r>
          </w:p>
        </w:tc>
        <w:tc>
          <w:tcPr>
            <w:tcW w:w="325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bCs/>
                <w:color w:val="FF0000"/>
                <w:sz w:val="24"/>
                <w:szCs w:val="24"/>
              </w:rPr>
            </w:pPr>
            <w:r>
              <w:rPr>
                <w:bCs/>
                <w:color w:val="FF0000"/>
                <w:sz w:val="24"/>
                <w:szCs w:val="24"/>
              </w:rPr>
            </w:r>
          </w:p>
        </w:tc>
        <w:tc>
          <w:tcPr>
            <w:tcW w:w="3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4"/>
              </w:rPr>
            </w:pPr>
            <w:r>
              <w:rPr>
                <w:sz w:val="24"/>
              </w:rPr>
              <w:t>Резиновые коврики в кабину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i/>
                <w:i/>
                <w:iCs/>
                <w:color w:val="000000"/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  <w:t>-//-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i/>
                <w:i/>
                <w:iCs/>
                <w:color w:val="000000"/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  <w:t>-//-</w:t>
            </w:r>
          </w:p>
        </w:tc>
      </w:tr>
      <w:tr>
        <w:trPr>
          <w:trHeight w:val="23" w:hRule="atLeast"/>
        </w:trPr>
        <w:tc>
          <w:tcPr>
            <w:tcW w:w="103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4"/>
              <w:snapToGrid w:val="false"/>
              <w:ind w:hanging="0" w:left="0" w:right="1167"/>
              <w:jc w:val="both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</w:r>
          </w:p>
        </w:tc>
        <w:tc>
          <w:tcPr>
            <w:tcW w:w="325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bCs/>
                <w:color w:val="FF0000"/>
                <w:sz w:val="24"/>
                <w:szCs w:val="24"/>
              </w:rPr>
            </w:pPr>
            <w:r>
              <w:rPr>
                <w:bCs/>
                <w:color w:val="FF0000"/>
                <w:sz w:val="24"/>
                <w:szCs w:val="24"/>
              </w:rPr>
            </w:r>
          </w:p>
        </w:tc>
        <w:tc>
          <w:tcPr>
            <w:tcW w:w="3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iCs/>
                <w:color w:val="000000"/>
                <w:sz w:val="24"/>
                <w:szCs w:val="24"/>
              </w:rPr>
            </w:pPr>
            <w:r>
              <w:rPr>
                <w:iCs/>
                <w:color w:val="000000"/>
                <w:sz w:val="24"/>
                <w:szCs w:val="24"/>
              </w:rPr>
              <w:t>Комплект запчастей, инструментов, принадлежностей (включая домкрат, ключ баллонный) и расходных материалов (ЗИП) в соответствии с комплектовочными ведомостями (или упаковочными листами) заводов изготовителей, для данной комплектации автомобиля и дополнительного оборудования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i/>
                <w:i/>
                <w:iCs/>
                <w:color w:val="000000"/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  <w:t>-//-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i/>
                <w:i/>
                <w:iCs/>
                <w:color w:val="000000"/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  <w:t>-//-</w:t>
            </w:r>
          </w:p>
        </w:tc>
      </w:tr>
      <w:tr>
        <w:trPr>
          <w:trHeight w:val="23" w:hRule="atLeast"/>
        </w:trPr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4"/>
              <w:numPr>
                <w:ilvl w:val="0"/>
                <w:numId w:val="8"/>
              </w:numPr>
              <w:snapToGrid w:val="false"/>
              <w:ind w:hanging="360" w:left="360" w:right="11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87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b/>
                <w:iCs/>
                <w:color w:val="000000"/>
                <w:sz w:val="24"/>
                <w:szCs w:val="24"/>
              </w:rPr>
            </w:pPr>
            <w:r>
              <w:rPr>
                <w:b/>
                <w:iCs/>
                <w:color w:val="000000"/>
                <w:sz w:val="24"/>
                <w:szCs w:val="24"/>
              </w:rPr>
              <w:t>Требования к доставке, маркировке, упаковке, транспортировке, перемещению, условиям хранения, приемке и испытаниям</w:t>
            </w:r>
          </w:p>
        </w:tc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i/>
                <w:i/>
                <w:iCs/>
                <w:color w:val="000000"/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  <w:t>-//-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i/>
                <w:i/>
                <w:iCs/>
                <w:color w:val="000000"/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  <w:t>-//-</w:t>
            </w:r>
          </w:p>
        </w:tc>
      </w:tr>
      <w:tr>
        <w:trPr>
          <w:trHeight w:val="23" w:hRule="atLeast"/>
        </w:trPr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4"/>
              <w:numPr>
                <w:ilvl w:val="1"/>
                <w:numId w:val="8"/>
              </w:numPr>
              <w:snapToGrid w:val="false"/>
              <w:ind w:hanging="360" w:left="360" w:right="1167"/>
              <w:jc w:val="bot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Место поставки</w:t>
            </w:r>
          </w:p>
        </w:tc>
        <w:tc>
          <w:tcPr>
            <w:tcW w:w="3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rFonts w:eastAsia="Arial Unicode MS"/>
                <w:color w:val="000000"/>
                <w:sz w:val="24"/>
                <w:szCs w:val="24"/>
              </w:rPr>
            </w:pPr>
            <w:r>
              <w:rPr>
                <w:rFonts w:eastAsia="Arial Unicode MS"/>
                <w:color w:val="000000"/>
                <w:sz w:val="24"/>
                <w:szCs w:val="24"/>
              </w:rPr>
              <w:t>РФ, Саратовская область, город Балаково, территория Филиала ПАО «РусГидро» - «Саратовская ГЭС»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i/>
                <w:i/>
                <w:iCs/>
                <w:color w:val="000000"/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  <w:t>-//-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i/>
                <w:i/>
                <w:iCs/>
                <w:color w:val="000000"/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  <w:t>-//-</w:t>
            </w:r>
          </w:p>
        </w:tc>
      </w:tr>
      <w:tr>
        <w:trPr>
          <w:trHeight w:val="23" w:hRule="atLeast"/>
        </w:trPr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4"/>
              <w:numPr>
                <w:ilvl w:val="1"/>
                <w:numId w:val="8"/>
              </w:numPr>
              <w:snapToGrid w:val="false"/>
              <w:ind w:hanging="360" w:left="360" w:right="1167"/>
              <w:jc w:val="both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Срок поставки</w:t>
            </w:r>
          </w:p>
        </w:tc>
        <w:tc>
          <w:tcPr>
            <w:tcW w:w="3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rFonts w:eastAsia="Arial Unicode MS"/>
                <w:color w:val="000000"/>
                <w:sz w:val="24"/>
                <w:szCs w:val="24"/>
              </w:rPr>
            </w:pPr>
            <w:r>
              <w:rPr>
                <w:rFonts w:eastAsia="Arial Unicode MS"/>
                <w:color w:val="000000"/>
                <w:sz w:val="24"/>
                <w:szCs w:val="24"/>
              </w:rPr>
              <w:t>Согласно таблицы 2 настоящих Технических требований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i/>
                <w:i/>
                <w:iCs/>
                <w:color w:val="000000"/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  <w:t>-//-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i/>
                <w:i/>
                <w:iCs/>
                <w:color w:val="000000"/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  <w:t>-//-</w:t>
            </w:r>
          </w:p>
        </w:tc>
      </w:tr>
      <w:tr>
        <w:trPr>
          <w:trHeight w:val="23" w:hRule="atLeast"/>
        </w:trPr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4"/>
              <w:numPr>
                <w:ilvl w:val="1"/>
                <w:numId w:val="8"/>
              </w:numPr>
              <w:snapToGrid w:val="false"/>
              <w:ind w:hanging="360" w:left="360" w:right="1167"/>
              <w:jc w:val="both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Способ доставки до места поставки (получения)</w:t>
            </w:r>
          </w:p>
        </w:tc>
        <w:tc>
          <w:tcPr>
            <w:tcW w:w="3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317" w:leader="none"/>
              </w:tabs>
              <w:rPr/>
            </w:pPr>
            <w:r>
              <w:rPr>
                <w:sz w:val="24"/>
                <w:szCs w:val="24"/>
              </w:rPr>
              <w:t>Доставка осуществляется силами Поставщика до места поставки указанного в п.4.1 Таблицы №3 настоящим ТТ:</w:t>
            </w:r>
          </w:p>
          <w:p>
            <w:pPr>
              <w:pStyle w:val="Normal"/>
              <w:tabs>
                <w:tab w:val="clear" w:pos="708"/>
                <w:tab w:val="left" w:pos="317" w:leader="none"/>
              </w:tabs>
              <w:rPr/>
            </w:pPr>
            <w:r>
              <w:rPr>
                <w:sz w:val="24"/>
                <w:szCs w:val="24"/>
              </w:rPr>
              <w:t>1) Доставка до места поставки осуществляется рекомендованными способами завода изготовителя, в случаях перегона ТС своим ходом, должно проводиться техническое обслуживание согласно инструкции по эксплуатации с отметками в сервисной книжке.</w:t>
            </w:r>
          </w:p>
          <w:p>
            <w:pPr>
              <w:pStyle w:val="Normal"/>
              <w:tabs>
                <w:tab w:val="clear" w:pos="708"/>
                <w:tab w:val="left" w:pos="317" w:leader="none"/>
              </w:tabs>
              <w:rPr/>
            </w:pPr>
            <w:r>
              <w:rPr>
                <w:sz w:val="24"/>
                <w:szCs w:val="24"/>
              </w:rPr>
              <w:t>2) Акты выполненных работ по техническому обслуживанию (скан копии, подписанные и заверенные ответственным лицом), предоставляются при передаче ТС Заказчику.</w:t>
            </w:r>
          </w:p>
          <w:p>
            <w:pPr>
              <w:pStyle w:val="Normal"/>
              <w:tabs>
                <w:tab w:val="clear" w:pos="708"/>
                <w:tab w:val="left" w:pos="317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3) Фото с фиксацией пробега (название файла VIN ТС) при каждом техническом обслуживании до места поставки, предоставляются при передаче ТС Заказчику.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i/>
                <w:i/>
                <w:iCs/>
                <w:color w:val="000000"/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  <w:t>-//-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i/>
                <w:i/>
                <w:iCs/>
                <w:color w:val="000000"/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  <w:t>-//-</w:t>
            </w:r>
          </w:p>
        </w:tc>
      </w:tr>
      <w:tr>
        <w:trPr>
          <w:trHeight w:val="23" w:hRule="atLeast"/>
        </w:trPr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4"/>
              <w:numPr>
                <w:ilvl w:val="1"/>
                <w:numId w:val="8"/>
              </w:numPr>
              <w:snapToGrid w:val="false"/>
              <w:ind w:hanging="360" w:left="360" w:right="11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предпродажной подготовке</w:t>
            </w:r>
          </w:p>
        </w:tc>
        <w:tc>
          <w:tcPr>
            <w:tcW w:w="3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Поставщику необходимо выполнить предпродажную подготовку (протяжка, проверка всех уровней жидкостей) (Подтверждается отметкой в сервисной книжке либо Заказ-нарядом, Актом выполненных работ по предпродажному обслуживанию на любом авторизованном техническом центре)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i/>
                <w:i/>
                <w:iCs/>
                <w:color w:val="000000"/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  <w:t>-//-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i/>
                <w:i/>
                <w:iCs/>
                <w:color w:val="000000"/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  <w:t>-//-</w:t>
            </w:r>
          </w:p>
        </w:tc>
      </w:tr>
      <w:tr>
        <w:trPr>
          <w:trHeight w:val="23" w:hRule="atLeast"/>
        </w:trPr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4"/>
              <w:numPr>
                <w:ilvl w:val="0"/>
                <w:numId w:val="8"/>
              </w:numPr>
              <w:snapToGrid w:val="false"/>
              <w:ind w:hanging="0" w:left="0" w:right="1167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</w:r>
          </w:p>
        </w:tc>
        <w:tc>
          <w:tcPr>
            <w:tcW w:w="87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b/>
                <w:iCs/>
                <w:color w:val="000000"/>
                <w:sz w:val="24"/>
                <w:szCs w:val="24"/>
              </w:rPr>
            </w:pPr>
            <w:r>
              <w:rPr>
                <w:b/>
                <w:iCs/>
                <w:color w:val="000000"/>
                <w:sz w:val="24"/>
                <w:szCs w:val="24"/>
              </w:rPr>
              <w:t>Требования к эксплуатации, обеспечению и утилизации</w:t>
            </w:r>
          </w:p>
        </w:tc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i/>
                <w:i/>
                <w:iCs/>
                <w:color w:val="000000"/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i/>
                <w:i/>
                <w:iCs/>
                <w:color w:val="000000"/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</w:r>
          </w:p>
        </w:tc>
      </w:tr>
      <w:tr>
        <w:trPr>
          <w:trHeight w:val="23" w:hRule="atLeast"/>
        </w:trPr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4"/>
              <w:numPr>
                <w:ilvl w:val="1"/>
                <w:numId w:val="8"/>
              </w:numPr>
              <w:snapToGrid w:val="false"/>
              <w:ind w:hanging="360" w:left="360" w:right="1167"/>
              <w:jc w:val="both"/>
              <w:rPr>
                <w:i/>
                <w:i/>
                <w:iCs/>
                <w:color w:val="000000"/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</w:r>
          </w:p>
        </w:tc>
        <w:tc>
          <w:tcPr>
            <w:tcW w:w="63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both"/>
              <w:rPr>
                <w:iCs/>
                <w:color w:val="000000"/>
                <w:sz w:val="24"/>
                <w:szCs w:val="24"/>
              </w:rPr>
            </w:pPr>
            <w:r>
              <w:rPr>
                <w:iCs/>
                <w:color w:val="000000"/>
                <w:sz w:val="24"/>
                <w:szCs w:val="24"/>
              </w:rPr>
              <w:t>Продукция должна быть новой и ранее не использовавшейся. Год изготовления товара – не ранее 2026.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i/>
                <w:i/>
                <w:iCs/>
                <w:color w:val="000000"/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  <w:t>-//-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i/>
                <w:i/>
                <w:iCs/>
                <w:color w:val="000000"/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  <w:t>-//-</w:t>
            </w:r>
          </w:p>
        </w:tc>
      </w:tr>
      <w:tr>
        <w:trPr>
          <w:trHeight w:val="23" w:hRule="atLeast"/>
        </w:trPr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4"/>
              <w:numPr>
                <w:ilvl w:val="0"/>
                <w:numId w:val="8"/>
              </w:numPr>
              <w:snapToGrid w:val="false"/>
              <w:ind w:hanging="0" w:left="0" w:right="11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87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b/>
                <w:iCs/>
                <w:color w:val="000000"/>
                <w:sz w:val="24"/>
                <w:szCs w:val="24"/>
              </w:rPr>
            </w:pPr>
            <w:r>
              <w:rPr>
                <w:b/>
                <w:iCs/>
                <w:color w:val="000000"/>
                <w:sz w:val="24"/>
                <w:szCs w:val="24"/>
              </w:rPr>
              <w:t>Требования к гарантиям, гарантийному и послегарантийному обслуживанию</w:t>
            </w:r>
          </w:p>
        </w:tc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i/>
                <w:i/>
                <w:iCs/>
                <w:color w:val="000000"/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  <w:t>-//-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i/>
                <w:i/>
                <w:iCs/>
                <w:color w:val="000000"/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  <w:t>-//-</w:t>
            </w:r>
          </w:p>
        </w:tc>
      </w:tr>
      <w:tr>
        <w:trPr>
          <w:trHeight w:val="23" w:hRule="atLeast"/>
        </w:trPr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4"/>
              <w:widowControl/>
              <w:numPr>
                <w:ilvl w:val="1"/>
                <w:numId w:val="8"/>
              </w:numPr>
              <w:suppressAutoHyphens w:val="false"/>
              <w:bidi w:val="0"/>
              <w:snapToGrid w:val="false"/>
              <w:spacing w:before="0" w:after="0"/>
              <w:ind w:hanging="0" w:left="0" w:right="0"/>
              <w:contextualSpacing/>
              <w:jc w:val="both"/>
              <w:rPr/>
            </w:pPr>
            <w:r>
              <w:rPr/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гарантии на Продукцию</w:t>
            </w:r>
          </w:p>
        </w:tc>
        <w:tc>
          <w:tcPr>
            <w:tcW w:w="3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>
                <w:sz w:val="24"/>
                <w:szCs w:val="24"/>
              </w:rPr>
              <w:t>Гарантия на транспортное средство - не менее гарантийного срока, установленного заводом изготовителем, с даты передачи Заказчику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i/>
                <w:i/>
                <w:iCs/>
                <w:color w:val="000000"/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  <w:t>-//-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i/>
                <w:i/>
                <w:iCs/>
                <w:color w:val="000000"/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  <w:t>-//-</w:t>
            </w:r>
          </w:p>
        </w:tc>
      </w:tr>
      <w:tr>
        <w:trPr>
          <w:trHeight w:val="23" w:hRule="atLeast"/>
        </w:trPr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4"/>
              <w:widowControl/>
              <w:numPr>
                <w:ilvl w:val="0"/>
                <w:numId w:val="8"/>
              </w:numPr>
              <w:suppressAutoHyphens w:val="false"/>
              <w:bidi w:val="0"/>
              <w:snapToGrid w:val="false"/>
              <w:spacing w:before="0" w:after="0"/>
              <w:ind w:hanging="0" w:left="57" w:right="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87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b/>
                <w:iCs/>
                <w:color w:val="000000"/>
                <w:sz w:val="24"/>
                <w:szCs w:val="24"/>
              </w:rPr>
            </w:pPr>
            <w:r>
              <w:rPr>
                <w:b/>
                <w:iCs/>
                <w:color w:val="000000"/>
                <w:sz w:val="24"/>
                <w:szCs w:val="24"/>
              </w:rPr>
              <w:t>Требования к комплектации и документам, поставляемым вместе с продукцией</w:t>
            </w:r>
          </w:p>
        </w:tc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i/>
                <w:i/>
                <w:iCs/>
                <w:color w:val="000000"/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i/>
                <w:i/>
                <w:iCs/>
                <w:color w:val="000000"/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</w:r>
          </w:p>
        </w:tc>
      </w:tr>
      <w:tr>
        <w:trPr>
          <w:trHeight w:val="23" w:hRule="atLeast"/>
        </w:trPr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4"/>
              <w:widowControl/>
              <w:numPr>
                <w:ilvl w:val="1"/>
                <w:numId w:val="8"/>
              </w:numPr>
              <w:suppressAutoHyphens w:val="false"/>
              <w:bidi w:val="0"/>
              <w:snapToGrid w:val="false"/>
              <w:spacing w:before="0" w:after="0"/>
              <w:ind w:hanging="0" w:left="0" w:right="0"/>
              <w:contextualSpacing/>
              <w:jc w:val="both"/>
              <w:rPr>
                <w:i/>
                <w:i/>
                <w:iCs/>
                <w:color w:val="000000"/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rFonts w:eastAsia="Calibri" w:cs="Times New Roman"/>
                <w:iCs/>
                <w:color w:val="000000"/>
                <w:sz w:val="24"/>
                <w:szCs w:val="24"/>
                <w:lang w:val="ru-RU" w:eastAsia="zh-CN" w:bidi="ar-SA"/>
              </w:rPr>
            </w:pPr>
            <w:r>
              <w:rPr>
                <w:rFonts w:eastAsia="Calibri" w:cs="Times New Roman"/>
                <w:iCs/>
                <w:color w:val="000000"/>
                <w:sz w:val="24"/>
                <w:szCs w:val="24"/>
                <w:lang w:val="ru-RU" w:eastAsia="zh-CN" w:bidi="ar-SA"/>
              </w:rPr>
              <w:t>Документы, передаваемые вместе с продукцией</w:t>
            </w:r>
          </w:p>
        </w:tc>
        <w:tc>
          <w:tcPr>
            <w:tcW w:w="3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4"/>
              <w:tabs>
                <w:tab w:val="clear" w:pos="708"/>
                <w:tab w:val="left" w:pos="317" w:leader="none"/>
              </w:tabs>
              <w:ind w:hanging="0" w:left="0" w:right="0"/>
              <w:rPr/>
            </w:pPr>
            <w:r>
              <w:rPr>
                <w:rFonts w:eastAsia="Calibri" w:cs="Times New Roman"/>
                <w:iCs/>
                <w:color w:val="000000"/>
                <w:sz w:val="24"/>
                <w:szCs w:val="24"/>
                <w:lang w:val="ru-RU" w:eastAsia="zh-CN" w:bidi="ar-SA"/>
              </w:rPr>
              <w:t>Поставщик передает Заказчику товарную накладную (ТОРГ-12)/УПД, счет-фактуру, ПТС/ЭПТС транспортного средства, Сертификат соответствия подъемного сооружения, Руководство по эксплуатации, Сервисную книжку, Паспорт подъёмного сооружения, Паспорт на каждый установленный прибор  безопасности, полный пакет документов для регистрации подъемного сооружения в Ростехандзоре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i/>
                <w:i/>
                <w:iCs/>
                <w:color w:val="000000"/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  <w:t>-//-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i/>
                <w:i/>
                <w:iCs/>
                <w:color w:val="000000"/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  <w:t>-//-</w:t>
            </w:r>
          </w:p>
        </w:tc>
      </w:tr>
      <w:tr>
        <w:trPr>
          <w:trHeight w:val="23" w:hRule="atLeast"/>
        </w:trPr>
        <w:tc>
          <w:tcPr>
            <w:tcW w:w="10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4"/>
              <w:widowControl/>
              <w:numPr>
                <w:ilvl w:val="0"/>
                <w:numId w:val="0"/>
              </w:numPr>
              <w:suppressAutoHyphens w:val="false"/>
              <w:bidi w:val="0"/>
              <w:snapToGrid w:val="false"/>
              <w:spacing w:before="0" w:after="0"/>
              <w:ind w:hanging="0" w:left="0" w:right="0"/>
              <w:contextualSpacing/>
              <w:jc w:val="both"/>
              <w:rPr>
                <w:i w:val="false"/>
                <w:i w:val="false"/>
                <w:iCs w:val="false"/>
                <w:color w:val="000000"/>
                <w:sz w:val="24"/>
                <w:szCs w:val="24"/>
              </w:rPr>
            </w:pPr>
            <w:r>
              <w:rPr>
                <w:i w:val="false"/>
                <w:iCs w:val="false"/>
                <w:color w:val="000000"/>
                <w:sz w:val="24"/>
                <w:szCs w:val="24"/>
              </w:rPr>
              <w:t>8.</w:t>
            </w:r>
          </w:p>
        </w:tc>
        <w:tc>
          <w:tcPr>
            <w:tcW w:w="8712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rFonts w:eastAsia="Calibri" w:cs="Times New Roman"/>
                <w:b/>
                <w:bCs/>
                <w:iCs/>
                <w:color w:val="000000"/>
                <w:sz w:val="24"/>
                <w:szCs w:val="24"/>
                <w:lang w:val="ru-RU" w:eastAsia="zh-CN" w:bidi="ar-SA"/>
              </w:rPr>
            </w:pPr>
            <w:r>
              <w:rPr>
                <w:rFonts w:eastAsia="Calibri" w:cs="Times New Roman"/>
                <w:b/>
                <w:bCs/>
                <w:iCs/>
                <w:color w:val="000000"/>
                <w:sz w:val="24"/>
                <w:szCs w:val="24"/>
                <w:lang w:val="ru-RU" w:eastAsia="zh-CN" w:bidi="ar-SA"/>
              </w:rPr>
              <w:t>Прочие (дополнительные) требования к продукции</w:t>
            </w:r>
          </w:p>
        </w:tc>
        <w:tc>
          <w:tcPr>
            <w:tcW w:w="30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i/>
                <w:i/>
                <w:iCs/>
                <w:color w:val="000000"/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</w:r>
          </w:p>
        </w:tc>
        <w:tc>
          <w:tcPr>
            <w:tcW w:w="19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i/>
                <w:i/>
                <w:iCs/>
                <w:color w:val="000000"/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</w:r>
          </w:p>
        </w:tc>
      </w:tr>
      <w:tr>
        <w:trPr>
          <w:trHeight w:val="23" w:hRule="atLeast"/>
        </w:trPr>
        <w:tc>
          <w:tcPr>
            <w:tcW w:w="10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4"/>
              <w:widowControl/>
              <w:numPr>
                <w:ilvl w:val="0"/>
                <w:numId w:val="0"/>
              </w:numPr>
              <w:suppressAutoHyphens w:val="false"/>
              <w:bidi w:val="0"/>
              <w:snapToGrid w:val="false"/>
              <w:spacing w:before="0" w:after="0"/>
              <w:ind w:hanging="0" w:left="0" w:right="0"/>
              <w:contextualSpacing/>
              <w:jc w:val="both"/>
              <w:rPr>
                <w:i w:val="false"/>
                <w:i w:val="false"/>
                <w:iCs w:val="false"/>
                <w:color w:val="000000"/>
                <w:sz w:val="24"/>
                <w:szCs w:val="24"/>
              </w:rPr>
            </w:pPr>
            <w:r>
              <w:rPr>
                <w:i w:val="false"/>
                <w:iCs w:val="false"/>
                <w:color w:val="000000"/>
                <w:sz w:val="24"/>
                <w:szCs w:val="24"/>
              </w:rPr>
              <w:t>8.1.</w:t>
            </w:r>
          </w:p>
        </w:tc>
        <w:tc>
          <w:tcPr>
            <w:tcW w:w="32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rFonts w:eastAsia="Calibri" w:cs="Times New Roman"/>
                <w:iCs/>
                <w:color w:val="000000"/>
                <w:sz w:val="24"/>
                <w:szCs w:val="24"/>
                <w:lang w:val="ru-RU" w:eastAsia="zh-CN" w:bidi="ar-SA"/>
              </w:rPr>
            </w:pPr>
            <w:r>
              <w:rPr>
                <w:rFonts w:eastAsia="Calibri" w:cs="Times New Roman"/>
                <w:iCs/>
                <w:color w:val="000000"/>
                <w:sz w:val="24"/>
                <w:szCs w:val="24"/>
                <w:lang w:val="ru-RU" w:eastAsia="zh-CN" w:bidi="ar-SA"/>
              </w:rPr>
              <w:t>Подтверждение происхождения товара</w:t>
            </w:r>
          </w:p>
        </w:tc>
        <w:tc>
          <w:tcPr>
            <w:tcW w:w="30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Национальный режим предоставляется.</w:t>
            </w:r>
          </w:p>
          <w:p>
            <w:pPr>
              <w:pStyle w:val="Normal"/>
              <w:snapToGrid w:val="false"/>
              <w:rPr/>
            </w:pPr>
            <w:r>
              <w:rPr>
                <w:rStyle w:val="Emphasis"/>
                <w:rFonts w:cs="Times New Roman"/>
                <w:b w:val="false"/>
                <w:i w:val="false"/>
                <w:iCs w:val="false"/>
                <w:color w:val="000000"/>
                <w:spacing w:val="0"/>
                <w:sz w:val="24"/>
                <w:szCs w:val="24"/>
                <w:lang w:val="ru-RU"/>
              </w:rPr>
              <w:t>Поставка по лот</w:t>
            </w:r>
            <w:r>
              <w:rPr>
                <w:rStyle w:val="Emphasis"/>
                <w:rFonts w:cs="Times New Roman"/>
                <w:b w:val="false"/>
                <w:bCs w:val="false"/>
                <w:i w:val="false"/>
                <w:iCs w:val="false"/>
                <w:color w:val="000000"/>
                <w:spacing w:val="0"/>
                <w:sz w:val="24"/>
                <w:szCs w:val="24"/>
                <w:lang w:val="ru-RU"/>
              </w:rPr>
              <w:t>у №</w:t>
            </w:r>
            <w:r>
              <w:rPr>
                <w:rStyle w:val="Emphasis"/>
                <w:rFonts w:cs="Times New Roman"/>
                <w:b w:val="false"/>
                <w:bCs w:val="false"/>
                <w:i w:val="false"/>
                <w:iCs w:val="false"/>
                <w:caps w:val="false"/>
                <w:smallCaps w:val="false"/>
                <w:color w:val="000000"/>
                <w:spacing w:val="0"/>
                <w:sz w:val="24"/>
                <w:szCs w:val="24"/>
                <w:lang w:val="ru-RU"/>
              </w:rPr>
              <w:t>1018-ТПИР ОНМ-2026-ТК</w:t>
            </w:r>
            <w:r>
              <w:rPr>
                <w:rStyle w:val="Emphasis"/>
                <w:rFonts w:cs="Times New Roman"/>
                <w:b w:val="false"/>
                <w:bCs w:val="false"/>
                <w:i w:val="false"/>
                <w:iCs w:val="false"/>
                <w:color w:val="000000"/>
                <w:spacing w:val="0"/>
                <w:sz w:val="24"/>
                <w:szCs w:val="24"/>
                <w:lang w:val="ru-RU"/>
              </w:rPr>
              <w:t xml:space="preserve">, включена в допустимый диапазон в размере 10 % закупок, не входящих в объем минимальной обязательной доли закупок товаров российского происхождения (90%) по </w:t>
            </w:r>
            <w:r>
              <w:rPr>
                <w:rStyle w:val="Emphasis"/>
                <w:rFonts w:cs="Times New Roman"/>
                <w:b w:val="false"/>
                <w:bCs w:val="false"/>
                <w:i w:val="false"/>
                <w:iCs w:val="false"/>
                <w:color w:val="000000"/>
                <w:spacing w:val="0"/>
                <w:sz w:val="24"/>
                <w:szCs w:val="24"/>
                <w:lang w:val="ru-RU" w:eastAsia="ru-RU"/>
              </w:rPr>
              <w:t>ОКПД 2 29.10.59.270 (позиция 203 «Средства транспортные, оснащенные подъемниками с рабочими платформами»)</w:t>
            </w:r>
            <w:r>
              <w:rPr>
                <w:rStyle w:val="Emphasis"/>
                <w:rFonts w:cs="Times New Roman"/>
                <w:b w:val="false"/>
                <w:bCs w:val="false"/>
                <w:i w:val="false"/>
                <w:iCs w:val="false"/>
                <w:color w:val="000000"/>
                <w:spacing w:val="0"/>
                <w:sz w:val="24"/>
                <w:szCs w:val="24"/>
                <w:lang w:val="ru-RU"/>
              </w:rPr>
              <w:t xml:space="preserve"> согласно приложения № 3 Постановления Правительства Российской Федерации от 23 декабря 2024 г. N 1875 “О мерах по предоставлению национального реж</w:t>
            </w:r>
            <w:r>
              <w:rPr>
                <w:rStyle w:val="Emphasis"/>
                <w:rFonts w:cs="Times New Roman"/>
                <w:b w:val="false"/>
                <w:i w:val="false"/>
                <w:iCs w:val="false"/>
                <w:color w:val="000000"/>
                <w:spacing w:val="0"/>
                <w:sz w:val="24"/>
                <w:szCs w:val="24"/>
                <w:lang w:val="ru-RU"/>
              </w:rPr>
              <w:t>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лиц”.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iCs/>
                <w:color w:val="000000"/>
                <w:sz w:val="24"/>
                <w:szCs w:val="24"/>
              </w:rPr>
            </w:pPr>
            <w:r>
              <w:rPr>
                <w:iCs/>
                <w:color w:val="000000"/>
                <w:sz w:val="24"/>
                <w:szCs w:val="24"/>
              </w:rPr>
              <w:t>Согласие с требованием</w:t>
            </w:r>
          </w:p>
        </w:tc>
        <w:tc>
          <w:tcPr>
            <w:tcW w:w="30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i/>
                <w:i/>
                <w:iCs/>
                <w:color w:val="000000"/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  <w:t>-//-</w:t>
            </w:r>
          </w:p>
        </w:tc>
        <w:tc>
          <w:tcPr>
            <w:tcW w:w="19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i/>
                <w:i/>
                <w:iCs/>
                <w:color w:val="000000"/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  <w:t>-//-</w:t>
            </w:r>
          </w:p>
        </w:tc>
      </w:tr>
    </w:tbl>
    <w:p>
      <w:pPr>
        <w:sectPr>
          <w:headerReference w:type="default" r:id="rId4"/>
          <w:headerReference w:type="first" r:id="rId5"/>
          <w:type w:val="nextPage"/>
          <w:pgSz w:orient="landscape" w:w="16838" w:h="11906"/>
          <w:pgMar w:left="851" w:right="425" w:gutter="0" w:header="680" w:top="1134" w:footer="0" w:bottom="851"/>
          <w:pgNumType w:fmt="decimal"/>
          <w:formProt w:val="false"/>
          <w:titlePg/>
          <w:textDirection w:val="lrTb"/>
          <w:docGrid w:type="default" w:linePitch="381" w:charSpace="0"/>
        </w:sectPr>
      </w:pPr>
    </w:p>
    <w:p>
      <w:pPr>
        <w:pStyle w:val="TOC1"/>
        <w:numPr>
          <w:ilvl w:val="0"/>
          <w:numId w:val="0"/>
        </w:numPr>
        <w:ind w:hanging="0" w:left="0" w:right="0"/>
        <w:outlineLvl w:val="0"/>
        <w:rPr>
          <w:rFonts w:ascii="Times New Roman" w:hAnsi="Times New Roman" w:cs="Times New Roman"/>
          <w:sz w:val="24"/>
        </w:rPr>
      </w:pPr>
      <w:r>
        <w:rPr>
          <w:rFonts w:cs="Times New Roman"/>
        </w:rPr>
        <w:t xml:space="preserve"> </w:t>
      </w:r>
      <w:bookmarkStart w:id="12" w:name="__RefHeading___Toc174063186"/>
      <w:r>
        <w:rPr>
          <w:rFonts w:cs="Times New Roman"/>
        </w:rPr>
        <w:t>3. Требования к документации по ценообразованию на этапе закупки</w:t>
      </w:r>
      <w:bookmarkEnd w:id="12"/>
    </w:p>
    <w:p>
      <w:pPr>
        <w:pStyle w:val="Style50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  <w:t>3.1. В обоснование стоимости своей заявки Участник предоставляет Коммерческое предложение по форме (с учетом прилагаемой к ней инструкции по заполнению), приведенной в Документации о закупке.</w:t>
      </w:r>
    </w:p>
    <w:p>
      <w:pPr>
        <w:pStyle w:val="Style50"/>
        <w:rPr>
          <w:sz w:val="24"/>
          <w:szCs w:val="24"/>
        </w:rPr>
      </w:pPr>
      <w:r>
        <w:rPr>
          <w:rFonts w:cs="Times New Roman" w:ascii="Times New Roman" w:hAnsi="Times New Roman"/>
          <w:sz w:val="24"/>
        </w:rPr>
        <w:t>3.2. Дополнительные документы по ценообразованию в состав заявки не включаются.</w:t>
      </w:r>
    </w:p>
    <w:p>
      <w:pPr>
        <w:pStyle w:val="Normal"/>
        <w:widowControl w:val="false"/>
        <w:shd w:val="clear" w:fill="FFFFFF"/>
        <w:tabs>
          <w:tab w:val="clear" w:pos="708"/>
          <w:tab w:val="left" w:pos="720" w:leader="none"/>
        </w:tabs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uppressAutoHyphens w:val="true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uppressAutoHyphens w:val="true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sectPr>
      <w:headerReference w:type="default" r:id="rId6"/>
      <w:headerReference w:type="first" r:id="rId7"/>
      <w:type w:val="nextPage"/>
      <w:pgSz w:w="11906" w:h="16838"/>
      <w:pgMar w:left="1134" w:right="851" w:gutter="0" w:header="680" w:top="737" w:footer="0" w:bottom="851"/>
      <w:pgNumType w:fmt="decimal"/>
      <w:formProt w:val="false"/>
      <w:titlePg/>
      <w:textDirection w:val="lrTb"/>
      <w:docGrid w:type="default" w:linePitch="381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PT Sans">
    <w:charset w:val="01"/>
    <w:family w:val="roman"/>
    <w:pitch w:val="variable"/>
  </w:font>
  <w:font w:name="Times New Roman">
    <w:charset w:val="01"/>
    <w:family w:val="roman"/>
    <w:pitch w:val="variable"/>
  </w:font>
  <w:font w:name="Cambria">
    <w:charset w:val="01"/>
    <w:family w:val="roman"/>
    <w:pitch w:val="variable"/>
  </w:font>
  <w:font w:name="Arial">
    <w:charset w:val="01"/>
    <w:family w:val="roman"/>
    <w:pitch w:val="variable"/>
  </w:font>
  <w:font w:name="Courier New">
    <w:charset w:val="01"/>
    <w:family w:val="roman"/>
    <w:pitch w:val="variable"/>
  </w:font>
  <w:font w:name="Wingdings">
    <w:charset w:val="01"/>
    <w:family w:val="roman"/>
    <w:pitch w:val="variable"/>
  </w:font>
  <w:font w:name="Symbol"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ahoma">
    <w:charset w:val="01"/>
    <w:family w:val="roman"/>
    <w:pitch w:val="variable"/>
  </w:font>
  <w:font w:name="Arial Unicode MS">
    <w:charset w:val="01"/>
    <w:family w:val="roman"/>
    <w:pitch w:val="variable"/>
  </w:font>
  <w:font w:name="Verdana">
    <w:charset w:val="01"/>
    <w:family w:val="roman"/>
    <w:pitch w:val="variable"/>
  </w:font>
  <w:font w:name="Garamond">
    <w:charset w:val="01"/>
    <w:family w:val="roman"/>
    <w:pitch w:val="variable"/>
  </w:font>
  <w:font w:name="Liberation Mono">
    <w:altName w:val="Courier New"/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0</w:t>
    </w:r>
    <w:r>
      <w:rPr/>
      <w:fldChar w:fldCharType="end"/>
    </w:r>
  </w:p>
</w:hdr>
</file>

<file path=word/header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360" w:hanging="360"/>
      </w:pPr>
      <w:rPr>
        <w:b w:val="false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  <w:rPr/>
    </w:lvl>
    <w:lvl w:ilvl="3">
      <w:start w:val="1"/>
      <w:numFmt w:val="russianLower"/>
      <w:lvlText w:val="(%4)"/>
      <w:lvlJc w:val="left"/>
      <w:pPr>
        <w:tabs>
          <w:tab w:val="num" w:pos="0"/>
        </w:tabs>
        <w:ind w:left="1985" w:hanging="567"/>
      </w:pPr>
      <w:rPr/>
    </w:lvl>
    <w:lvl w:ilvl="4">
      <w:start w:val="1"/>
      <w:numFmt w:val="bullet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701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357"/>
        </w:tabs>
        <w:ind w:left="0" w:hanging="0"/>
      </w:pPr>
      <w:rPr/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hanging="0"/>
      </w:pPr>
      <w:rPr/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hanging="0"/>
      </w:pPr>
      <w:rPr/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hanging="0"/>
      </w:pPr>
      <w:rPr/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hanging="0"/>
      </w:pPr>
      <w:rPr/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hanging="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hanging="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hanging="0"/>
      </w:pPr>
      <w:rPr/>
    </w:lvl>
  </w:abstractNum>
  <w:abstractNum w:abstractNumId="5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4"/>
        <w:sz w:val="24"/>
        <w:spacing w:val="0"/>
        <w:i w:val="false"/>
        <w:u w:val="none"/>
        <w:b/>
        <w:kern w:val="0"/>
        <w:szCs w:val="24"/>
        <w:iCs w:val="false"/>
        <w:bCs w:val="false"/>
        <w:em w:val="none"/>
        <w:vanish w:val="false"/>
        <w:rFonts w:ascii="Times New Roman" w:hAnsi="Times New Roman" w:cs="Times New Roman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sz w:val="24"/>
        <w:i w:val="false"/>
        <w:b/>
        <w:szCs w:val="24"/>
        <w:iCs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6">
    <w:lvl w:ilvl="0">
      <w:start w:val="1"/>
      <w:numFmt w:val="decimal"/>
      <w:lvlText w:val="1.%1"/>
      <w:lvlJc w:val="left"/>
      <w:pPr>
        <w:tabs>
          <w:tab w:val="num" w:pos="0"/>
        </w:tabs>
        <w:ind w:left="1429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lvl w:ilvl="0">
      <w:start w:val="4"/>
      <w:numFmt w:val="bullet"/>
      <w:lvlText w:val="-"/>
      <w:lvlJc w:val="left"/>
      <w:pPr>
        <w:tabs>
          <w:tab w:val="num" w:pos="0"/>
        </w:tabs>
        <w:ind w:left="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abstractNum w:abstractNumId="8">
    <w:lvl w:ilvl="0">
      <w:start w:val="3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360" w:hanging="360"/>
      </w:pPr>
      <w:rPr>
        <w:i w:val="false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/>
    </w:lvl>
  </w:abstractNum>
  <w:abstractNum w:abstractNumId="9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5"/>
      <w:numFmt w:val="decimal"/>
      <w:lvlText w:val="%1.%2."/>
      <w:lvlJc w:val="left"/>
      <w:pPr>
        <w:tabs>
          <w:tab w:val="num" w:pos="0"/>
        </w:tabs>
        <w:ind w:left="360" w:hanging="360"/>
      </w:pPr>
      <w:rPr>
        <w:i w:val="false"/>
        <w:u w:val="none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/>
    </w:lvl>
  </w:abstractNum>
  <w:abstractNum w:abstractNumId="10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w="http://schemas.openxmlformats.org/wordprocessingml/2006/main">
  <w:zoom w:percent="80"/>
  <w:displayBackgroundShape/>
  <w:defaultTabStop w:val="708"/>
  <w:autoHyphenation w:val="true"/>
  <w:compat>
    <w:compatSetting w:name="compatibilityMode" w:uri="http://schemas.microsoft.com/office/word" w:val="1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PT Sans" w:hAnsi="PT Sans" w:eastAsia="Noto Serif CJK SC" w:cs="Arial Unicode MS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fals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8"/>
      <w:lang w:val="ru-RU" w:eastAsia="zh-CN" w:bidi="ar-SA"/>
    </w:rPr>
  </w:style>
  <w:style w:type="paragraph" w:styleId="Heading1">
    <w:name w:val="Heading 1"/>
    <w:basedOn w:val="Heading3"/>
    <w:next w:val="Normal"/>
    <w:qFormat/>
    <w:pPr>
      <w:numPr>
        <w:ilvl w:val="0"/>
        <w:numId w:val="5"/>
      </w:numPr>
      <w:ind w:hanging="1224" w:left="5038" w:right="0"/>
      <w:outlineLvl w:val="0"/>
    </w:pPr>
    <w:rPr>
      <w:sz w:val="28"/>
      <w:szCs w:val="28"/>
    </w:rPr>
  </w:style>
  <w:style w:type="paragraph" w:styleId="Heading2">
    <w:name w:val="Heading 2"/>
    <w:basedOn w:val="Heading4"/>
    <w:next w:val="Normal"/>
    <w:qFormat/>
    <w:pPr>
      <w:numPr>
        <w:ilvl w:val="0"/>
        <w:numId w:val="5"/>
      </w:numPr>
      <w:outlineLvl w:val="1"/>
    </w:pPr>
    <w:rPr/>
  </w:style>
  <w:style w:type="paragraph" w:styleId="Heading3">
    <w:name w:val="Heading 3"/>
    <w:basedOn w:val="Normal"/>
    <w:next w:val="Normal"/>
    <w:qFormat/>
    <w:pPr>
      <w:widowControl w:val="false"/>
      <w:numPr>
        <w:ilvl w:val="0"/>
        <w:numId w:val="5"/>
      </w:numPr>
      <w:shd w:val="clear" w:fill="FFFFFF"/>
      <w:tabs>
        <w:tab w:val="clear" w:pos="708"/>
        <w:tab w:val="left" w:pos="720" w:leader="none"/>
      </w:tabs>
      <w:ind w:hanging="1224" w:left="0" w:right="0"/>
      <w:jc w:val="both"/>
      <w:outlineLvl w:val="2"/>
    </w:pPr>
    <w:rPr>
      <w:rFonts w:eastAsia="Calibri"/>
      <w:b/>
      <w:sz w:val="24"/>
      <w:szCs w:val="24"/>
      <w:lang w:val="ru-RU"/>
    </w:rPr>
  </w:style>
  <w:style w:type="paragraph" w:styleId="Heading4">
    <w:name w:val="Heading 4"/>
    <w:basedOn w:val="Heading3"/>
    <w:next w:val="Normal"/>
    <w:qFormat/>
    <w:pPr>
      <w:numPr>
        <w:ilvl w:val="0"/>
        <w:numId w:val="5"/>
      </w:numPr>
      <w:outlineLvl w:val="3"/>
    </w:pPr>
    <w:rPr>
      <w:bCs/>
    </w:rPr>
  </w:style>
  <w:style w:type="paragraph" w:styleId="Heading5">
    <w:name w:val="Heading 5"/>
    <w:basedOn w:val="Normal"/>
    <w:next w:val="Normal"/>
    <w:qFormat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  <w:lang w:val="ru-RU"/>
    </w:rPr>
  </w:style>
  <w:style w:type="paragraph" w:styleId="Heading6">
    <w:name w:val="Heading 6"/>
    <w:basedOn w:val="Normal"/>
    <w:next w:val="Normal"/>
    <w:qFormat/>
    <w:pPr>
      <w:keepNext w:val="true"/>
      <w:keepLines/>
      <w:numPr>
        <w:ilvl w:val="5"/>
        <w:numId w:val="1"/>
      </w:numPr>
      <w:spacing w:before="200" w:after="0"/>
      <w:outlineLvl w:val="5"/>
    </w:pPr>
    <w:rPr>
      <w:rFonts w:ascii="Cambria" w:hAnsi="Cambria" w:cs="Cambria"/>
      <w:i/>
      <w:iCs/>
      <w:color w:val="243F60"/>
      <w:sz w:val="20"/>
      <w:szCs w:val="20"/>
      <w:lang w:val="ru-RU"/>
    </w:rPr>
  </w:style>
  <w:style w:type="paragraph" w:styleId="Heading7">
    <w:name w:val="Heading 7"/>
    <w:basedOn w:val="Normal"/>
    <w:next w:val="Normal"/>
    <w:qFormat/>
    <w:pPr>
      <w:keepNext w:val="true"/>
      <w:keepLines/>
      <w:numPr>
        <w:ilvl w:val="6"/>
        <w:numId w:val="1"/>
      </w:numPr>
      <w:spacing w:before="200" w:after="0"/>
      <w:outlineLvl w:val="6"/>
    </w:pPr>
    <w:rPr>
      <w:rFonts w:ascii="Cambria" w:hAnsi="Cambria" w:cs="Cambria"/>
      <w:i/>
      <w:iCs/>
      <w:color w:val="404040"/>
      <w:sz w:val="20"/>
      <w:szCs w:val="20"/>
      <w:lang w:val="ru-RU"/>
    </w:rPr>
  </w:style>
  <w:style w:type="paragraph" w:styleId="Heading8">
    <w:name w:val="Heading 8"/>
    <w:basedOn w:val="Normal"/>
    <w:next w:val="Normal"/>
    <w:qFormat/>
    <w:pPr>
      <w:keepNext w:val="true"/>
      <w:keepLines/>
      <w:numPr>
        <w:ilvl w:val="7"/>
        <w:numId w:val="1"/>
      </w:numPr>
      <w:spacing w:before="200" w:after="0"/>
      <w:outlineLvl w:val="7"/>
    </w:pPr>
    <w:rPr>
      <w:rFonts w:ascii="Cambria" w:hAnsi="Cambria" w:cs="Cambria"/>
      <w:color w:val="4F81BD"/>
      <w:sz w:val="20"/>
      <w:szCs w:val="20"/>
      <w:lang w:val="ru-RU"/>
    </w:rPr>
  </w:style>
  <w:style w:type="paragraph" w:styleId="Heading9">
    <w:name w:val="Heading 9"/>
    <w:basedOn w:val="Normal"/>
    <w:next w:val="Normal"/>
    <w:qFormat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  <w:lang w:val="ru-RU"/>
    </w:rPr>
  </w:style>
  <w:style w:type="character" w:styleId="WW8Num2z0">
    <w:name w:val="WW8Num2z0"/>
    <w:qFormat/>
    <w:rPr>
      <w:b/>
      <w:color w:val="000000"/>
    </w:rPr>
  </w:style>
  <w:style w:type="character" w:styleId="WW8Num2z1">
    <w:name w:val="WW8Num2z1"/>
    <w:qFormat/>
    <w:rPr>
      <w:b w:val="false"/>
      <w:color w:val="000000"/>
    </w:rPr>
  </w:style>
  <w:style w:type="character" w:styleId="WW8Num2z2">
    <w:name w:val="WW8Num2z2"/>
    <w:qFormat/>
    <w:rPr/>
  </w:style>
  <w:style w:type="character" w:styleId="WW8Num3z0">
    <w:name w:val="WW8Num3z0"/>
    <w:qFormat/>
    <w:rPr/>
  </w:style>
  <w:style w:type="character" w:styleId="WW8Num3z4">
    <w:name w:val="WW8Num3z4"/>
    <w:qFormat/>
    <w:rPr>
      <w:rFonts w:ascii="Times New Roman" w:hAnsi="Times New Roman" w:cs="Times New Roman"/>
    </w:rPr>
  </w:style>
  <w:style w:type="character" w:styleId="WW8Num4z0">
    <w:name w:val="WW8Num4z0"/>
    <w:qFormat/>
    <w:rPr/>
  </w:style>
  <w:style w:type="character" w:styleId="WW8Num5z0">
    <w:name w:val="WW8Num5z0"/>
    <w:qFormat/>
    <w:rPr/>
  </w:style>
  <w:style w:type="character" w:styleId="WW8Num6z0">
    <w:name w:val="WW8Num6z0"/>
    <w:qFormat/>
    <w:rPr>
      <w:rFonts w:ascii="Times New Roman" w:hAnsi="Times New Roman" w:cs="Times New Roman"/>
      <w:b/>
      <w:bCs w:val="false"/>
      <w:i w:val="false"/>
      <w:iCs w:val="false"/>
      <w:caps w:val="false"/>
      <w:smallCaps w:val="false"/>
      <w:strike w:val="false"/>
      <w:dstrike w:val="false"/>
      <w:vanish w:val="false"/>
      <w:color w:val="000000"/>
      <w:spacing w:val="0"/>
      <w:kern w:val="0"/>
      <w:position w:val="0"/>
      <w:sz w:val="24"/>
      <w:sz w:val="24"/>
      <w:szCs w:val="24"/>
      <w:u w:val="none"/>
      <w:vertAlign w:val="baseline"/>
      <w:em w:val="none"/>
    </w:rPr>
  </w:style>
  <w:style w:type="character" w:styleId="WW8Num6z1">
    <w:name w:val="WW8Num6z1"/>
    <w:qFormat/>
    <w:rPr>
      <w:b/>
      <w:bCs/>
      <w:i w:val="false"/>
      <w:iCs/>
      <w:sz w:val="24"/>
      <w:szCs w:val="24"/>
    </w:rPr>
  </w:style>
  <w:style w:type="character" w:styleId="WW8Num6z2">
    <w:name w:val="WW8Num6z2"/>
    <w:qFormat/>
    <w:rPr/>
  </w:style>
  <w:style w:type="character" w:styleId="WW8Num7z0">
    <w:name w:val="WW8Num7z0"/>
    <w:qFormat/>
    <w:rPr/>
  </w:style>
  <w:style w:type="character" w:styleId="WW8Num8z0">
    <w:name w:val="WW8Num8z0"/>
    <w:qFormat/>
    <w:rPr>
      <w:rFonts w:ascii="Times New Roman" w:hAnsi="Times New Roman" w:cs="Times New Roman"/>
    </w:rPr>
  </w:style>
  <w:style w:type="character" w:styleId="WW8Num8z1">
    <w:name w:val="WW8Num8z1"/>
    <w:qFormat/>
    <w:rPr>
      <w:rFonts w:ascii="Courier New" w:hAnsi="Courier New" w:cs="Courier New"/>
    </w:rPr>
  </w:style>
  <w:style w:type="character" w:styleId="WW8Num8z2">
    <w:name w:val="WW8Num8z2"/>
    <w:qFormat/>
    <w:rPr>
      <w:rFonts w:ascii="Wingdings" w:hAnsi="Wingdings" w:cs="Wingdings"/>
    </w:rPr>
  </w:style>
  <w:style w:type="character" w:styleId="WW8Num8z3">
    <w:name w:val="WW8Num8z3"/>
    <w:qFormat/>
    <w:rPr>
      <w:rFonts w:ascii="Symbol" w:hAnsi="Symbol" w:cs="Symbol"/>
    </w:rPr>
  </w:style>
  <w:style w:type="character" w:styleId="WW8Num9z0">
    <w:name w:val="WW8Num9z0"/>
    <w:qFormat/>
    <w:rPr/>
  </w:style>
  <w:style w:type="character" w:styleId="WW8Num9z1">
    <w:name w:val="WW8Num9z1"/>
    <w:qFormat/>
    <w:rPr>
      <w:i w:val="false"/>
    </w:rPr>
  </w:style>
  <w:style w:type="character" w:styleId="WW8Num10z0">
    <w:name w:val="WW8Num10z0"/>
    <w:qFormat/>
    <w:rPr/>
  </w:style>
  <w:style w:type="character" w:styleId="WW8Num10z1">
    <w:name w:val="WW8Num10z1"/>
    <w:qFormat/>
    <w:rPr>
      <w:i w:val="false"/>
      <w:u w:val="none"/>
    </w:rPr>
  </w:style>
  <w:style w:type="character" w:styleId="WW8Num11z0">
    <w:name w:val="WW8Num11z0"/>
    <w:qFormat/>
    <w:rPr/>
  </w:style>
  <w:style w:type="character" w:styleId="WW8Num11z1">
    <w:name w:val="WW8Num11z1"/>
    <w:qFormat/>
    <w:rPr>
      <w:i w:val="false"/>
      <w:u w:val="none"/>
    </w:rPr>
  </w:style>
  <w:style w:type="character" w:styleId="WW8Num1z0">
    <w:name w:val="WW8Num1z0"/>
    <w:qFormat/>
    <w:rPr>
      <w:b w:val="false"/>
      <w:i w:val="false"/>
      <w:color w:val="000000"/>
    </w:rPr>
  </w:style>
  <w:style w:type="character" w:styleId="WW8Num6z4">
    <w:name w:val="WW8Num6z4"/>
    <w:qFormat/>
    <w:rPr>
      <w:rFonts w:ascii="Times New Roman" w:hAnsi="Times New Roman" w:cs="Times New Roman"/>
    </w:rPr>
  </w:style>
  <w:style w:type="character" w:styleId="WW8Num12z0">
    <w:name w:val="WW8Num12z0"/>
    <w:qFormat/>
    <w:rPr/>
  </w:style>
  <w:style w:type="character" w:styleId="WW8Num13z0">
    <w:name w:val="WW8Num13z0"/>
    <w:qFormat/>
    <w:rPr>
      <w:rFonts w:ascii="Times New Roman" w:hAnsi="Times New Roman" w:cs="Times New Roman"/>
      <w:b/>
      <w:bCs w:val="false"/>
      <w:i w:val="false"/>
      <w:iCs w:val="false"/>
      <w:caps w:val="false"/>
      <w:smallCaps w:val="false"/>
      <w:strike w:val="false"/>
      <w:dstrike w:val="false"/>
      <w:vanish w:val="false"/>
      <w:color w:val="000000"/>
      <w:spacing w:val="0"/>
      <w:kern w:val="0"/>
      <w:position w:val="0"/>
      <w:sz w:val="24"/>
      <w:sz w:val="24"/>
      <w:szCs w:val="24"/>
      <w:u w:val="none"/>
      <w:vertAlign w:val="baseline"/>
      <w:em w:val="none"/>
    </w:rPr>
  </w:style>
  <w:style w:type="character" w:styleId="WW8Num13z1">
    <w:name w:val="WW8Num13z1"/>
    <w:qFormat/>
    <w:rPr>
      <w:b/>
      <w:bCs/>
      <w:i w:val="false"/>
      <w:iCs/>
      <w:sz w:val="24"/>
      <w:szCs w:val="24"/>
    </w:rPr>
  </w:style>
  <w:style w:type="character" w:styleId="WW8Num13z2">
    <w:name w:val="WW8Num13z2"/>
    <w:qFormat/>
    <w:rPr/>
  </w:style>
  <w:style w:type="character" w:styleId="WW8Num14z0">
    <w:name w:val="WW8Num14z0"/>
    <w:qFormat/>
    <w:rPr>
      <w:b w:val="false"/>
      <w:i w:val="false"/>
      <w:color w:val="000000"/>
    </w:rPr>
  </w:style>
  <w:style w:type="character" w:styleId="WW8Num15z0">
    <w:name w:val="WW8Num15z0"/>
    <w:qFormat/>
    <w:rPr/>
  </w:style>
  <w:style w:type="character" w:styleId="WW8Num15z1">
    <w:name w:val="WW8Num15z1"/>
    <w:qFormat/>
    <w:rPr>
      <w:rFonts w:ascii="Times New Roman" w:hAnsi="Times New Roman" w:cs="Times New Roman"/>
      <w:sz w:val="28"/>
    </w:rPr>
  </w:style>
  <w:style w:type="character" w:styleId="WW8Num16z0">
    <w:name w:val="WW8Num16z0"/>
    <w:qFormat/>
    <w:rPr>
      <w:b/>
      <w:i w:val="false"/>
    </w:rPr>
  </w:style>
  <w:style w:type="character" w:styleId="WW8Num16z1">
    <w:name w:val="WW8Num16z1"/>
    <w:qFormat/>
    <w:rPr/>
  </w:style>
  <w:style w:type="character" w:styleId="WW8Num17z0">
    <w:name w:val="WW8Num17z0"/>
    <w:qFormat/>
    <w:rPr>
      <w:b w:val="false"/>
      <w:i w:val="false"/>
    </w:rPr>
  </w:style>
  <w:style w:type="character" w:styleId="WW8Num18z0">
    <w:name w:val="WW8Num18z0"/>
    <w:qFormat/>
    <w:rPr/>
  </w:style>
  <w:style w:type="character" w:styleId="WW8Num19z0">
    <w:name w:val="WW8Num19z0"/>
    <w:qFormat/>
    <w:rPr/>
  </w:style>
  <w:style w:type="character" w:styleId="WW8Num20z0">
    <w:name w:val="WW8Num20z0"/>
    <w:qFormat/>
    <w:rPr/>
  </w:style>
  <w:style w:type="character" w:styleId="WW8Num21z0">
    <w:name w:val="WW8Num21z0"/>
    <w:qFormat/>
    <w:rPr/>
  </w:style>
  <w:style w:type="character" w:styleId="WW8Num22z0">
    <w:name w:val="WW8Num22z0"/>
    <w:qFormat/>
    <w:rPr>
      <w:b w:val="false"/>
      <w:i w:val="false"/>
    </w:rPr>
  </w:style>
  <w:style w:type="character" w:styleId="WW8Num23z0">
    <w:name w:val="WW8Num23z0"/>
    <w:qFormat/>
    <w:rPr>
      <w:b w:val="false"/>
      <w:i w:val="false"/>
    </w:rPr>
  </w:style>
  <w:style w:type="character" w:styleId="WW8Num24z0">
    <w:name w:val="WW8Num24z0"/>
    <w:qFormat/>
    <w:rPr>
      <w:b w:val="false"/>
      <w:i w:val="false"/>
    </w:rPr>
  </w:style>
  <w:style w:type="character" w:styleId="WW8Num25z0">
    <w:name w:val="WW8Num25z0"/>
    <w:qFormat/>
    <w:rPr>
      <w:b w:val="false"/>
      <w:i w:val="false"/>
      <w:color w:val="000000"/>
    </w:rPr>
  </w:style>
  <w:style w:type="character" w:styleId="WW8Num26z0">
    <w:name w:val="WW8Num26z0"/>
    <w:qFormat/>
    <w:rPr>
      <w:b w:val="false"/>
      <w:i w:val="false"/>
    </w:rPr>
  </w:style>
  <w:style w:type="character" w:styleId="WW8Num27z0">
    <w:name w:val="WW8Num27z0"/>
    <w:qFormat/>
    <w:rPr>
      <w:rFonts w:ascii="Times New Roman" w:hAnsi="Times New Roman" w:eastAsia="Times New Roman" w:cs="Times New Roman"/>
    </w:rPr>
  </w:style>
  <w:style w:type="character" w:styleId="WW8Num27z1">
    <w:name w:val="WW8Num27z1"/>
    <w:qFormat/>
    <w:rPr>
      <w:rFonts w:ascii="Courier New" w:hAnsi="Courier New" w:cs="Courier New"/>
    </w:rPr>
  </w:style>
  <w:style w:type="character" w:styleId="WW8Num27z2">
    <w:name w:val="WW8Num27z2"/>
    <w:qFormat/>
    <w:rPr>
      <w:rFonts w:ascii="Wingdings" w:hAnsi="Wingdings" w:cs="Wingdings"/>
    </w:rPr>
  </w:style>
  <w:style w:type="character" w:styleId="WW8Num27z3">
    <w:name w:val="WW8Num27z3"/>
    <w:qFormat/>
    <w:rPr>
      <w:rFonts w:ascii="Symbol" w:hAnsi="Symbol" w:cs="Symbol"/>
    </w:rPr>
  </w:style>
  <w:style w:type="character" w:styleId="WW8Num28z0">
    <w:name w:val="WW8Num28z0"/>
    <w:qFormat/>
    <w:rPr/>
  </w:style>
  <w:style w:type="character" w:styleId="WW8Num29z0">
    <w:name w:val="WW8Num29z0"/>
    <w:qFormat/>
    <w:rPr>
      <w:b w:val="false"/>
      <w:i w:val="false"/>
    </w:rPr>
  </w:style>
  <w:style w:type="character" w:styleId="WW8Num30z0">
    <w:name w:val="WW8Num30z0"/>
    <w:qFormat/>
    <w:rPr>
      <w:b w:val="false"/>
      <w:i w:val="false"/>
    </w:rPr>
  </w:style>
  <w:style w:type="character" w:styleId="WW8Num31z0">
    <w:name w:val="WW8Num31z0"/>
    <w:qFormat/>
    <w:rPr>
      <w:b/>
      <w:i/>
      <w:color w:val="000000"/>
    </w:rPr>
  </w:style>
  <w:style w:type="character" w:styleId="1">
    <w:name w:val="Основной шрифт абзаца1"/>
    <w:qFormat/>
    <w:rPr/>
  </w:style>
  <w:style w:type="character" w:styleId="Style">
    <w:name w:val="Символ сноски"/>
    <w:qFormat/>
    <w:rPr>
      <w:vertAlign w:val="superscript"/>
    </w:rPr>
  </w:style>
  <w:style w:type="character" w:styleId="PageNumber">
    <w:name w:val="Page Number"/>
    <w:basedOn w:val="1"/>
    <w:rPr/>
  </w:style>
  <w:style w:type="character" w:styleId="Hyperlink">
    <w:name w:val="Hyperlink"/>
    <w:rPr>
      <w:color w:val="0000FF"/>
      <w:u w:val="single"/>
    </w:rPr>
  </w:style>
  <w:style w:type="character" w:styleId="11">
    <w:name w:val="Знак примечания1"/>
    <w:qFormat/>
    <w:rPr>
      <w:sz w:val="16"/>
      <w:szCs w:val="16"/>
    </w:rPr>
  </w:style>
  <w:style w:type="character" w:styleId="Strong">
    <w:name w:val="Strong"/>
    <w:qFormat/>
    <w:rPr>
      <w:b/>
      <w:bCs/>
    </w:rPr>
  </w:style>
  <w:style w:type="character" w:styleId="6">
    <w:name w:val="Заголовок 6 Знак"/>
    <w:qFormat/>
    <w:rPr>
      <w:rFonts w:ascii="Cambria" w:hAnsi="Cambria" w:cs="Cambria"/>
      <w:i/>
      <w:iCs/>
      <w:color w:val="243F60"/>
      <w:lang w:val="ru-RU"/>
    </w:rPr>
  </w:style>
  <w:style w:type="character" w:styleId="7">
    <w:name w:val="Заголовок 7 Знак"/>
    <w:qFormat/>
    <w:rPr>
      <w:rFonts w:ascii="Cambria" w:hAnsi="Cambria" w:cs="Cambria"/>
      <w:i/>
      <w:iCs/>
      <w:color w:val="404040"/>
      <w:lang w:val="ru-RU"/>
    </w:rPr>
  </w:style>
  <w:style w:type="character" w:styleId="8">
    <w:name w:val="Заголовок 8 Знак"/>
    <w:qFormat/>
    <w:rPr>
      <w:rFonts w:ascii="Cambria" w:hAnsi="Cambria" w:cs="Cambria"/>
      <w:color w:val="4F81BD"/>
      <w:lang w:val="ru-RU"/>
    </w:rPr>
  </w:style>
  <w:style w:type="character" w:styleId="12">
    <w:name w:val="Заголовок 1 Знак"/>
    <w:qFormat/>
    <w:rPr>
      <w:rFonts w:eastAsia="Calibri"/>
      <w:b/>
      <w:sz w:val="28"/>
      <w:szCs w:val="28"/>
      <w:shd w:fill="FFFFFF" w:val="clear"/>
      <w:lang w:val="ru-RU"/>
    </w:rPr>
  </w:style>
  <w:style w:type="character" w:styleId="2">
    <w:name w:val="Заголовок 2 Знак"/>
    <w:qFormat/>
    <w:rPr>
      <w:rFonts w:eastAsia="Calibri"/>
      <w:b/>
      <w:bCs/>
      <w:sz w:val="24"/>
      <w:szCs w:val="24"/>
      <w:shd w:fill="FFFFFF" w:val="clear"/>
      <w:lang w:val="ru-RU"/>
    </w:rPr>
  </w:style>
  <w:style w:type="character" w:styleId="3">
    <w:name w:val="Заголовок 3 Знак"/>
    <w:qFormat/>
    <w:rPr>
      <w:rFonts w:eastAsia="Calibri"/>
      <w:b/>
      <w:sz w:val="24"/>
      <w:szCs w:val="24"/>
      <w:shd w:fill="FFFFFF" w:val="clear"/>
      <w:lang w:val="ru-RU"/>
    </w:rPr>
  </w:style>
  <w:style w:type="character" w:styleId="4">
    <w:name w:val="Заголовок 4 Знак"/>
    <w:qFormat/>
    <w:rPr>
      <w:rFonts w:eastAsia="Calibri"/>
      <w:b/>
      <w:bCs/>
      <w:sz w:val="24"/>
      <w:szCs w:val="24"/>
      <w:shd w:fill="FFFFFF" w:val="clear"/>
      <w:lang w:val="ru-RU"/>
    </w:rPr>
  </w:style>
  <w:style w:type="character" w:styleId="5">
    <w:name w:val="Заголовок 5 Знак"/>
    <w:qFormat/>
    <w:rPr>
      <w:b/>
      <w:bCs/>
      <w:i/>
      <w:iCs/>
      <w:sz w:val="26"/>
      <w:szCs w:val="26"/>
    </w:rPr>
  </w:style>
  <w:style w:type="character" w:styleId="9">
    <w:name w:val="Заголовок 9 Знак"/>
    <w:qFormat/>
    <w:rPr>
      <w:rFonts w:ascii="Arial" w:hAnsi="Arial" w:cs="Arial"/>
      <w:sz w:val="22"/>
      <w:szCs w:val="22"/>
    </w:rPr>
  </w:style>
  <w:style w:type="character" w:styleId="Style1">
    <w:name w:val="Название Знак"/>
    <w:qFormat/>
    <w:rPr>
      <w:sz w:val="28"/>
    </w:rPr>
  </w:style>
  <w:style w:type="character" w:styleId="Style2">
    <w:name w:val="Подзаголовок Знак"/>
    <w:qFormat/>
    <w:rPr>
      <w:rFonts w:ascii="Cambria" w:hAnsi="Cambria" w:cs="Cambria"/>
      <w:i/>
      <w:iCs/>
      <w:color w:val="4F81BD"/>
      <w:spacing w:val="15"/>
      <w:sz w:val="24"/>
      <w:szCs w:val="24"/>
      <w:lang w:val="ru-RU"/>
    </w:rPr>
  </w:style>
  <w:style w:type="character" w:styleId="Emphasis">
    <w:name w:val="Emphasis"/>
    <w:qFormat/>
    <w:rPr>
      <w:i/>
      <w:iCs/>
    </w:rPr>
  </w:style>
  <w:style w:type="character" w:styleId="21">
    <w:name w:val="Цитата 2 Знак"/>
    <w:qFormat/>
    <w:rPr>
      <w:rFonts w:ascii="Calibri" w:hAnsi="Calibri" w:eastAsia="Calibri" w:cs="Calibri"/>
      <w:i/>
      <w:iCs/>
      <w:color w:val="000000"/>
      <w:lang w:val="ru-RU"/>
    </w:rPr>
  </w:style>
  <w:style w:type="character" w:styleId="Style3">
    <w:name w:val="Выделенная цитата Знак"/>
    <w:qFormat/>
    <w:rPr>
      <w:rFonts w:ascii="Calibri" w:hAnsi="Calibri" w:eastAsia="Calibri" w:cs="Calibri"/>
      <w:b/>
      <w:bCs/>
      <w:i/>
      <w:iCs/>
      <w:color w:val="4F81BD"/>
      <w:lang w:val="ru-RU"/>
    </w:rPr>
  </w:style>
  <w:style w:type="character" w:styleId="Style4">
    <w:name w:val="Слабое выделение"/>
    <w:qFormat/>
    <w:rPr>
      <w:i/>
      <w:iCs/>
      <w:color w:val="808080"/>
    </w:rPr>
  </w:style>
  <w:style w:type="character" w:styleId="Style5">
    <w:name w:val="Сильное выделение"/>
    <w:qFormat/>
    <w:rPr>
      <w:b/>
      <w:bCs/>
      <w:i/>
      <w:iCs/>
      <w:color w:val="4F81BD"/>
    </w:rPr>
  </w:style>
  <w:style w:type="character" w:styleId="Style6">
    <w:name w:val="Слабая ссылка"/>
    <w:qFormat/>
    <w:rPr>
      <w:smallCaps/>
      <w:color w:val="C0504D"/>
      <w:u w:val="single"/>
    </w:rPr>
  </w:style>
  <w:style w:type="character" w:styleId="Style7">
    <w:name w:val="Сильная ссылка"/>
    <w:qFormat/>
    <w:rPr>
      <w:b/>
      <w:bCs/>
      <w:smallCaps/>
      <w:color w:val="C0504D"/>
      <w:spacing w:val="5"/>
      <w:u w:val="single"/>
    </w:rPr>
  </w:style>
  <w:style w:type="character" w:styleId="Style8">
    <w:name w:val="Название книги"/>
    <w:qFormat/>
    <w:rPr>
      <w:b/>
      <w:bCs/>
      <w:smallCaps/>
      <w:spacing w:val="5"/>
    </w:rPr>
  </w:style>
  <w:style w:type="character" w:styleId="Style9">
    <w:name w:val="Электронная подпись Знак"/>
    <w:qFormat/>
    <w:rPr>
      <w:rFonts w:eastAsia="Calibri"/>
      <w:sz w:val="24"/>
      <w:szCs w:val="24"/>
    </w:rPr>
  </w:style>
  <w:style w:type="character" w:styleId="13">
    <w:name w:val="Подпункт Знак1"/>
    <w:qFormat/>
    <w:rPr>
      <w:sz w:val="28"/>
    </w:rPr>
  </w:style>
  <w:style w:type="character" w:styleId="Style10">
    <w:name w:val="Текст сноски Знак"/>
    <w:qFormat/>
    <w:rPr/>
  </w:style>
  <w:style w:type="character" w:styleId="Style11">
    <w:name w:val="Основной текст Знак"/>
    <w:qFormat/>
    <w:rPr>
      <w:sz w:val="28"/>
      <w:szCs w:val="28"/>
    </w:rPr>
  </w:style>
  <w:style w:type="character" w:styleId="Blk">
    <w:name w:val="blk"/>
    <w:qFormat/>
    <w:rPr/>
  </w:style>
  <w:style w:type="character" w:styleId="Style12">
    <w:name w:val="Абзац списка Знак"/>
    <w:qFormat/>
    <w:rPr>
      <w:rFonts w:eastAsia="Calibri"/>
      <w:sz w:val="24"/>
      <w:szCs w:val="24"/>
    </w:rPr>
  </w:style>
  <w:style w:type="character" w:styleId="Style13">
    <w:name w:val="комментарий"/>
    <w:qFormat/>
    <w:rPr>
      <w:b/>
      <w:i/>
      <w:shd w:fill="FFFF99" w:val="clear"/>
    </w:rPr>
  </w:style>
  <w:style w:type="character" w:styleId="Style14">
    <w:name w:val="Подподпункт Знак"/>
    <w:qFormat/>
    <w:rPr>
      <w:sz w:val="26"/>
      <w:szCs w:val="26"/>
    </w:rPr>
  </w:style>
  <w:style w:type="character" w:styleId="31">
    <w:name w:val="УРОВЕНЬ_Абзац_тип3 Знак"/>
    <w:qFormat/>
    <w:rPr>
      <w:rFonts w:eastAsia="Calibri"/>
      <w:sz w:val="26"/>
      <w:szCs w:val="28"/>
    </w:rPr>
  </w:style>
  <w:style w:type="character" w:styleId="Style15">
    <w:name w:val="Верхний колонтитул Знак"/>
    <w:qFormat/>
    <w:rPr>
      <w:sz w:val="24"/>
      <w:szCs w:val="24"/>
    </w:rPr>
  </w:style>
  <w:style w:type="character" w:styleId="Style16">
    <w:name w:val="Текст примечания Знак"/>
    <w:qFormat/>
    <w:rPr/>
  </w:style>
  <w:style w:type="character" w:styleId="Style17">
    <w:name w:val="Текст концевой сноски Знак"/>
    <w:basedOn w:val="1"/>
    <w:qFormat/>
    <w:rPr/>
  </w:style>
  <w:style w:type="character" w:styleId="Style18">
    <w:name w:val="Символ концевой сноски"/>
    <w:qFormat/>
    <w:rPr>
      <w:vertAlign w:val="superscript"/>
    </w:rPr>
  </w:style>
  <w:style w:type="character" w:styleId="22">
    <w:name w:val="Пункт2 Знак"/>
    <w:qFormat/>
    <w:rPr>
      <w:b/>
      <w:sz w:val="28"/>
    </w:rPr>
  </w:style>
  <w:style w:type="character" w:styleId="14">
    <w:name w:val="УРОВЕНЬ_1. Знак"/>
    <w:qFormat/>
    <w:rPr>
      <w:rFonts w:eastAsia="Calibri"/>
      <w:caps/>
      <w:sz w:val="28"/>
      <w:szCs w:val="28"/>
    </w:rPr>
  </w:style>
  <w:style w:type="character" w:styleId="15">
    <w:name w:val="Неразрешенное упоминание1"/>
    <w:qFormat/>
    <w:rPr>
      <w:color w:val="605E5C"/>
      <w:shd w:fill="E1DFDD" w:val="clear"/>
    </w:rPr>
  </w:style>
  <w:style w:type="character" w:styleId="32">
    <w:name w:val="Основной текст с отступом 3 Знак"/>
    <w:qFormat/>
    <w:rPr>
      <w:sz w:val="16"/>
      <w:szCs w:val="16"/>
    </w:rPr>
  </w:style>
  <w:style w:type="character" w:styleId="HTML">
    <w:name w:val="Стандартный HTML Знак"/>
    <w:qFormat/>
    <w:rPr>
      <w:rFonts w:ascii="Courier New" w:hAnsi="Courier New" w:cs="Courier New"/>
    </w:rPr>
  </w:style>
  <w:style w:type="character" w:styleId="LineNumber">
    <w:name w:val="Line Number"/>
    <w:rPr/>
  </w:style>
  <w:style w:type="character" w:styleId="Style19">
    <w:name w:val="Ссылка указателя"/>
    <w:qFormat/>
    <w:rPr/>
  </w:style>
  <w:style w:type="paragraph" w:styleId="Style20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;Arial" w:hAnsi="Liberation Sans;Arial" w:eastAsia="Arial Unicode MS" w:cs="Arial Unicode MS"/>
      <w:sz w:val="28"/>
      <w:szCs w:val="28"/>
    </w:rPr>
  </w:style>
  <w:style w:type="paragraph" w:styleId="BodyText">
    <w:name w:val="Body Text"/>
    <w:basedOn w:val="Normal"/>
    <w:pPr>
      <w:spacing w:before="0" w:after="12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Style21">
    <w:name w:val="Указатель"/>
    <w:basedOn w:val="Normal"/>
    <w:qFormat/>
    <w:pPr>
      <w:suppressLineNumbers/>
    </w:pPr>
    <w:rPr>
      <w:rFonts w:cs="Arial Unicode MS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Caption11">
    <w:name w:val="Caption11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Caption111">
    <w:name w:val="Caption111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Caption1111">
    <w:name w:val="Caption1111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Caption11111">
    <w:name w:val="Caption11111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Caption111111">
    <w:name w:val="Caption111111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Caption1111111">
    <w:name w:val="Caption1111111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Caption11111111">
    <w:name w:val="Caption11111111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Style22">
    <w:name w:val="Название объекта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51">
    <w:name w:val="Указатель5"/>
    <w:basedOn w:val="Normal"/>
    <w:qFormat/>
    <w:pPr>
      <w:suppressLineNumbers/>
    </w:pPr>
    <w:rPr>
      <w:rFonts w:cs="Arial Unicode MS"/>
    </w:rPr>
  </w:style>
  <w:style w:type="paragraph" w:styleId="Caption111111111">
    <w:name w:val="Caption111111111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52">
    <w:name w:val="Название объекта5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41">
    <w:name w:val="Указатель4"/>
    <w:basedOn w:val="Normal"/>
    <w:qFormat/>
    <w:pPr>
      <w:suppressLineNumbers/>
    </w:pPr>
    <w:rPr>
      <w:rFonts w:cs="Arial Unicode MS"/>
    </w:rPr>
  </w:style>
  <w:style w:type="paragraph" w:styleId="42">
    <w:name w:val="Название объекта4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33">
    <w:name w:val="Указатель3"/>
    <w:basedOn w:val="Normal"/>
    <w:qFormat/>
    <w:pPr>
      <w:suppressLineNumbers/>
    </w:pPr>
    <w:rPr/>
  </w:style>
  <w:style w:type="paragraph" w:styleId="Caption1111111111">
    <w:name w:val="Caption11111111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23">
    <w:name w:val="Заголовок2"/>
    <w:basedOn w:val="Normal"/>
    <w:next w:val="BodyText"/>
    <w:qFormat/>
    <w:pPr>
      <w:keepNext w:val="true"/>
      <w:spacing w:before="240" w:after="120"/>
    </w:pPr>
    <w:rPr>
      <w:rFonts w:ascii="Liberation Sans;Arial" w:hAnsi="Liberation Sans;Arial" w:eastAsia="Arial Unicode MS" w:cs="Arial Unicode MS"/>
      <w:sz w:val="28"/>
      <w:szCs w:val="28"/>
    </w:rPr>
  </w:style>
  <w:style w:type="paragraph" w:styleId="34">
    <w:name w:val="Название объекта3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24">
    <w:name w:val="Указатель2"/>
    <w:basedOn w:val="Normal"/>
    <w:qFormat/>
    <w:pPr>
      <w:suppressLineNumbers/>
    </w:pPr>
    <w:rPr/>
  </w:style>
  <w:style w:type="paragraph" w:styleId="16">
    <w:name w:val="Заголовок1"/>
    <w:basedOn w:val="Normal"/>
    <w:next w:val="BodyText"/>
    <w:qFormat/>
    <w:pPr>
      <w:keepNext w:val="true"/>
      <w:spacing w:before="240" w:after="120"/>
    </w:pPr>
    <w:rPr>
      <w:rFonts w:ascii="Liberation Sans;Arial" w:hAnsi="Liberation Sans;Arial" w:eastAsia="Arial Unicode MS" w:cs="Arial Unicode MS"/>
      <w:sz w:val="28"/>
      <w:szCs w:val="28"/>
    </w:rPr>
  </w:style>
  <w:style w:type="paragraph" w:styleId="25">
    <w:name w:val="Название объекта2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17">
    <w:name w:val="Указатель1"/>
    <w:basedOn w:val="Normal"/>
    <w:qFormat/>
    <w:pPr>
      <w:suppressLineNumbers/>
    </w:pPr>
    <w:rPr>
      <w:lang w:val="zxx" w:bidi="zxx"/>
    </w:rPr>
  </w:style>
  <w:style w:type="paragraph" w:styleId="Caption11111111111">
    <w:name w:val="Caption111111111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Caption111111111111">
    <w:name w:val="Caption1111111111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23">
    <w:name w:val="Название раздела инструкции"/>
    <w:basedOn w:val="Normal"/>
    <w:qFormat/>
    <w:pPr>
      <w:jc w:val="center"/>
    </w:pPr>
    <w:rPr>
      <w:b/>
    </w:rPr>
  </w:style>
  <w:style w:type="paragraph" w:styleId="Style24">
    <w:name w:val="Раздел положения"/>
    <w:basedOn w:val="Normal"/>
    <w:qFormat/>
    <w:pPr>
      <w:spacing w:before="80" w:after="0"/>
      <w:outlineLvl w:val="1"/>
    </w:pPr>
    <w:rPr>
      <w:b/>
      <w:sz w:val="24"/>
      <w:szCs w:val="24"/>
    </w:rPr>
  </w:style>
  <w:style w:type="paragraph" w:styleId="Style25">
    <w:name w:val="Подраздел раздела положения"/>
    <w:basedOn w:val="Normal"/>
    <w:qFormat/>
    <w:pPr>
      <w:numPr>
        <w:ilvl w:val="0"/>
        <w:numId w:val="4"/>
      </w:numPr>
      <w:spacing w:before="80" w:after="80"/>
      <w:jc w:val="both"/>
    </w:pPr>
    <w:rPr/>
  </w:style>
  <w:style w:type="paragraph" w:styleId="FootnoteText">
    <w:name w:val="Footnote Text"/>
    <w:basedOn w:val="Normal"/>
    <w:pPr/>
    <w:rPr>
      <w:sz w:val="20"/>
      <w:szCs w:val="20"/>
    </w:rPr>
  </w:style>
  <w:style w:type="paragraph" w:styleId="18">
    <w:name w:val="Шапка 1"/>
    <w:basedOn w:val="Normal"/>
    <w:qFormat/>
    <w:pPr>
      <w:pBdr>
        <w:bottom w:val="thickThinSmallGap" w:sz="24" w:space="1" w:color="000000"/>
      </w:pBdr>
      <w:spacing w:before="0" w:after="240"/>
      <w:jc w:val="center"/>
    </w:pPr>
    <w:rPr>
      <w:sz w:val="22"/>
      <w:szCs w:val="22"/>
    </w:rPr>
  </w:style>
  <w:style w:type="paragraph" w:styleId="26">
    <w:name w:val="Шапка 2"/>
    <w:basedOn w:val="Normal"/>
    <w:qFormat/>
    <w:pPr>
      <w:pBdr>
        <w:bottom w:val="thickThinSmallGap" w:sz="24" w:space="1" w:color="000000"/>
      </w:pBdr>
      <w:spacing w:before="0" w:after="120"/>
      <w:jc w:val="center"/>
    </w:pPr>
    <w:rPr>
      <w:b/>
      <w:sz w:val="22"/>
      <w:szCs w:val="22"/>
    </w:rPr>
  </w:style>
  <w:style w:type="paragraph" w:styleId="35">
    <w:name w:val="Шапка 3"/>
    <w:basedOn w:val="Normal"/>
    <w:qFormat/>
    <w:pPr>
      <w:pBdr>
        <w:bottom w:val="thickThinSmallGap" w:sz="24" w:space="1" w:color="000000"/>
      </w:pBdr>
      <w:spacing w:before="240" w:after="360"/>
      <w:jc w:val="center"/>
    </w:pPr>
    <w:rPr>
      <w:b/>
      <w:sz w:val="24"/>
      <w:szCs w:val="24"/>
    </w:rPr>
  </w:style>
  <w:style w:type="paragraph" w:styleId="19">
    <w:name w:val="Название1"/>
    <w:basedOn w:val="Normal"/>
    <w:qFormat/>
    <w:pPr>
      <w:jc w:val="center"/>
    </w:pPr>
    <w:rPr>
      <w:szCs w:val="20"/>
      <w:lang w:val="ru-RU"/>
    </w:rPr>
  </w:style>
  <w:style w:type="paragraph" w:styleId="Style26">
    <w:name w:val="Колонтитул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Header">
    <w:name w:val="Header"/>
    <w:basedOn w:val="Normal"/>
    <w:pPr/>
    <w:rPr>
      <w:sz w:val="24"/>
      <w:szCs w:val="24"/>
    </w:rPr>
  </w:style>
  <w:style w:type="paragraph" w:styleId="BodyTextIndent">
    <w:name w:val="Body Text Indent"/>
    <w:basedOn w:val="Normal"/>
    <w:pPr>
      <w:ind w:hanging="0" w:left="360" w:right="0"/>
    </w:pPr>
    <w:rPr>
      <w:sz w:val="24"/>
      <w:szCs w:val="24"/>
    </w:rPr>
  </w:style>
  <w:style w:type="paragraph" w:styleId="Footer">
    <w:name w:val="Footer"/>
    <w:basedOn w:val="Normal"/>
    <w:pPr/>
    <w:rPr/>
  </w:style>
  <w:style w:type="paragraph" w:styleId="211">
    <w:name w:val="Основной текст с отступом 21"/>
    <w:basedOn w:val="Normal"/>
    <w:qFormat/>
    <w:pPr>
      <w:spacing w:lineRule="auto" w:line="480" w:before="0" w:after="120"/>
      <w:ind w:hanging="0" w:left="283" w:right="0"/>
    </w:pPr>
    <w:rPr/>
  </w:style>
  <w:style w:type="paragraph" w:styleId="311">
    <w:name w:val="Основной текст 31"/>
    <w:basedOn w:val="Normal"/>
    <w:qFormat/>
    <w:pPr>
      <w:spacing w:before="0" w:after="120"/>
    </w:pPr>
    <w:rPr>
      <w:sz w:val="16"/>
      <w:szCs w:val="16"/>
    </w:rPr>
  </w:style>
  <w:style w:type="paragraph" w:styleId="312">
    <w:name w:val="Основной текст с отступом 31"/>
    <w:basedOn w:val="Normal"/>
    <w:qFormat/>
    <w:pPr>
      <w:spacing w:before="0" w:after="120"/>
      <w:ind w:hanging="0" w:left="283" w:right="0"/>
    </w:pPr>
    <w:rPr>
      <w:sz w:val="16"/>
      <w:szCs w:val="16"/>
    </w:rPr>
  </w:style>
  <w:style w:type="paragraph" w:styleId="212">
    <w:name w:val="Основной текст 21"/>
    <w:basedOn w:val="Normal"/>
    <w:qFormat/>
    <w:pPr>
      <w:spacing w:lineRule="auto" w:line="480" w:before="0" w:after="120"/>
    </w:pPr>
    <w:rPr/>
  </w:style>
  <w:style w:type="paragraph" w:styleId="110">
    <w:name w:val="Цитата1"/>
    <w:basedOn w:val="Normal"/>
    <w:qFormat/>
    <w:pPr>
      <w:ind w:hanging="0" w:left="-567" w:right="-766"/>
      <w:jc w:val="center"/>
    </w:pPr>
    <w:rPr>
      <w:b/>
      <w:bCs/>
      <w:sz w:val="24"/>
      <w:szCs w:val="20"/>
    </w:rPr>
  </w:style>
  <w:style w:type="paragraph" w:styleId="Style27">
    <w:name w:val="Подпункт"/>
    <w:basedOn w:val="Normal"/>
    <w:qFormat/>
    <w:pPr>
      <w:snapToGrid w:val="false"/>
      <w:spacing w:lineRule="auto" w:line="360"/>
      <w:ind w:hanging="1134" w:left="1134" w:right="0"/>
      <w:jc w:val="both"/>
    </w:pPr>
    <w:rPr>
      <w:szCs w:val="20"/>
      <w:lang w:val="ru-RU"/>
    </w:rPr>
  </w:style>
  <w:style w:type="paragraph" w:styleId="27">
    <w:name w:val="Пункт2"/>
    <w:basedOn w:val="Normal"/>
    <w:qFormat/>
    <w:pPr>
      <w:keepNext w:val="true"/>
      <w:suppressAutoHyphens w:val="true"/>
      <w:snapToGrid w:val="false"/>
      <w:spacing w:before="240" w:after="120"/>
      <w:ind w:hanging="1134" w:left="1134" w:right="0"/>
      <w:outlineLvl w:val="2"/>
    </w:pPr>
    <w:rPr>
      <w:b/>
      <w:szCs w:val="20"/>
    </w:rPr>
  </w:style>
  <w:style w:type="paragraph" w:styleId="TOC1">
    <w:name w:val="TOC 1"/>
    <w:basedOn w:val="Normal"/>
    <w:next w:val="Normal"/>
    <w:pPr>
      <w:spacing w:before="120" w:after="0"/>
    </w:pPr>
    <w:rPr>
      <w:rFonts w:cs="Calibri Light (Заголовки)"/>
      <w:b/>
      <w:bCs/>
      <w:sz w:val="24"/>
      <w:szCs w:val="24"/>
    </w:rPr>
  </w:style>
  <w:style w:type="paragraph" w:styleId="TOC3">
    <w:name w:val="TOC 3"/>
    <w:basedOn w:val="Normal"/>
    <w:next w:val="Normal"/>
    <w:pPr>
      <w:ind w:hanging="0" w:left="280" w:right="0"/>
    </w:pPr>
    <w:rPr>
      <w:rFonts w:cs="Calibri"/>
      <w:sz w:val="20"/>
      <w:szCs w:val="20"/>
    </w:rPr>
  </w:style>
  <w:style w:type="paragraph" w:styleId="Style28">
    <w:name w:val="Раздел регламента"/>
    <w:basedOn w:val="Normal"/>
    <w:qFormat/>
    <w:pPr/>
    <w:rPr/>
  </w:style>
  <w:style w:type="paragraph" w:styleId="Style29">
    <w:name w:val="Приложение к регламенту"/>
    <w:basedOn w:val="Normal"/>
    <w:qFormat/>
    <w:pPr>
      <w:jc w:val="right"/>
    </w:pPr>
    <w:rPr/>
  </w:style>
  <w:style w:type="paragraph" w:styleId="TOC2">
    <w:name w:val="TOC 2"/>
    <w:basedOn w:val="Normal"/>
    <w:next w:val="Normal"/>
    <w:pPr>
      <w:spacing w:before="240" w:after="0"/>
    </w:pPr>
    <w:rPr>
      <w:rFonts w:cs="Calibri"/>
      <w:b/>
      <w:bCs/>
      <w:sz w:val="20"/>
      <w:szCs w:val="20"/>
    </w:rPr>
  </w:style>
  <w:style w:type="paragraph" w:styleId="Style30">
    <w:name w:val="Текст выноски"/>
    <w:basedOn w:val="Normal"/>
    <w:qFormat/>
    <w:pPr/>
    <w:rPr>
      <w:rFonts w:ascii="Tahoma" w:hAnsi="Tahoma" w:cs="Tahoma"/>
      <w:sz w:val="16"/>
      <w:szCs w:val="16"/>
    </w:rPr>
  </w:style>
  <w:style w:type="paragraph" w:styleId="111">
    <w:name w:val="Текст примечания1"/>
    <w:basedOn w:val="Normal"/>
    <w:qFormat/>
    <w:pPr/>
    <w:rPr>
      <w:sz w:val="20"/>
      <w:szCs w:val="20"/>
    </w:rPr>
  </w:style>
  <w:style w:type="paragraph" w:styleId="Style31">
    <w:name w:val="Тема примечания"/>
    <w:basedOn w:val="111"/>
    <w:next w:val="111"/>
    <w:qFormat/>
    <w:pPr/>
    <w:rPr>
      <w:b/>
      <w:bCs/>
    </w:rPr>
  </w:style>
  <w:style w:type="paragraph" w:styleId="112">
    <w:name w:val="Обычный (веб)1"/>
    <w:basedOn w:val="Normal"/>
    <w:qFormat/>
    <w:pPr>
      <w:spacing w:before="280" w:after="280"/>
    </w:pPr>
    <w:rPr>
      <w:rFonts w:ascii="Arial Unicode MS" w:hAnsi="Arial Unicode MS" w:eastAsia="Arial Unicode MS" w:cs="Arial Unicode MS"/>
      <w:sz w:val="24"/>
      <w:szCs w:val="24"/>
    </w:rPr>
  </w:style>
  <w:style w:type="paragraph" w:styleId="TOC9">
    <w:name w:val="TOC 9"/>
    <w:basedOn w:val="Normal"/>
    <w:next w:val="Normal"/>
    <w:pPr>
      <w:ind w:hanging="0" w:left="1960" w:right="0"/>
    </w:pPr>
    <w:rPr>
      <w:rFonts w:ascii="Calibri" w:hAnsi="Calibri" w:cs="Calibri"/>
      <w:sz w:val="20"/>
      <w:szCs w:val="20"/>
    </w:rPr>
  </w:style>
  <w:style w:type="paragraph" w:styleId="TOC5">
    <w:name w:val="TOC 5"/>
    <w:basedOn w:val="Normal"/>
    <w:next w:val="Normal"/>
    <w:pPr>
      <w:ind w:hanging="0" w:left="840" w:right="0"/>
    </w:pPr>
    <w:rPr>
      <w:rFonts w:ascii="Calibri" w:hAnsi="Calibri" w:cs="Calibri"/>
      <w:sz w:val="20"/>
      <w:szCs w:val="20"/>
    </w:rPr>
  </w:style>
  <w:style w:type="paragraph" w:styleId="TOC4">
    <w:name w:val="TOC 4"/>
    <w:basedOn w:val="Normal"/>
    <w:next w:val="Normal"/>
    <w:pPr>
      <w:ind w:hanging="0" w:left="560" w:right="0"/>
    </w:pPr>
    <w:rPr>
      <w:rFonts w:cs="Calibri"/>
      <w:sz w:val="20"/>
      <w:szCs w:val="20"/>
    </w:rPr>
  </w:style>
  <w:style w:type="paragraph" w:styleId="28">
    <w:name w:val="Раздел положения 2"/>
    <w:basedOn w:val="Normal"/>
    <w:qFormat/>
    <w:pPr>
      <w:pageBreakBefore/>
      <w:jc w:val="both"/>
      <w:outlineLvl w:val="0"/>
    </w:pPr>
    <w:rPr>
      <w:b/>
    </w:rPr>
  </w:style>
  <w:style w:type="paragraph" w:styleId="Style32">
    <w:name w:val="Знак Знак Знак Знак Знак Знак Знак Знак Знак"/>
    <w:basedOn w:val="Normal"/>
    <w:qFormat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/>
    </w:rPr>
  </w:style>
  <w:style w:type="paragraph" w:styleId="Style33">
    <w:name w:val="Без интервала"/>
    <w:basedOn w:val="Normal"/>
    <w:qFormat/>
    <w:pPr>
      <w:spacing w:lineRule="auto" w:line="360"/>
    </w:pPr>
    <w:rPr>
      <w:rFonts w:eastAsia="Calibri"/>
      <w:sz w:val="24"/>
      <w:szCs w:val="24"/>
    </w:rPr>
  </w:style>
  <w:style w:type="paragraph" w:styleId="113">
    <w:name w:val="Название объекта1"/>
    <w:basedOn w:val="Normal"/>
    <w:next w:val="Normal"/>
    <w:qFormat/>
    <w:pPr/>
    <w:rPr>
      <w:rFonts w:eastAsia="Calibri"/>
      <w:b/>
      <w:bCs/>
      <w:color w:val="4F81BD"/>
      <w:sz w:val="18"/>
      <w:szCs w:val="18"/>
    </w:rPr>
  </w:style>
  <w:style w:type="paragraph" w:styleId="Subtitle">
    <w:name w:val="Subtitle"/>
    <w:basedOn w:val="Normal"/>
    <w:next w:val="Normal"/>
    <w:qFormat/>
    <w:pPr>
      <w:ind w:firstLine="709" w:left="1066" w:right="0"/>
    </w:pPr>
    <w:rPr>
      <w:rFonts w:ascii="Cambria" w:hAnsi="Cambria" w:cs="Cambria"/>
      <w:i/>
      <w:iCs/>
      <w:color w:val="4F81BD"/>
      <w:spacing w:val="15"/>
      <w:sz w:val="24"/>
      <w:szCs w:val="24"/>
      <w:lang w:val="ru-RU"/>
    </w:rPr>
  </w:style>
  <w:style w:type="paragraph" w:styleId="Style34">
    <w:name w:val="Абзац списка"/>
    <w:basedOn w:val="Normal"/>
    <w:qFormat/>
    <w:pPr>
      <w:spacing w:before="0" w:after="0"/>
      <w:ind w:hanging="0" w:left="720" w:right="0"/>
      <w:contextualSpacing/>
    </w:pPr>
    <w:rPr>
      <w:rFonts w:eastAsia="Calibri"/>
      <w:sz w:val="24"/>
      <w:szCs w:val="24"/>
    </w:rPr>
  </w:style>
  <w:style w:type="paragraph" w:styleId="29">
    <w:name w:val="Цитата 2"/>
    <w:basedOn w:val="Normal"/>
    <w:next w:val="Normal"/>
    <w:qFormat/>
    <w:pPr/>
    <w:rPr>
      <w:rFonts w:ascii="Calibri" w:hAnsi="Calibri" w:eastAsia="Calibri" w:cs="Calibri"/>
      <w:i/>
      <w:iCs/>
      <w:color w:val="000000"/>
      <w:sz w:val="20"/>
      <w:szCs w:val="20"/>
      <w:lang w:val="ru-RU"/>
    </w:rPr>
  </w:style>
  <w:style w:type="paragraph" w:styleId="Style35">
    <w:name w:val="Выделенная цитата"/>
    <w:basedOn w:val="Normal"/>
    <w:next w:val="Normal"/>
    <w:qFormat/>
    <w:pPr>
      <w:pBdr>
        <w:bottom w:val="single" w:sz="4" w:space="4" w:color="4F81BD"/>
      </w:pBdr>
      <w:spacing w:before="200" w:after="280"/>
      <w:ind w:hanging="0" w:left="936" w:right="936"/>
    </w:pPr>
    <w:rPr>
      <w:rFonts w:ascii="Calibri" w:hAnsi="Calibri" w:eastAsia="Calibri" w:cs="Calibri"/>
      <w:b/>
      <w:bCs/>
      <w:i/>
      <w:iCs/>
      <w:color w:val="4F81BD"/>
      <w:sz w:val="20"/>
      <w:szCs w:val="20"/>
      <w:lang w:val="ru-RU"/>
    </w:rPr>
  </w:style>
  <w:style w:type="paragraph" w:styleId="IndexHeading">
    <w:name w:val="Index Heading"/>
    <w:basedOn w:val="16"/>
    <w:pPr>
      <w:suppressLineNumbers/>
      <w:ind w:hanging="0" w:left="0" w:right="0"/>
    </w:pPr>
    <w:rPr>
      <w:b/>
      <w:bCs/>
      <w:sz w:val="32"/>
      <w:szCs w:val="32"/>
    </w:rPr>
  </w:style>
  <w:style w:type="paragraph" w:styleId="TOCHeading">
    <w:name w:val="TOC Heading"/>
    <w:basedOn w:val="Heading1"/>
    <w:next w:val="Normal"/>
    <w:qFormat/>
    <w:pPr>
      <w:keepLines/>
      <w:numPr>
        <w:ilvl w:val="0"/>
        <w:numId w:val="5"/>
      </w:numPr>
      <w:spacing w:before="480" w:after="0"/>
      <w:outlineLvl w:val="9"/>
    </w:pPr>
    <w:rPr>
      <w:rFonts w:ascii="Cambria" w:hAnsi="Cambria" w:cs="Cambria"/>
      <w:bCs/>
      <w:color w:val="365F91"/>
    </w:rPr>
  </w:style>
  <w:style w:type="paragraph" w:styleId="Style36">
    <w:name w:val="Электронная подпись"/>
    <w:basedOn w:val="Normal"/>
    <w:qFormat/>
    <w:pPr/>
    <w:rPr>
      <w:rFonts w:eastAsia="Calibri"/>
      <w:sz w:val="24"/>
      <w:szCs w:val="24"/>
      <w:lang w:val="ru-RU"/>
    </w:rPr>
  </w:style>
  <w:style w:type="paragraph" w:styleId="Style37">
    <w:name w:val="Знак"/>
    <w:basedOn w:val="Normal"/>
    <w:qFormat/>
    <w:pPr>
      <w:spacing w:lineRule="exact" w:line="240" w:before="0" w:after="160"/>
    </w:pPr>
    <w:rPr>
      <w:rFonts w:ascii="Verdana" w:hAnsi="Verdana" w:cs="Verdana"/>
      <w:sz w:val="20"/>
      <w:szCs w:val="20"/>
      <w:lang w:val="en-US"/>
    </w:rPr>
  </w:style>
  <w:style w:type="paragraph" w:styleId="36">
    <w:name w:val="Нумерованный список ур3"/>
    <w:basedOn w:val="Normal"/>
    <w:qFormat/>
    <w:pPr>
      <w:numPr>
        <w:ilvl w:val="0"/>
        <w:numId w:val="7"/>
      </w:numPr>
      <w:jc w:val="both"/>
    </w:pPr>
    <w:rPr>
      <w:rFonts w:ascii="Garamond" w:hAnsi="Garamond" w:cs="Garamond"/>
      <w:sz w:val="24"/>
      <w:szCs w:val="20"/>
    </w:rPr>
  </w:style>
  <w:style w:type="paragraph" w:styleId="ListBullet4">
    <w:name w:val="List Bullet 4"/>
    <w:basedOn w:val="Normal"/>
    <w:qFormat/>
    <w:pPr>
      <w:numPr>
        <w:ilvl w:val="0"/>
        <w:numId w:val="7"/>
      </w:numPr>
      <w:spacing w:before="120" w:after="0"/>
      <w:jc w:val="both"/>
    </w:pPr>
    <w:rPr>
      <w:rFonts w:ascii="Garamond" w:hAnsi="Garamond" w:cs="Garamond"/>
      <w:sz w:val="24"/>
      <w:szCs w:val="20"/>
    </w:rPr>
  </w:style>
  <w:style w:type="paragraph" w:styleId="210">
    <w:name w:val="Нумерованный список ур2"/>
    <w:basedOn w:val="Normal"/>
    <w:qFormat/>
    <w:pPr>
      <w:numPr>
        <w:ilvl w:val="0"/>
        <w:numId w:val="7"/>
      </w:numPr>
      <w:spacing w:before="120" w:after="0"/>
      <w:jc w:val="both"/>
    </w:pPr>
    <w:rPr>
      <w:rFonts w:ascii="Garamond" w:hAnsi="Garamond" w:cs="Garamond"/>
      <w:sz w:val="24"/>
      <w:szCs w:val="20"/>
    </w:rPr>
  </w:style>
  <w:style w:type="paragraph" w:styleId="Style38">
    <w:name w:val="Рецензия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Times New Roman"/>
      <w:color w:val="auto"/>
      <w:kern w:val="0"/>
      <w:sz w:val="24"/>
      <w:szCs w:val="24"/>
      <w:lang w:val="ru-RU" w:eastAsia="zh-CN" w:bidi="ar-SA"/>
    </w:rPr>
  </w:style>
  <w:style w:type="paragraph" w:styleId="ConsPlusNormal">
    <w:name w:val="ConsPlusNormal"/>
    <w:qFormat/>
    <w:pPr>
      <w:widowControl w:val="false"/>
      <w:suppressAutoHyphens w:val="true"/>
      <w:bidi w:val="0"/>
      <w:spacing w:before="0" w:after="0"/>
      <w:ind w:firstLine="720" w:left="0" w:right="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zh-CN" w:bidi="ar-SA"/>
    </w:rPr>
  </w:style>
  <w:style w:type="paragraph" w:styleId="37">
    <w:name w:val="Знак Знак3 Знак Знак"/>
    <w:basedOn w:val="Normal"/>
    <w:qFormat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/>
    </w:rPr>
  </w:style>
  <w:style w:type="paragraph" w:styleId="Style39">
    <w:name w:val="Пункт"/>
    <w:basedOn w:val="Normal"/>
    <w:qFormat/>
    <w:pPr>
      <w:widowControl w:val="false"/>
      <w:spacing w:lineRule="auto" w:line="360" w:before="120" w:after="0"/>
      <w:ind w:hanging="1134" w:left="1134" w:right="800"/>
      <w:jc w:val="both"/>
    </w:pPr>
    <w:rPr>
      <w:rFonts w:ascii="Arial" w:hAnsi="Arial" w:cs="Arial"/>
      <w:b/>
      <w:i/>
      <w:szCs w:val="20"/>
    </w:rPr>
  </w:style>
  <w:style w:type="paragraph" w:styleId="114">
    <w:name w:val="Абзац списка1"/>
    <w:basedOn w:val="Normal"/>
    <w:qFormat/>
    <w:pPr>
      <w:spacing w:lineRule="auto" w:line="276" w:before="0" w:after="200"/>
      <w:ind w:hanging="0" w:left="720" w:right="0"/>
      <w:contextualSpacing/>
    </w:pPr>
    <w:rPr>
      <w:rFonts w:ascii="Calibri" w:hAnsi="Calibri" w:cs="Calibri"/>
      <w:sz w:val="22"/>
      <w:szCs w:val="22"/>
    </w:rPr>
  </w:style>
  <w:style w:type="paragraph" w:styleId="Style40">
    <w:name w:val="Таблица"/>
    <w:basedOn w:val="Normal"/>
    <w:qFormat/>
    <w:pPr>
      <w:keepNext w:val="true"/>
      <w:spacing w:before="60" w:after="60"/>
      <w:jc w:val="center"/>
    </w:pPr>
    <w:rPr>
      <w:rFonts w:eastAsia="Calibri"/>
      <w:b/>
      <w:sz w:val="24"/>
      <w:szCs w:val="24"/>
      <w:lang w:val="ru-RU"/>
    </w:rPr>
  </w:style>
  <w:style w:type="paragraph" w:styleId="Style41">
    <w:name w:val="Таблица шапка"/>
    <w:basedOn w:val="Normal"/>
    <w:qFormat/>
    <w:pPr>
      <w:keepNext w:val="true"/>
      <w:spacing w:before="40" w:after="40"/>
      <w:ind w:hanging="0" w:left="57" w:right="57"/>
    </w:pPr>
    <w:rPr>
      <w:sz w:val="22"/>
      <w:szCs w:val="26"/>
    </w:rPr>
  </w:style>
  <w:style w:type="paragraph" w:styleId="Style42">
    <w:name w:val="Подподпункт"/>
    <w:basedOn w:val="Style27"/>
    <w:qFormat/>
    <w:pPr>
      <w:snapToGrid w:val="true"/>
      <w:spacing w:lineRule="auto" w:line="240" w:before="120" w:after="0"/>
      <w:ind w:hanging="567" w:left="5104" w:right="0"/>
    </w:pPr>
    <w:rPr>
      <w:sz w:val="26"/>
      <w:szCs w:val="26"/>
      <w:lang w:val="ru-RU"/>
    </w:rPr>
  </w:style>
  <w:style w:type="paragraph" w:styleId="Style43">
    <w:name w:val="УРОВЕНЬ_(а)"/>
    <w:basedOn w:val="Style34"/>
    <w:qFormat/>
    <w:pPr>
      <w:numPr>
        <w:ilvl w:val="0"/>
        <w:numId w:val="3"/>
      </w:numPr>
      <w:spacing w:lineRule="exact" w:line="360" w:before="120" w:after="0"/>
      <w:contextualSpacing w:val="false"/>
      <w:jc w:val="both"/>
      <w:outlineLvl w:val="3"/>
    </w:pPr>
    <w:rPr>
      <w:sz w:val="26"/>
      <w:szCs w:val="28"/>
    </w:rPr>
  </w:style>
  <w:style w:type="paragraph" w:styleId="-">
    <w:name w:val="УРОВЕНЬ_-"/>
    <w:basedOn w:val="Style34"/>
    <w:qFormat/>
    <w:pPr>
      <w:numPr>
        <w:ilvl w:val="0"/>
        <w:numId w:val="3"/>
      </w:numPr>
      <w:spacing w:lineRule="exact" w:line="360" w:before="120" w:after="0"/>
      <w:contextualSpacing w:val="false"/>
      <w:jc w:val="both"/>
      <w:outlineLvl w:val="4"/>
    </w:pPr>
    <w:rPr>
      <w:sz w:val="26"/>
      <w:szCs w:val="28"/>
    </w:rPr>
  </w:style>
  <w:style w:type="paragraph" w:styleId="213">
    <w:name w:val="УРОВЕНЬ_Абзац_тип2"/>
    <w:basedOn w:val="Style34"/>
    <w:qFormat/>
    <w:pPr>
      <w:numPr>
        <w:ilvl w:val="0"/>
        <w:numId w:val="3"/>
      </w:numPr>
      <w:spacing w:lineRule="exact" w:line="360" w:before="120" w:after="0"/>
      <w:contextualSpacing w:val="false"/>
      <w:jc w:val="both"/>
    </w:pPr>
    <w:rPr>
      <w:sz w:val="26"/>
      <w:szCs w:val="28"/>
    </w:rPr>
  </w:style>
  <w:style w:type="paragraph" w:styleId="38">
    <w:name w:val="УРОВЕНЬ_Абзац_тип3"/>
    <w:basedOn w:val="Style34"/>
    <w:qFormat/>
    <w:pPr>
      <w:numPr>
        <w:ilvl w:val="0"/>
        <w:numId w:val="3"/>
      </w:numPr>
      <w:spacing w:lineRule="exact" w:line="360" w:before="120" w:after="0"/>
      <w:contextualSpacing w:val="false"/>
      <w:jc w:val="both"/>
    </w:pPr>
    <w:rPr>
      <w:sz w:val="26"/>
      <w:szCs w:val="28"/>
    </w:rPr>
  </w:style>
  <w:style w:type="paragraph" w:styleId="Style44">
    <w:name w:val="УРОВЕНЬ_Подпись"/>
    <w:basedOn w:val="Style34"/>
    <w:qFormat/>
    <w:pPr>
      <w:keepNext w:val="true"/>
      <w:numPr>
        <w:ilvl w:val="0"/>
        <w:numId w:val="3"/>
      </w:numPr>
      <w:spacing w:lineRule="exact" w:line="360" w:before="120" w:after="120"/>
      <w:contextualSpacing w:val="false"/>
      <w:jc w:val="right"/>
      <w:outlineLvl w:val="3"/>
    </w:pPr>
    <w:rPr>
      <w:sz w:val="26"/>
      <w:szCs w:val="28"/>
    </w:rPr>
  </w:style>
  <w:style w:type="paragraph" w:styleId="115">
    <w:name w:val="Стиль Заголовок 1 + по ширине"/>
    <w:basedOn w:val="Heading1"/>
    <w:qFormat/>
    <w:pPr>
      <w:keepLines/>
      <w:numPr>
        <w:ilvl w:val="0"/>
        <w:numId w:val="0"/>
      </w:numPr>
      <w:suppressAutoHyphens w:val="true"/>
      <w:spacing w:before="480" w:after="240"/>
      <w:ind w:hanging="567" w:left="567" w:right="0"/>
      <w:jc w:val="both"/>
    </w:pPr>
    <w:rPr>
      <w:rFonts w:ascii="Arial" w:hAnsi="Arial" w:eastAsia="Times New Roman" w:cs="Arial"/>
      <w:bCs/>
      <w:kern w:val="2"/>
      <w:sz w:val="40"/>
      <w:szCs w:val="20"/>
      <w:lang w:val="ru-RU"/>
    </w:rPr>
  </w:style>
  <w:style w:type="paragraph" w:styleId="EndnoteText">
    <w:name w:val="Endnote Text"/>
    <w:basedOn w:val="Normal"/>
    <w:pPr/>
    <w:rPr>
      <w:sz w:val="20"/>
      <w:szCs w:val="20"/>
    </w:rPr>
  </w:style>
  <w:style w:type="paragraph" w:styleId="214">
    <w:name w:val="Заголовок 2 КВВ"/>
    <w:basedOn w:val="Normal"/>
    <w:qFormat/>
    <w:pPr>
      <w:keepNext w:val="true"/>
      <w:numPr>
        <w:ilvl w:val="0"/>
        <w:numId w:val="6"/>
      </w:numPr>
      <w:suppressAutoHyphens w:val="true"/>
      <w:spacing w:before="120" w:after="120"/>
      <w:jc w:val="both"/>
      <w:outlineLvl w:val="0"/>
    </w:pPr>
    <w:rPr>
      <w:b/>
      <w:kern w:val="2"/>
      <w:sz w:val="24"/>
      <w:szCs w:val="20"/>
    </w:rPr>
  </w:style>
  <w:style w:type="paragraph" w:styleId="Style45">
    <w:name w:val="Таблица текст"/>
    <w:basedOn w:val="Normal"/>
    <w:qFormat/>
    <w:pPr>
      <w:spacing w:before="40" w:after="40"/>
      <w:ind w:hanging="0" w:left="57" w:right="57"/>
    </w:pPr>
    <w:rPr>
      <w:sz w:val="24"/>
      <w:szCs w:val="26"/>
    </w:rPr>
  </w:style>
  <w:style w:type="paragraph" w:styleId="Style46">
    <w:name w:val="Обычный (веб)"/>
    <w:basedOn w:val="Normal"/>
    <w:qFormat/>
    <w:pPr>
      <w:spacing w:before="280" w:after="280"/>
    </w:pPr>
    <w:rPr>
      <w:sz w:val="24"/>
      <w:szCs w:val="24"/>
    </w:rPr>
  </w:style>
  <w:style w:type="paragraph" w:styleId="116">
    <w:name w:val="УРОВЕНЬ_1."/>
    <w:basedOn w:val="Style34"/>
    <w:qFormat/>
    <w:pPr>
      <w:keepNext w:val="true"/>
      <w:keepLines/>
      <w:spacing w:lineRule="auto" w:line="276" w:before="240" w:after="120"/>
      <w:ind w:hanging="0" w:left="0" w:right="0"/>
      <w:contextualSpacing w:val="false"/>
      <w:jc w:val="both"/>
      <w:outlineLvl w:val="0"/>
    </w:pPr>
    <w:rPr>
      <w:caps/>
      <w:sz w:val="28"/>
      <w:szCs w:val="28"/>
    </w:rPr>
  </w:style>
  <w:style w:type="paragraph" w:styleId="TOC6">
    <w:name w:val="TOC 6"/>
    <w:basedOn w:val="Normal"/>
    <w:next w:val="Normal"/>
    <w:pPr>
      <w:ind w:hanging="0" w:left="1120" w:right="0"/>
    </w:pPr>
    <w:rPr>
      <w:rFonts w:ascii="Calibri" w:hAnsi="Calibri" w:cs="Calibri"/>
      <w:sz w:val="20"/>
      <w:szCs w:val="20"/>
    </w:rPr>
  </w:style>
  <w:style w:type="paragraph" w:styleId="TOC7">
    <w:name w:val="TOC 7"/>
    <w:basedOn w:val="Normal"/>
    <w:next w:val="Normal"/>
    <w:pPr>
      <w:ind w:hanging="0" w:left="1400" w:right="0"/>
    </w:pPr>
    <w:rPr>
      <w:rFonts w:ascii="Calibri" w:hAnsi="Calibri" w:cs="Calibri"/>
      <w:sz w:val="20"/>
      <w:szCs w:val="20"/>
    </w:rPr>
  </w:style>
  <w:style w:type="paragraph" w:styleId="TOC8">
    <w:name w:val="TOC 8"/>
    <w:basedOn w:val="Normal"/>
    <w:next w:val="Normal"/>
    <w:pPr>
      <w:ind w:hanging="0" w:left="1680" w:right="0"/>
    </w:pPr>
    <w:rPr>
      <w:rFonts w:ascii="Calibri" w:hAnsi="Calibri" w:cs="Calibri"/>
      <w:sz w:val="20"/>
      <w:szCs w:val="20"/>
    </w:rPr>
  </w:style>
  <w:style w:type="paragraph" w:styleId="Style47">
    <w:name w:val="[РГ] Текст"/>
    <w:basedOn w:val="Normal"/>
    <w:qFormat/>
    <w:pPr>
      <w:spacing w:before="120" w:after="0"/>
      <w:jc w:val="both"/>
    </w:pPr>
    <w:rPr>
      <w:rFonts w:cs="Times New Roman (???????? ?????;Times New Roman"/>
      <w:color w:val="000000"/>
      <w:sz w:val="26"/>
      <w:szCs w:val="24"/>
    </w:rPr>
  </w:style>
  <w:style w:type="paragraph" w:styleId="Default">
    <w:name w:val="Default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Times New Roman"/>
      <w:color w:val="000000"/>
      <w:kern w:val="0"/>
      <w:sz w:val="24"/>
      <w:szCs w:val="24"/>
      <w:lang w:val="ru-RU" w:eastAsia="zh-CN" w:bidi="ar-SA"/>
    </w:rPr>
  </w:style>
  <w:style w:type="paragraph" w:styleId="HTML1">
    <w:name w:val="Стандартный HTML"/>
    <w:basedOn w:val="Normal"/>
    <w:qFormat/>
    <w:pPr>
      <w:tabs>
        <w:tab w:val="clear" w:pos="708"/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</w:pPr>
    <w:rPr>
      <w:rFonts w:ascii="Courier New" w:hAnsi="Courier New" w:cs="Courier New"/>
      <w:sz w:val="20"/>
      <w:szCs w:val="20"/>
    </w:rPr>
  </w:style>
  <w:style w:type="paragraph" w:styleId="Style48">
    <w:name w:val="Содержимое таблицы"/>
    <w:basedOn w:val="Normal"/>
    <w:qFormat/>
    <w:pPr>
      <w:widowControl w:val="false"/>
      <w:suppressLineNumbers/>
    </w:pPr>
    <w:rPr/>
  </w:style>
  <w:style w:type="paragraph" w:styleId="Style49">
    <w:name w:val="Заголовок таблицы"/>
    <w:basedOn w:val="Style48"/>
    <w:qFormat/>
    <w:pPr>
      <w:suppressLineNumbers/>
      <w:jc w:val="center"/>
    </w:pPr>
    <w:rPr>
      <w:b/>
      <w:bCs/>
    </w:rPr>
  </w:style>
  <w:style w:type="paragraph" w:styleId="Style50">
    <w:name w:val="Текст в заданном формате"/>
    <w:basedOn w:val="Normal"/>
    <w:qFormat/>
    <w:pPr>
      <w:spacing w:before="0" w:after="0"/>
    </w:pPr>
    <w:rPr>
      <w:rFonts w:ascii="Liberation Mono;Courier New" w:hAnsi="Liberation Mono;Courier New" w:eastAsia="Liberation Mono;Courier New" w:cs="Liberation Mono;Courier New"/>
      <w:sz w:val="20"/>
      <w:szCs w:val="20"/>
    </w:rPr>
  </w:style>
  <w:style w:type="paragraph" w:styleId="ListParagraph">
    <w:name w:val="List Paragraph"/>
    <w:basedOn w:val="Normal"/>
    <w:qFormat/>
    <w:pPr>
      <w:spacing w:before="0" w:after="0"/>
      <w:ind w:hanging="0" w:left="720" w:right="0"/>
      <w:contextualSpacing/>
    </w:pPr>
    <w:rPr>
      <w:rFonts w:eastAsia="Calibri"/>
      <w:sz w:val="24"/>
      <w:szCs w:val="24"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  <w:style w:type="numbering" w:styleId="WW8Num6">
    <w:name w:val="WW8Num6"/>
    <w:qFormat/>
  </w:style>
  <w:style w:type="numbering" w:styleId="WW8Num7">
    <w:name w:val="WW8Num7"/>
    <w:qFormat/>
  </w:style>
  <w:style w:type="numbering" w:styleId="WW8Num8">
    <w:name w:val="WW8Num8"/>
    <w:qFormat/>
  </w:style>
  <w:style w:type="numbering" w:styleId="WW8Num9">
    <w:name w:val="WW8Num9"/>
    <w:qFormat/>
  </w:style>
  <w:style w:type="numbering" w:styleId="WW8Num10">
    <w:name w:val="WW8Num10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header" Target="header4.xml"/><Relationship Id="rId6" Type="http://schemas.openxmlformats.org/officeDocument/2006/relationships/header" Target="header5.xml"/><Relationship Id="rId7" Type="http://schemas.openxmlformats.org/officeDocument/2006/relationships/header" Target="header6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Normal_x005F_x0000_</Template>
  <TotalTime>8297</TotalTime>
  <Application>AlterOffice/2026.1.0.0$Linux_X86_64 LibreOffice_project/a0185688e0f3f228c7940c57a96eaa0ebba58757</Application>
  <AppVersion>15.0000</AppVersion>
  <Pages>15</Pages>
  <Words>1766</Words>
  <Characters>11982</Characters>
  <CharactersWithSpaces>13320</CharactersWithSpaces>
  <Paragraphs>434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2023-08-24T07:08:00Z</dcterms:created>
  <dc:creator>Быстров Олег Геннадьевич</dc:creator>
  <dc:description/>
  <dc:language>ru-RU</dc:language>
  <cp:lastModifiedBy>kolchinanv@corp.gidroogk.com</cp:lastModifiedBy>
  <cp:lastPrinted>2026-09-02T08:15:00Z</cp:lastPrinted>
  <dcterms:modified xsi:type="dcterms:W3CDTF">2026-09-02T10:53:09Z</dcterms:modified>
  <cp:revision>46</cp:revision>
  <dc:subject/>
  <dc:title>Российское открытое акционерное общество энергетики и электрификации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