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footer3.xml" ContentType="application/vnd.openxmlformats-officedocument.wordprocessingml.foot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264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64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64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tabs>
          <w:tab w:val="clear" w:pos="708"/>
          <w:tab w:val="left" w:pos="8070" w:leader="none"/>
        </w:tabs>
        <w:spacing w:lineRule="auto" w:line="264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64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64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64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64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64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64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64"/>
        <w:jc w:val="center"/>
        <w:rPr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  <w:lang w:eastAsia="ru-RU"/>
        </w:rPr>
        <w:t>Технические требования на поставку МТР</w:t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 xml:space="preserve">ОКПД 2: 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lang w:eastAsia="ru-RU"/>
        </w:rPr>
        <w:t>08.12.12.160</w:t>
      </w: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 xml:space="preserve"> Поставка песчано-гравийной смеси для нужд Кубанского филиала</w:t>
      </w:r>
    </w:p>
    <w:p>
      <w:pPr>
        <w:pStyle w:val="Normal"/>
        <w:ind w:hanging="0" w:left="-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firstLine="851" w:left="0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64"/>
        <w:ind w:hanging="0" w:left="0"/>
        <w:jc w:val="center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bookmarkStart w:id="0" w:name="_Toc125476049"/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  <w:t>СОДЕРЖАНИЕ</w:t>
      </w:r>
      <w:bookmarkEnd w:id="0"/>
    </w:p>
    <w:tbl>
      <w:tblPr>
        <w:tblW w:w="10492" w:type="dxa"/>
        <w:jc w:val="left"/>
        <w:tblInd w:w="-11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noVBand="0" w:noHBand="0" w:lastColumn="0" w:firstColumn="0" w:lastRow="0" w:firstRow="0"/>
      </w:tblPr>
      <w:tblGrid>
        <w:gridCol w:w="10033"/>
        <w:gridCol w:w="458"/>
      </w:tblGrid>
      <w:tr>
        <w:trPr>
          <w:trHeight w:val="405" w:hRule="atLeast"/>
        </w:trPr>
        <w:tc>
          <w:tcPr>
            <w:tcW w:w="100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>
            <w:pPr>
              <w:pStyle w:val="TOC1"/>
              <w:widowControl w:val="false"/>
              <w:spacing w:before="0" w:after="100"/>
              <w:rPr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  <w:t>1. Общие сведения</w:t>
            </w:r>
          </w:p>
        </w:tc>
        <w:tc>
          <w:tcPr>
            <w:tcW w:w="45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>
            <w:pPr>
              <w:pStyle w:val="Style19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10033" w:type="dxa"/>
            <w:tcBorders>
              <w:left w:val="single" w:sz="4" w:space="0" w:color="FFFFFF"/>
              <w:bottom w:val="single" w:sz="4" w:space="0" w:color="FFFFFF"/>
            </w:tcBorders>
          </w:tcPr>
          <w:p>
            <w:pPr>
              <w:pStyle w:val="TOC2"/>
              <w:widowControl w:val="false"/>
              <w:spacing w:before="0" w:after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 Наименование закупаемой продукции</w:t>
            </w:r>
          </w:p>
        </w:tc>
        <w:tc>
          <w:tcPr>
            <w:tcW w:w="45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>
            <w:pPr>
              <w:pStyle w:val="Style19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10033" w:type="dxa"/>
            <w:tcBorders>
              <w:left w:val="single" w:sz="4" w:space="0" w:color="FFFFFF"/>
              <w:bottom w:val="single" w:sz="4" w:space="0" w:color="FFFFFF"/>
            </w:tcBorders>
          </w:tcPr>
          <w:p>
            <w:pPr>
              <w:pStyle w:val="TOC2"/>
              <w:widowControl w:val="false"/>
              <w:spacing w:before="0" w:after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 Цель использования закупаемой продукции</w:t>
            </w:r>
          </w:p>
        </w:tc>
        <w:tc>
          <w:tcPr>
            <w:tcW w:w="45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>
            <w:pPr>
              <w:pStyle w:val="Style19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10033" w:type="dxa"/>
            <w:tcBorders>
              <w:left w:val="single" w:sz="4" w:space="0" w:color="FFFFFF"/>
              <w:bottom w:val="single" w:sz="4" w:space="0" w:color="FFFFFF"/>
            </w:tcBorders>
          </w:tcPr>
          <w:p>
            <w:pPr>
              <w:pStyle w:val="TOC1"/>
              <w:widowControl w:val="false"/>
              <w:spacing w:before="0" w:after="100"/>
              <w:rPr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  <w:t>2. Требования к продукции</w:t>
            </w:r>
          </w:p>
        </w:tc>
        <w:tc>
          <w:tcPr>
            <w:tcW w:w="45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>
            <w:pPr>
              <w:pStyle w:val="Style19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10033" w:type="dxa"/>
            <w:tcBorders>
              <w:left w:val="single" w:sz="4" w:space="0" w:color="FFFFFF"/>
              <w:bottom w:val="single" w:sz="4" w:space="0" w:color="FFFFFF"/>
            </w:tcBorders>
          </w:tcPr>
          <w:p>
            <w:pPr>
              <w:pStyle w:val="TOC3"/>
              <w:widowControl w:val="false"/>
              <w:spacing w:before="0" w:after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2.1.1</w:t>
              <w:tab/>
              <w:t>Перечень и объем закупаемой продукции</w:t>
            </w:r>
          </w:p>
        </w:tc>
        <w:tc>
          <w:tcPr>
            <w:tcW w:w="45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>
            <w:pPr>
              <w:pStyle w:val="Style19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10033" w:type="dxa"/>
            <w:tcBorders>
              <w:left w:val="single" w:sz="4" w:space="0" w:color="FFFFFF"/>
              <w:bottom w:val="single" w:sz="4" w:space="0" w:color="FFFFFF"/>
            </w:tcBorders>
          </w:tcPr>
          <w:p>
            <w:pPr>
              <w:pStyle w:val="TOC1"/>
              <w:widowControl w:val="false"/>
              <w:spacing w:before="0" w:after="100"/>
              <w:rPr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  <w:t>Таблица 1.1 Перечень и объем закупаемой продукции</w:t>
            </w:r>
          </w:p>
        </w:tc>
        <w:tc>
          <w:tcPr>
            <w:tcW w:w="45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>
            <w:pPr>
              <w:pStyle w:val="Style19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10033" w:type="dxa"/>
            <w:tcBorders>
              <w:left w:val="single" w:sz="4" w:space="0" w:color="FFFFFF"/>
              <w:bottom w:val="single" w:sz="4" w:space="0" w:color="FFFFFF"/>
            </w:tcBorders>
          </w:tcPr>
          <w:p>
            <w:pPr>
              <w:pStyle w:val="TOC3"/>
              <w:widowControl w:val="false"/>
              <w:spacing w:before="0" w:after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2.1.2</w:t>
              <w:tab/>
              <w:t>Требования к срокам поставки продукции</w:t>
            </w:r>
          </w:p>
        </w:tc>
        <w:tc>
          <w:tcPr>
            <w:tcW w:w="45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>
            <w:pPr>
              <w:pStyle w:val="Style19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10033" w:type="dxa"/>
            <w:tcBorders>
              <w:left w:val="single" w:sz="4" w:space="0" w:color="FFFFFF"/>
              <w:bottom w:val="single" w:sz="4" w:space="0" w:color="FFFFFF"/>
            </w:tcBorders>
          </w:tcPr>
          <w:p>
            <w:pPr>
              <w:pStyle w:val="TOC1"/>
              <w:widowControl w:val="false"/>
              <w:spacing w:before="0" w:after="100"/>
              <w:rPr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  <w:t>Таблица 2.1 Требования по срокам поставки продукции</w:t>
            </w:r>
          </w:p>
        </w:tc>
        <w:tc>
          <w:tcPr>
            <w:tcW w:w="45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>
            <w:pPr>
              <w:pStyle w:val="Style19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10033" w:type="dxa"/>
            <w:tcBorders>
              <w:left w:val="single" w:sz="4" w:space="0" w:color="FFFFFF"/>
              <w:bottom w:val="single" w:sz="4" w:space="0" w:color="FFFFFF"/>
            </w:tcBorders>
          </w:tcPr>
          <w:p>
            <w:pPr>
              <w:pStyle w:val="TOC1"/>
              <w:widowControl w:val="false"/>
              <w:spacing w:before="0" w:after="100"/>
              <w:rPr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  <w:t>2.2 Требование к качеству продукции</w:t>
            </w:r>
          </w:p>
        </w:tc>
        <w:tc>
          <w:tcPr>
            <w:tcW w:w="45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>
            <w:pPr>
              <w:pStyle w:val="Style19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10033" w:type="dxa"/>
            <w:tcBorders>
              <w:left w:val="single" w:sz="4" w:space="0" w:color="FFFFFF"/>
              <w:bottom w:val="single" w:sz="4" w:space="0" w:color="FFFFFF"/>
            </w:tcBorders>
          </w:tcPr>
          <w:p>
            <w:pPr>
              <w:pStyle w:val="TOC1"/>
              <w:widowControl w:val="false"/>
              <w:spacing w:before="0" w:after="100"/>
              <w:rPr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  <w:t>Таблица 3. Требования к продукции</w:t>
            </w:r>
          </w:p>
        </w:tc>
        <w:tc>
          <w:tcPr>
            <w:tcW w:w="45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>
            <w:pPr>
              <w:pStyle w:val="Style19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>
      <w:pPr>
        <w:pStyle w:val="TOC2"/>
        <w:rPr>
          <w:rFonts w:ascii="Times New Roman" w:hAnsi="Times New Roman" w:eastAsia="Times New Roman" w:cs="Times New Roman"/>
          <w:b/>
          <w:bCs/>
          <w:lang w:eastAsia="ar-SA"/>
        </w:rPr>
      </w:pPr>
      <w:r>
        <w:rPr>
          <w:rFonts w:eastAsia="Times New Roman" w:cs="Times New Roman" w:ascii="Times New Roman" w:hAnsi="Times New Roman"/>
          <w:b/>
          <w:bCs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Heading1"/>
        <w:keepLines/>
        <w:numPr>
          <w:ilvl w:val="0"/>
          <w:numId w:val="7"/>
        </w:numPr>
        <w:jc w:val="center"/>
        <w:rPr>
          <w:sz w:val="24"/>
          <w:szCs w:val="24"/>
        </w:rPr>
      </w:pPr>
      <w:bookmarkStart w:id="1" w:name="_Toc51339692"/>
      <w:bookmarkStart w:id="2" w:name="_Toc75446566"/>
      <w:bookmarkStart w:id="3" w:name="_Toc125473240"/>
      <w:bookmarkStart w:id="4" w:name="_Toc125476050"/>
      <w:r>
        <w:rPr>
          <w:sz w:val="24"/>
          <w:szCs w:val="24"/>
          <w:lang w:val="ru-RU"/>
        </w:rPr>
        <w:t>Общие сведения</w:t>
      </w:r>
      <w:bookmarkEnd w:id="1"/>
      <w:bookmarkEnd w:id="2"/>
      <w:bookmarkEnd w:id="3"/>
      <w:bookmarkEnd w:id="4"/>
    </w:p>
    <w:p>
      <w:pPr>
        <w:pStyle w:val="ListParagraph"/>
        <w:widowControl w:val="false"/>
        <w:numPr>
          <w:ilvl w:val="1"/>
          <w:numId w:val="1"/>
        </w:numPr>
        <w:spacing w:before="0" w:after="0"/>
        <w:contextualSpacing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bookmarkStart w:id="5" w:name="_Toc125473241"/>
      <w:bookmarkStart w:id="6" w:name="_Toc125476051"/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  <w:t>Наименование закупаемой продукции.</w:t>
      </w:r>
      <w:bookmarkEnd w:id="5"/>
      <w:bookmarkEnd w:id="6"/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 xml:space="preserve">ОКПД 2: 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lang w:eastAsia="ru-RU"/>
        </w:rPr>
        <w:t>08.12.12.160</w:t>
      </w: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 xml:space="preserve"> Поставка песчано-гравийной смеси для нужд Кубанского филиала</w:t>
      </w:r>
      <w:r>
        <w:rPr>
          <w:rFonts w:cs="Times New Roman" w:ascii="Times New Roman" w:hAnsi="Times New Roman"/>
          <w:sz w:val="24"/>
          <w:szCs w:val="24"/>
        </w:rPr>
        <w:t xml:space="preserve"> (далее продукция).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widowControl w:val="false"/>
        <w:numPr>
          <w:ilvl w:val="1"/>
          <w:numId w:val="1"/>
        </w:numPr>
        <w:spacing w:before="0" w:after="0"/>
        <w:contextualSpacing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bookmarkStart w:id="7" w:name="_Toc125473242"/>
      <w:bookmarkStart w:id="8" w:name="_Toc125476052"/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  <w:t>Цель использования закупаемой продукции.</w:t>
      </w:r>
      <w:bookmarkEnd w:id="7"/>
      <w:bookmarkEnd w:id="8"/>
    </w:p>
    <w:p>
      <w:pPr>
        <w:pStyle w:val="Normal"/>
        <w:tabs>
          <w:tab w:val="clear" w:pos="708"/>
          <w:tab w:val="left" w:pos="426" w:leader="none"/>
          <w:tab w:val="left" w:pos="993" w:leader="none"/>
        </w:tabs>
        <w:jc w:val="both"/>
        <w:rPr>
          <w:rFonts w:ascii="Arial;Tahoma;Verdana;sans-serif" w:hAnsi="Arial;Tahoma;Verdana;sans-serif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highlight w:val="none"/>
          <w:shd w:fill="FFFFFF" w:val="clear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shd w:fill="FFFFFF" w:val="clear"/>
        </w:rPr>
        <w:t>Выполнение работ по проекту «Ремонтные работы восточной дамбы БСР ГЭС-3 филиала ПАО «РусГидро» - «Каскад Кубанских ГЭС» планированного к заключению между АО «Гидроремонт-ВКК» и филиалом ПАО «РусГидро» - «Каскад Кубанских ГЭС» на основании письма Заказчика филиала ПАО «РусГидро» - «Каскада Кубанских ГЭС» № Исх-1159.ККГЭС/90-СИ/002 от 03.08.2026.</w:t>
      </w:r>
      <w:bookmarkStart w:id="9" w:name="_Toc125476056"/>
      <w:bookmarkStart w:id="10" w:name="_Toc125473249"/>
    </w:p>
    <w:p>
      <w:pPr>
        <w:pStyle w:val="Normal"/>
        <w:keepNext w:val="true"/>
        <w:keepLines/>
        <w:numPr>
          <w:ilvl w:val="0"/>
          <w:numId w:val="3"/>
        </w:numPr>
        <w:spacing w:before="120" w:after="0"/>
        <w:jc w:val="center"/>
        <w:outlineLvl w:val="0"/>
        <w:rPr>
          <w:sz w:val="24"/>
          <w:szCs w:val="24"/>
        </w:rPr>
      </w:pPr>
      <w:bookmarkStart w:id="11" w:name="_Toc51339693"/>
      <w:bookmarkStart w:id="12" w:name="_Toc75446573"/>
      <w:r>
        <w:rPr>
          <w:rFonts w:cs="Times New Roman" w:ascii="Times New Roman" w:hAnsi="Times New Roman"/>
          <w:b/>
          <w:iCs/>
          <w:sz w:val="24"/>
          <w:szCs w:val="24"/>
          <w:lang w:val="x-none" w:eastAsia="x-none"/>
        </w:rPr>
        <w:t>Требования к продукции</w:t>
      </w:r>
      <w:bookmarkEnd w:id="9"/>
      <w:bookmarkEnd w:id="10"/>
      <w:bookmarkEnd w:id="11"/>
      <w:bookmarkEnd w:id="12"/>
    </w:p>
    <w:p>
      <w:pPr>
        <w:pStyle w:val="Heading4"/>
        <w:numPr>
          <w:ilvl w:val="1"/>
          <w:numId w:val="4"/>
        </w:numPr>
        <w:spacing w:before="120" w:after="0"/>
        <w:ind w:hanging="567" w:left="567"/>
        <w:rPr/>
      </w:pPr>
      <w:bookmarkStart w:id="13" w:name="_Toc75446574"/>
      <w:r>
        <w:rPr>
          <w:bCs w:val="false"/>
        </w:rPr>
        <w:t>Требования к объемам и срокам постав</w:t>
      </w:r>
      <w:r>
        <w:rPr/>
        <w:t>ки</w:t>
      </w:r>
      <w:bookmarkEnd w:id="13"/>
      <w:r>
        <w:rPr/>
        <w:t>.</w:t>
      </w:r>
    </w:p>
    <w:p>
      <w:pPr>
        <w:pStyle w:val="Normal"/>
        <w:keepNext w:val="true"/>
        <w:numPr>
          <w:ilvl w:val="2"/>
          <w:numId w:val="3"/>
        </w:numPr>
        <w:tabs>
          <w:tab w:val="clear" w:pos="708"/>
          <w:tab w:val="left" w:pos="567" w:leader="none"/>
        </w:tabs>
        <w:spacing w:before="120" w:after="0"/>
        <w:ind w:hanging="1227" w:left="1227"/>
        <w:outlineLvl w:val="2"/>
        <w:rPr>
          <w:rFonts w:ascii="Times New Roman" w:hAnsi="Times New Roman"/>
          <w:sz w:val="24"/>
          <w:szCs w:val="24"/>
        </w:rPr>
      </w:pPr>
      <w:bookmarkStart w:id="14" w:name="_Toc75446575"/>
      <w:bookmarkStart w:id="15" w:name="_Toc125476057"/>
      <w:bookmarkStart w:id="16" w:name="_Toc125473250"/>
      <w:r>
        <w:rPr>
          <w:rFonts w:cs="Times New Roman" w:ascii="Times New Roman" w:hAnsi="Times New Roman"/>
          <w:b/>
          <w:sz w:val="24"/>
          <w:szCs w:val="24"/>
          <w:lang w:eastAsia="x-none"/>
        </w:rPr>
        <w:t>Перечень и объем закупаемой продукции</w:t>
      </w:r>
      <w:bookmarkEnd w:id="14"/>
      <w:bookmarkEnd w:id="15"/>
      <w:bookmarkEnd w:id="16"/>
      <w:r>
        <w:rPr>
          <w:rFonts w:cs="Times New Roman" w:ascii="Times New Roman" w:hAnsi="Times New Roman"/>
          <w:b/>
          <w:sz w:val="24"/>
          <w:szCs w:val="24"/>
          <w:lang w:eastAsia="x-none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hanging="0" w:left="0"/>
        <w:outlineLvl w:val="0"/>
        <w:rPr>
          <w:rFonts w:ascii="Times New Roman" w:hAnsi="Times New Roman"/>
          <w:sz w:val="24"/>
          <w:szCs w:val="24"/>
        </w:rPr>
      </w:pPr>
      <w:bookmarkStart w:id="17" w:name="_Toc125476058"/>
      <w:bookmarkStart w:id="18" w:name="_Toc75446576"/>
      <w:bookmarkStart w:id="19" w:name="_Toc125473251"/>
      <w:bookmarkStart w:id="20" w:name="_Toc51339695"/>
      <w:r>
        <w:rPr>
          <w:rFonts w:cs="Times New Roman" w:ascii="Times New Roman" w:hAnsi="Times New Roman"/>
          <w:b/>
          <w:sz w:val="24"/>
          <w:szCs w:val="24"/>
          <w:lang w:val="x-none" w:eastAsia="x-none"/>
        </w:rPr>
        <w:t xml:space="preserve">Таблица </w:t>
      </w:r>
      <w:r>
        <w:rPr>
          <w:rFonts w:cs="Times New Roman" w:ascii="Times New Roman" w:hAnsi="Times New Roman"/>
          <w:b/>
          <w:sz w:val="24"/>
          <w:szCs w:val="24"/>
          <w:lang w:eastAsia="x-none"/>
        </w:rPr>
        <w:t>1.1</w:t>
      </w:r>
      <w:r>
        <w:rPr>
          <w:rFonts w:cs="Times New Roman" w:ascii="Times New Roman" w:hAnsi="Times New Roman"/>
          <w:b/>
          <w:sz w:val="24"/>
          <w:szCs w:val="24"/>
          <w:lang w:val="x-none" w:eastAsia="x-none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  <w:lang w:eastAsia="x-none"/>
        </w:rPr>
        <w:t xml:space="preserve">Перечень </w:t>
      </w:r>
      <w:bookmarkEnd w:id="20"/>
      <w:r>
        <w:rPr>
          <w:rFonts w:cs="Times New Roman" w:ascii="Times New Roman" w:hAnsi="Times New Roman"/>
          <w:b/>
          <w:sz w:val="24"/>
          <w:szCs w:val="24"/>
          <w:lang w:eastAsia="x-none"/>
        </w:rPr>
        <w:t>и объем закупаемой продукции</w:t>
      </w:r>
      <w:bookmarkEnd w:id="17"/>
      <w:bookmarkEnd w:id="18"/>
      <w:bookmarkEnd w:id="19"/>
      <w:r>
        <w:rPr>
          <w:rFonts w:cs="Times New Roman" w:ascii="Times New Roman" w:hAnsi="Times New Roman"/>
          <w:b/>
          <w:sz w:val="24"/>
          <w:szCs w:val="24"/>
          <w:lang w:eastAsia="x-none"/>
        </w:rPr>
        <w:t>.</w:t>
      </w:r>
    </w:p>
    <w:tbl>
      <w:tblPr>
        <w:tblW w:w="10138" w:type="dxa"/>
        <w:jc w:val="left"/>
        <w:tblInd w:w="-4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625"/>
        <w:gridCol w:w="6516"/>
        <w:gridCol w:w="1359"/>
        <w:gridCol w:w="1637"/>
      </w:tblGrid>
      <w:tr>
        <w:trPr/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продукции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4</w:t>
            </w:r>
          </w:p>
        </w:tc>
      </w:tr>
      <w:tr>
        <w:trPr>
          <w:trHeight w:val="277" w:hRule="atLeast"/>
        </w:trPr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5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1"/>
              <w:widowControl w:val="false"/>
              <w:spacing w:before="60" w:after="60"/>
              <w:jc w:val="left"/>
              <w:rPr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Песчано-гравийная смесь 0-120 </w:t>
            </w:r>
          </w:p>
        </w:tc>
        <w:tc>
          <w:tcPr>
            <w:tcW w:w="1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м3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7193</w:t>
            </w:r>
          </w:p>
        </w:tc>
      </w:tr>
      <w:tr>
        <w:trPr>
          <w:trHeight w:val="277" w:hRule="atLeast"/>
        </w:trPr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5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1"/>
              <w:widowControl w:val="false"/>
              <w:spacing w:before="60" w:after="60"/>
              <w:jc w:val="left"/>
              <w:rPr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lang w:eastAsia="ru-RU"/>
              </w:rPr>
              <w:t xml:space="preserve">Песчано-гравийная смесь 0-40 </w:t>
            </w:r>
          </w:p>
        </w:tc>
        <w:tc>
          <w:tcPr>
            <w:tcW w:w="1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м3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4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4411</w:t>
            </w:r>
          </w:p>
        </w:tc>
      </w:tr>
    </w:tbl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567" w:leader="none"/>
        </w:tabs>
        <w:spacing w:before="120" w:after="0"/>
        <w:ind w:hanging="0" w:left="0"/>
        <w:outlineLvl w:val="2"/>
        <w:rPr>
          <w:rFonts w:ascii="Times New Roman" w:hAnsi="Times New Roman" w:cs="Times New Roman"/>
          <w:b/>
          <w:sz w:val="24"/>
          <w:szCs w:val="24"/>
          <w:lang w:eastAsia="x-none"/>
        </w:rPr>
      </w:pPr>
      <w:r>
        <w:rPr>
          <w:rFonts w:cs="Times New Roman" w:ascii="Times New Roman" w:hAnsi="Times New Roman"/>
          <w:b/>
          <w:sz w:val="24"/>
          <w:szCs w:val="24"/>
          <w:lang w:eastAsia="x-none"/>
        </w:rPr>
      </w:r>
    </w:p>
    <w:p>
      <w:pPr>
        <w:pStyle w:val="Normal"/>
        <w:keepNext w:val="true"/>
        <w:numPr>
          <w:ilvl w:val="2"/>
          <w:numId w:val="3"/>
        </w:numPr>
        <w:tabs>
          <w:tab w:val="clear" w:pos="708"/>
          <w:tab w:val="left" w:pos="567" w:leader="none"/>
        </w:tabs>
        <w:spacing w:before="120" w:after="0"/>
        <w:ind w:hanging="1227" w:left="1227"/>
        <w:outlineLvl w:val="2"/>
        <w:rPr>
          <w:rFonts w:ascii="Times New Roman" w:hAnsi="Times New Roman" w:cs="Times New Roman"/>
          <w:b/>
          <w:sz w:val="24"/>
          <w:szCs w:val="24"/>
          <w:lang w:eastAsia="x-none"/>
        </w:rPr>
      </w:pPr>
      <w:r>
        <w:rPr>
          <w:rFonts w:cs="Times New Roman" w:ascii="Times New Roman" w:hAnsi="Times New Roman"/>
          <w:b/>
          <w:sz w:val="24"/>
          <w:szCs w:val="24"/>
          <w:lang w:eastAsia="x-none"/>
        </w:rPr>
        <w:t xml:space="preserve">Требования к срокам поставки продукции </w:t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hanging="0" w:left="0"/>
        <w:outlineLvl w:val="0"/>
        <w:rPr>
          <w:rFonts w:ascii="Times New Roman" w:hAnsi="Times New Roman" w:cs="Times New Roman"/>
          <w:b/>
          <w:sz w:val="24"/>
          <w:szCs w:val="24"/>
          <w:lang w:eastAsia="x-none"/>
        </w:rPr>
      </w:pPr>
      <w:bookmarkStart w:id="21" w:name="_Toc125476060"/>
      <w:bookmarkStart w:id="22" w:name="_Toc125473253"/>
      <w:bookmarkStart w:id="23" w:name="_Toc75446579"/>
      <w:bookmarkStart w:id="24" w:name="_Toc50125127"/>
      <w:bookmarkStart w:id="25" w:name="_Toc51339697"/>
      <w:r>
        <w:rPr>
          <w:rFonts w:cs="Times New Roman" w:ascii="Times New Roman" w:hAnsi="Times New Roman"/>
          <w:b/>
          <w:sz w:val="24"/>
          <w:szCs w:val="24"/>
          <w:lang w:val="x-none" w:eastAsia="x-none"/>
        </w:rPr>
        <w:t xml:space="preserve">Таблица </w:t>
      </w:r>
      <w:r>
        <w:rPr>
          <w:rFonts w:cs="Times New Roman" w:ascii="Times New Roman" w:hAnsi="Times New Roman"/>
          <w:b/>
          <w:sz w:val="24"/>
          <w:szCs w:val="24"/>
          <w:lang w:eastAsia="x-none"/>
        </w:rPr>
        <w:t>2.1</w:t>
      </w:r>
      <w:r>
        <w:rPr>
          <w:rFonts w:cs="Times New Roman" w:ascii="Times New Roman" w:hAnsi="Times New Roman"/>
          <w:b/>
          <w:sz w:val="24"/>
          <w:szCs w:val="24"/>
          <w:lang w:val="x-none" w:eastAsia="x-none"/>
        </w:rPr>
        <w:t xml:space="preserve"> </w:t>
      </w:r>
      <w:bookmarkStart w:id="26" w:name="_Hlk50465284"/>
      <w:r>
        <w:rPr>
          <w:rFonts w:cs="Times New Roman" w:ascii="Times New Roman" w:hAnsi="Times New Roman"/>
          <w:b/>
          <w:sz w:val="24"/>
          <w:szCs w:val="24"/>
          <w:lang w:val="x-none" w:eastAsia="x-none"/>
        </w:rPr>
        <w:t xml:space="preserve">Требования по срокам </w:t>
      </w:r>
      <w:bookmarkEnd w:id="24"/>
      <w:bookmarkEnd w:id="25"/>
      <w:bookmarkEnd w:id="26"/>
      <w:r>
        <w:rPr>
          <w:rFonts w:cs="Times New Roman" w:ascii="Times New Roman" w:hAnsi="Times New Roman"/>
          <w:b/>
          <w:sz w:val="24"/>
          <w:szCs w:val="24"/>
          <w:lang w:eastAsia="x-none"/>
        </w:rPr>
        <w:t>поставки продукции</w:t>
      </w:r>
      <w:bookmarkEnd w:id="21"/>
      <w:bookmarkEnd w:id="22"/>
      <w:bookmarkEnd w:id="23"/>
      <w:r>
        <w:rPr>
          <w:rFonts w:cs="Times New Roman" w:ascii="Times New Roman" w:hAnsi="Times New Roman"/>
          <w:b/>
          <w:sz w:val="24"/>
          <w:szCs w:val="24"/>
          <w:lang w:eastAsia="x-none"/>
        </w:rPr>
        <w:t xml:space="preserve"> </w:t>
      </w:r>
    </w:p>
    <w:tbl>
      <w:tblPr>
        <w:tblW w:w="10138" w:type="dxa"/>
        <w:jc w:val="left"/>
        <w:tblInd w:w="-2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626"/>
        <w:gridCol w:w="3554"/>
        <w:gridCol w:w="2961"/>
        <w:gridCol w:w="2996"/>
      </w:tblGrid>
      <w:tr>
        <w:trPr/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Наименование продукции / партии продукции/лота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Требования к началу срока поставки продукции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0"/>
              <w:ind w:hanging="0" w:left="57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0"/>
              <w:ind w:hanging="0" w:left="57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>
        <w:trPr>
          <w:trHeight w:val="969" w:hRule="atLeast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pacing w:before="0"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ОКПД 2: </w:t>
            </w:r>
            <w:r>
              <w:rPr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lang w:eastAsia="ru-RU"/>
              </w:rPr>
              <w:t>08.12.12.160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Поставка песчано-гравийной смеси для нужд Кубанского филиала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(Таблица 1.1 Перечень объемов закупаемой продукции)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 даты подписания договора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  <w:lang w:eastAsia="ru-RU"/>
              </w:rPr>
              <w:t>По заявкам не позднее 31.12.2026*</w:t>
            </w:r>
          </w:p>
        </w:tc>
      </w:tr>
      <w:tr>
        <w:trPr>
          <w:trHeight w:val="969" w:hRule="atLeast"/>
        </w:trPr>
        <w:tc>
          <w:tcPr>
            <w:tcW w:w="10137" w:type="dxa"/>
            <w:gridSpan w:val="4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>
            <w:pPr>
              <w:pStyle w:val="Normal"/>
              <w:widowControl w:val="false"/>
              <w:shd w:val="clear" w:fill="FFFFFF"/>
              <w:spacing w:before="0" w:after="0"/>
              <w:contextualSpacing/>
              <w:jc w:val="left"/>
              <w:rPr>
                <w:highlight w:val="none"/>
                <w:shd w:fill="FFFFFF" w:val="clear"/>
              </w:rPr>
            </w:pPr>
            <w:r>
              <w:rPr>
                <w:rFonts w:cs="Times New Roman" w:ascii="Times New Roman" w:hAnsi="Times New Roman"/>
                <w:i/>
                <w:iCs/>
                <w:color w:val="000000"/>
                <w:sz w:val="24"/>
                <w:szCs w:val="24"/>
                <w:shd w:fill="FFFFFF" w:val="clear"/>
                <w:lang w:eastAsia="ru-RU"/>
              </w:rPr>
              <w:t>*Поставка осуществляется по заявкам. Ориентировочное количество заявок — 30</w:t>
            </w:r>
          </w:p>
        </w:tc>
      </w:tr>
    </w:tbl>
    <w:p>
      <w:pPr>
        <w:sectPr>
          <w:footerReference w:type="default" r:id="rId2"/>
          <w:type w:val="nextPage"/>
          <w:pgSz w:w="11906" w:h="16838"/>
          <w:pgMar w:left="1134" w:right="624" w:gutter="0" w:header="0" w:top="1188" w:footer="1" w:bottom="1151"/>
          <w:pgNumType w:fmt="decimal"/>
          <w:formProt w:val="false"/>
          <w:textDirection w:val="lrTb"/>
          <w:docGrid w:type="default" w:linePitch="360" w:charSpace="32768"/>
        </w:sectPr>
      </w:pPr>
    </w:p>
    <w:p>
      <w:pPr>
        <w:pStyle w:val="Heading4"/>
        <w:keepNext w:val="true"/>
        <w:widowControl/>
        <w:numPr>
          <w:ilvl w:val="0"/>
          <w:numId w:val="0"/>
        </w:numPr>
        <w:tabs>
          <w:tab w:val="clear" w:pos="708"/>
          <w:tab w:val="left" w:pos="450" w:leader="none"/>
        </w:tabs>
        <w:suppressAutoHyphens w:val="true"/>
        <w:bidi w:val="0"/>
        <w:spacing w:before="120" w:after="0"/>
        <w:ind w:hanging="0" w:left="0" w:right="0"/>
        <w:jc w:val="left"/>
        <w:rPr>
          <w:sz w:val="26"/>
          <w:szCs w:val="26"/>
        </w:rPr>
      </w:pPr>
      <w:r>
        <w:rPr/>
        <w:t xml:space="preserve">2.2. </w:t>
      </w:r>
      <w:bookmarkStart w:id="27" w:name="_Toc125476061"/>
      <w:bookmarkStart w:id="28" w:name="_Toc125473255"/>
      <w:r>
        <w:rPr/>
        <w:t>Требования к качеству продукции</w:t>
      </w:r>
      <w:bookmarkEnd w:id="27"/>
      <w:bookmarkEnd w:id="28"/>
    </w:p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hanging="0" w:left="0"/>
        <w:outlineLvl w:val="0"/>
        <w:rPr>
          <w:rFonts w:ascii="Times New Roman" w:hAnsi="Times New Roman" w:cs="Times New Roman"/>
          <w:b/>
          <w:sz w:val="24"/>
          <w:szCs w:val="24"/>
          <w:lang w:val="x-none" w:eastAsia="x-none"/>
        </w:rPr>
      </w:pPr>
      <w:bookmarkStart w:id="29" w:name="_Toc125473256"/>
      <w:bookmarkStart w:id="30" w:name="_Toc125476062"/>
      <w:r>
        <w:rPr>
          <w:rFonts w:cs="Times New Roman" w:ascii="Times New Roman" w:hAnsi="Times New Roman"/>
          <w:b/>
          <w:sz w:val="24"/>
          <w:szCs w:val="24"/>
          <w:lang w:val="x-none" w:eastAsia="x-none"/>
        </w:rPr>
        <w:t>Таблица 3. Требования к продукции</w:t>
      </w:r>
      <w:bookmarkEnd w:id="29"/>
      <w:bookmarkEnd w:id="30"/>
      <w:r>
        <w:rPr>
          <w:rFonts w:cs="Times New Roman" w:ascii="Times New Roman" w:hAnsi="Times New Roman"/>
          <w:b/>
          <w:sz w:val="24"/>
          <w:szCs w:val="24"/>
          <w:lang w:val="x-none" w:eastAsia="x-none"/>
        </w:rPr>
        <w:t xml:space="preserve"> </w:t>
      </w:r>
    </w:p>
    <w:p>
      <w:pPr>
        <w:pStyle w:val="Normal"/>
        <w:rPr>
          <w:rFonts w:ascii="Times New Roman" w:hAnsi="Times New Roman" w:eastAsia="Times New Roman" w:cs="Times New Roman"/>
          <w:b/>
          <w:bCs/>
          <w:i/>
          <w:i/>
          <w:iCs/>
          <w:sz w:val="24"/>
          <w:szCs w:val="24"/>
          <w:lang w:eastAsia="ar-SA"/>
        </w:rPr>
      </w:pPr>
      <w:bookmarkStart w:id="31" w:name="_Toc125473257"/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ar-SA"/>
        </w:rPr>
        <w:t xml:space="preserve">Наименование продукции: </w:t>
      </w:r>
      <w:r>
        <w:rPr>
          <w:rFonts w:eastAsia="Times New Roman" w:cs="Times New Roman" w:ascii="Times New Roman" w:hAnsi="Times New Roman"/>
          <w:bCs/>
          <w:i/>
          <w:iCs/>
          <w:sz w:val="24"/>
          <w:szCs w:val="24"/>
          <w:lang w:eastAsia="ar-SA"/>
        </w:rPr>
        <w:t xml:space="preserve">согласно Таблицы 1.1 </w:t>
      </w: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ar-SA"/>
        </w:rPr>
        <w:t>«</w:t>
      </w:r>
      <w:bookmarkEnd w:id="31"/>
      <w:r>
        <w:rPr>
          <w:rFonts w:cs="Times New Roman" w:ascii="Times New Roman" w:hAnsi="Times New Roman"/>
          <w:i/>
          <w:iCs/>
          <w:sz w:val="24"/>
          <w:szCs w:val="24"/>
          <w:lang w:eastAsia="ar-SA"/>
        </w:rPr>
        <w:t>Перечень объемов закупаемой продукции»</w:t>
      </w:r>
    </w:p>
    <w:tbl>
      <w:tblPr>
        <w:tblW w:w="14913" w:type="dxa"/>
        <w:jc w:val="left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noVBand="0" w:noHBand="0" w:lastColumn="0" w:firstColumn="0" w:lastRow="0" w:firstRow="0"/>
      </w:tblPr>
      <w:tblGrid>
        <w:gridCol w:w="623"/>
        <w:gridCol w:w="2608"/>
        <w:gridCol w:w="6000"/>
        <w:gridCol w:w="3006"/>
        <w:gridCol w:w="2676"/>
      </w:tblGrid>
      <w:tr>
        <w:trPr>
          <w:trHeight w:val="425" w:hRule="atLeast"/>
        </w:trPr>
        <w:tc>
          <w:tcPr>
            <w:tcW w:w="6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6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6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Требование заказчика</w:t>
            </w:r>
          </w:p>
        </w:tc>
        <w:tc>
          <w:tcPr>
            <w:tcW w:w="5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Способ подтверждения участником соответствия требованиям</w:t>
            </w:r>
          </w:p>
        </w:tc>
      </w:tr>
      <w:tr>
        <w:trPr>
          <w:trHeight w:val="425" w:hRule="atLeast"/>
        </w:trPr>
        <w:tc>
          <w:tcPr>
            <w:tcW w:w="62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60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600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30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Согласие с требованием/ указание характеристик</w:t>
            </w:r>
          </w:p>
        </w:tc>
        <w:tc>
          <w:tcPr>
            <w:tcW w:w="2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Предоставление подтверждающего документа или иной способ подтверждения</w:t>
            </w:r>
          </w:p>
        </w:tc>
      </w:tr>
      <w:tr>
        <w:trPr>
          <w:trHeight w:val="400" w:hRule="atLeast"/>
        </w:trPr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0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60" w:after="0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860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3006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;serif" w:hAnsi="Times New Roman;serif"/>
                <w:color w:val="000000"/>
                <w:sz w:val="24"/>
                <w:szCs w:val="24"/>
              </w:rPr>
              <w:t>Участник должен предоставить в заявке согласие поставить продукцию,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267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860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Песчано-гравийная смесь</w:t>
            </w:r>
          </w:p>
        </w:tc>
        <w:tc>
          <w:tcPr>
            <w:tcW w:w="300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6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14" w:hRule="atLeast"/>
        </w:trPr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1.1.1</w:t>
            </w:r>
          </w:p>
        </w:tc>
        <w:tc>
          <w:tcPr>
            <w:tcW w:w="26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Фракция, мм</w:t>
            </w:r>
          </w:p>
        </w:tc>
        <w:tc>
          <w:tcPr>
            <w:tcW w:w="60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0-120</w:t>
            </w:r>
          </w:p>
        </w:tc>
        <w:tc>
          <w:tcPr>
            <w:tcW w:w="300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6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38" w:hRule="atLeast"/>
        </w:trPr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1.1.2</w:t>
            </w:r>
          </w:p>
        </w:tc>
        <w:tc>
          <w:tcPr>
            <w:tcW w:w="26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Соответствие стандарту</w:t>
            </w:r>
          </w:p>
        </w:tc>
        <w:tc>
          <w:tcPr>
            <w:tcW w:w="60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ГОСТ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23735-2014</w:t>
            </w:r>
          </w:p>
        </w:tc>
        <w:tc>
          <w:tcPr>
            <w:tcW w:w="300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6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38" w:hRule="atLeast"/>
        </w:trPr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860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Песчано-гравийная смесь</w:t>
            </w:r>
          </w:p>
        </w:tc>
        <w:tc>
          <w:tcPr>
            <w:tcW w:w="300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6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38" w:hRule="atLeast"/>
        </w:trPr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1.2.1</w:t>
            </w:r>
          </w:p>
        </w:tc>
        <w:tc>
          <w:tcPr>
            <w:tcW w:w="26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Фракция, мм</w:t>
            </w:r>
          </w:p>
        </w:tc>
        <w:tc>
          <w:tcPr>
            <w:tcW w:w="60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0-40</w:t>
            </w:r>
          </w:p>
        </w:tc>
        <w:tc>
          <w:tcPr>
            <w:tcW w:w="300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6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38" w:hRule="atLeast"/>
        </w:trPr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1.2.2</w:t>
            </w:r>
          </w:p>
        </w:tc>
        <w:tc>
          <w:tcPr>
            <w:tcW w:w="26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Соответствие стандарту</w:t>
            </w:r>
          </w:p>
        </w:tc>
        <w:tc>
          <w:tcPr>
            <w:tcW w:w="60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ГОСТ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23735-2014</w:t>
            </w:r>
          </w:p>
        </w:tc>
        <w:tc>
          <w:tcPr>
            <w:tcW w:w="300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6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60" w:after="0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860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300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6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60" w:after="0"/>
              <w:ind w:hanging="0" w:left="0" w:right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6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Гарантия</w:t>
            </w:r>
          </w:p>
        </w:tc>
        <w:tc>
          <w:tcPr>
            <w:tcW w:w="60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не менее 12 месяцев со дня подписания Товарной накладной по форме ТОРГ-12 или Универсального передаточного документа (УПД) на Товар, но не менее, гарантийного срока изготовителя (производителя) продукции.</w:t>
            </w:r>
          </w:p>
        </w:tc>
        <w:tc>
          <w:tcPr>
            <w:tcW w:w="300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  <w:tc>
          <w:tcPr>
            <w:tcW w:w="26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</w:tr>
      <w:tr>
        <w:trPr/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60" w:after="0"/>
              <w:ind w:hanging="0" w:left="0" w:right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860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Условия выполнения гарантийных обязательств поставщика или производителя не должны включать требование привлечения, специально аккредитованных производителем организаций или специалистов.</w:t>
            </w:r>
          </w:p>
        </w:tc>
        <w:tc>
          <w:tcPr>
            <w:tcW w:w="300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  <w:tc>
          <w:tcPr>
            <w:tcW w:w="26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</w:tr>
      <w:tr>
        <w:trPr/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60" w:after="0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860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300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6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94" w:hRule="atLeast"/>
        </w:trPr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60" w:after="0"/>
              <w:ind w:hanging="0" w:left="0" w:right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26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Паспорт качества</w:t>
            </w:r>
          </w:p>
        </w:tc>
        <w:tc>
          <w:tcPr>
            <w:tcW w:w="60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 экземпляра</w:t>
            </w:r>
          </w:p>
        </w:tc>
        <w:tc>
          <w:tcPr>
            <w:tcW w:w="300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6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60" w:after="0"/>
              <w:ind w:hanging="0" w:left="0" w:right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26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Сертификат соответствия (декларация соответствия)</w:t>
            </w:r>
          </w:p>
        </w:tc>
        <w:tc>
          <w:tcPr>
            <w:tcW w:w="60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 экземпляра</w:t>
            </w:r>
          </w:p>
        </w:tc>
        <w:tc>
          <w:tcPr>
            <w:tcW w:w="300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6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60" w:after="0"/>
              <w:ind w:hanging="0" w:left="0" w:right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26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Сертификат страны происхождения</w:t>
            </w:r>
          </w:p>
        </w:tc>
        <w:tc>
          <w:tcPr>
            <w:tcW w:w="60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 экземпляра</w:t>
            </w:r>
          </w:p>
        </w:tc>
        <w:tc>
          <w:tcPr>
            <w:tcW w:w="300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6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49" w:hRule="atLeast"/>
        </w:trPr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60" w:after="0"/>
              <w:ind w:hanging="0" w:left="0" w:right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260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Упаковочный лист</w:t>
            </w:r>
          </w:p>
        </w:tc>
        <w:tc>
          <w:tcPr>
            <w:tcW w:w="60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300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6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60" w:after="0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860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300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  <w:tc>
          <w:tcPr>
            <w:tcW w:w="26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</w:tr>
      <w:tr>
        <w:trPr>
          <w:trHeight w:val="127" w:hRule="atLeast"/>
        </w:trPr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60" w:after="0"/>
              <w:ind w:hanging="0" w:left="0" w:right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26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Место поставки</w:t>
            </w:r>
          </w:p>
        </w:tc>
        <w:tc>
          <w:tcPr>
            <w:tcW w:w="60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ГЭС-3 — Ставропольский край, Андроповский район, поселок Каскадный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в рабочие дни: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с 8-00 до 12-00 и с 13-00 до 16-00 (по местному времени).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По предварительному уведомлению по телефону или электронной почте, не позднее предыдущего рабочего дня до прибытия транспорта</w:t>
            </w:r>
          </w:p>
        </w:tc>
        <w:tc>
          <w:tcPr>
            <w:tcW w:w="300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  <w:tc>
          <w:tcPr>
            <w:tcW w:w="26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</w:tr>
      <w:tr>
        <w:trPr>
          <w:trHeight w:val="250" w:hRule="atLeast"/>
        </w:trPr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60" w:after="0"/>
              <w:ind w:hanging="0" w:left="0" w:right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260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Условия поставки</w:t>
            </w:r>
          </w:p>
        </w:tc>
        <w:tc>
          <w:tcPr>
            <w:tcW w:w="60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за счет средств Поставщика</w:t>
            </w:r>
          </w:p>
        </w:tc>
        <w:tc>
          <w:tcPr>
            <w:tcW w:w="300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6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60" w:after="0"/>
              <w:ind w:hanging="0" w:left="0" w:right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860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Песчано-гравийные смеси перевозят навалом в транспортных средствах любого вида согласно действующим правилам перевозки. 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Песчано-гравийные смеси перевозят и хранят в условиях, предохраняющих их от засорения и загрязнения согласно ГОСТу 23735-2014 «Смеси песчано-гравийные для строительных работ. Технические условия»</w:t>
            </w:r>
          </w:p>
        </w:tc>
        <w:tc>
          <w:tcPr>
            <w:tcW w:w="300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  <w:tc>
          <w:tcPr>
            <w:tcW w:w="26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</w:tr>
      <w:tr>
        <w:trPr>
          <w:trHeight w:val="382" w:hRule="atLeast"/>
        </w:trPr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60" w:after="0"/>
              <w:ind w:hanging="0" w:left="0" w:right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860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eastAsia="Times New Roman" w:cs="Times New Roman" w:ascii="Times New Roman" w:hAnsi="Times New Roman"/>
                <w:iCs/>
                <w:color w:val="000000"/>
                <w:sz w:val="24"/>
                <w:szCs w:val="24"/>
                <w:lang w:eastAsia="x-none"/>
              </w:rPr>
              <w:t>Информация о транспорте, на котором осуществляется доставка, для оформления допуска на территорию предоставляется не позднее предыдущего рабочего дня до прибытия транспорта</w:t>
            </w:r>
          </w:p>
        </w:tc>
        <w:tc>
          <w:tcPr>
            <w:tcW w:w="300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  <w:tc>
          <w:tcPr>
            <w:tcW w:w="26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</w:tr>
      <w:tr>
        <w:trPr>
          <w:trHeight w:val="371" w:hRule="atLeast"/>
        </w:trPr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60" w:after="0"/>
              <w:ind w:hanging="0" w:left="0" w:right="0"/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860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Продукция должна быть новой, не бывшей в употреблении</w:t>
            </w:r>
          </w:p>
        </w:tc>
        <w:tc>
          <w:tcPr>
            <w:tcW w:w="300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  <w:tc>
          <w:tcPr>
            <w:tcW w:w="26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</w:tr>
    </w:tbl>
    <w:p>
      <w:pPr>
        <w:pStyle w:val="Normal"/>
        <w:keepNext w:val="true"/>
        <w:keepLines/>
        <w:numPr>
          <w:ilvl w:val="0"/>
          <w:numId w:val="0"/>
        </w:numPr>
        <w:spacing w:before="120" w:after="0"/>
        <w:ind w:hanging="0" w:left="0"/>
        <w:contextualSpacing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18"/>
          <w:szCs w:val="18"/>
          <w:lang w:eastAsia="x-none"/>
        </w:rPr>
      </w:pPr>
      <w:r>
        <w:rPr>
          <w:rFonts w:cs="Times New Roman" w:ascii="Times New Roman;serif" w:hAnsi="Times New Roman;serif"/>
          <w:b/>
          <w:sz w:val="24"/>
          <w:szCs w:val="18"/>
          <w:lang w:eastAsia="x-none"/>
        </w:rPr>
        <w:t>3. Требования к документации по ценообразованию на этапе закупки.</w:t>
      </w:r>
    </w:p>
    <w:p>
      <w:pPr>
        <w:pStyle w:val="BodyText"/>
        <w:widowControl/>
        <w:numPr>
          <w:ilvl w:val="0"/>
          <w:numId w:val="0"/>
        </w:numPr>
        <w:suppressAutoHyphens w:val="true"/>
        <w:bidi w:val="0"/>
        <w:spacing w:before="120" w:after="0"/>
        <w:ind w:hanging="0" w:left="0" w:right="-283"/>
        <w:contextualSpacing/>
        <w:jc w:val="both"/>
        <w:outlineLvl w:val="0"/>
        <w:rPr>
          <w:sz w:val="24"/>
          <w:szCs w:val="24"/>
        </w:rPr>
      </w:pPr>
      <w:r>
        <w:rPr>
          <w:rFonts w:ascii="Times New Roman;serif" w:hAnsi="Times New Roman;serif"/>
          <w:sz w:val="24"/>
          <w:szCs w:val="24"/>
        </w:rPr>
        <w:t>3.1.</w:t>
      </w:r>
      <w:r>
        <w:rPr>
          <w:rFonts w:ascii="Times New Roman;serif" w:hAnsi="Times New Roman;serif"/>
          <w:caps w:val="false"/>
          <w:smallCaps w:val="false"/>
          <w:sz w:val="24"/>
          <w:szCs w:val="24"/>
        </w:rPr>
        <w:t xml:space="preserve"> </w:t>
      </w:r>
      <w:r>
        <w:rPr>
          <w:rFonts w:ascii="Times New Roman;serif" w:hAnsi="Times New Roman;serif"/>
          <w:sz w:val="24"/>
          <w:szCs w:val="24"/>
        </w:rPr>
        <w:t>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приведённой в Документации о закупке.</w:t>
      </w:r>
    </w:p>
    <w:p>
      <w:pPr>
        <w:pStyle w:val="BodyText"/>
        <w:spacing w:before="0" w:after="0"/>
        <w:ind w:hanging="0" w:left="0" w:right="0"/>
        <w:jc w:val="both"/>
        <w:rPr>
          <w:sz w:val="24"/>
          <w:szCs w:val="24"/>
        </w:rPr>
      </w:pPr>
      <w:r>
        <w:rPr>
          <w:rFonts w:ascii="Times New Roman;serif" w:hAnsi="Times New Roman;serif"/>
          <w:sz w:val="24"/>
          <w:szCs w:val="24"/>
        </w:rPr>
        <w:t>3.2. Дополнительные документы по ценообразованию в состав заявки не включаются.</w:t>
      </w:r>
    </w:p>
    <w:p>
      <w:pPr>
        <w:pStyle w:val="Normal"/>
        <w:tabs>
          <w:tab w:val="clear" w:pos="708"/>
          <w:tab w:val="left" w:pos="2977" w:leader="none"/>
        </w:tabs>
        <w:spacing w:before="0" w:after="0"/>
        <w:contextualSpacing/>
        <w:jc w:val="right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cs="Times New Roman" w:ascii="Times New Roman" w:hAnsi="Times New Roman"/>
          <w:bCs/>
          <w:sz w:val="24"/>
          <w:szCs w:val="24"/>
          <w:lang w:eastAsia="ar-SA"/>
        </w:rPr>
      </w:r>
    </w:p>
    <w:p>
      <w:pPr>
        <w:pStyle w:val="Normal"/>
        <w:tabs>
          <w:tab w:val="clear" w:pos="708"/>
          <w:tab w:val="left" w:pos="2977" w:leader="none"/>
        </w:tabs>
        <w:spacing w:before="0" w:after="0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sectPr>
      <w:footerReference w:type="default" r:id="rId3"/>
      <w:footerReference w:type="first" r:id="rId4"/>
      <w:type w:val="nextPage"/>
      <w:pgSz w:orient="landscape" w:w="16838" w:h="11906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PT Sans"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Arial">
    <w:altName w:val="Tahoma"/>
    <w:charset w:val="01"/>
    <w:family w:val="roman"/>
    <w:pitch w:val="variable"/>
  </w:font>
  <w:font w:name="Times New Roman">
    <w:altName w:val="serif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fldChar w:fldCharType="begin"/>
    </w:r>
    <w:r>
      <w:rPr>
        <w:sz w:val="20"/>
        <w:szCs w:val="20"/>
        <w:rFonts w:ascii="Times New Roman" w:hAnsi="Times New Roman"/>
      </w:rPr>
      <w:instrText xml:space="preserve"> PAGE </w:instrText>
    </w:r>
    <w:r>
      <w:rPr>
        <w:sz w:val="20"/>
        <w:szCs w:val="20"/>
        <w:rFonts w:ascii="Times New Roman" w:hAnsi="Times New Roman"/>
      </w:rPr>
      <w:fldChar w:fldCharType="separate"/>
    </w:r>
    <w:r>
      <w:rPr>
        <w:sz w:val="20"/>
        <w:szCs w:val="20"/>
        <w:rFonts w:ascii="Times New Roman" w:hAnsi="Times New Roman"/>
      </w:rPr>
      <w:t>3</w:t>
    </w:r>
    <w:r>
      <w:rPr>
        <w:sz w:val="20"/>
        <w:szCs w:val="20"/>
        <w:rFonts w:ascii="Times New Roman" w:hAnsi="Times New Roman"/>
      </w:rPr>
      <w:fldChar w:fldCharType="end"/>
    </w:r>
  </w:p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80" w:hanging="480"/>
      </w:pPr>
      <w:rPr>
        <w:sz w:val="24"/>
        <w:b/>
        <w:szCs w:val="24"/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3">
    <w:lvl w:ilvl="0">
      <w:start w:val="2"/>
      <w:numFmt w:val="decimal"/>
      <w:lvlText w:val="%1."/>
      <w:lvlJc w:val="left"/>
      <w:pPr>
        <w:tabs>
          <w:tab w:val="num" w:pos="0"/>
        </w:tabs>
        <w:ind w:left="717" w:hanging="360"/>
      </w:pPr>
      <w:rPr>
        <w:sz w:val="24"/>
        <w:b/>
        <w:szCs w:val="24"/>
        <w:bCs/>
        <w:rFonts w:ascii="Times New Roman" w:hAnsi="Times New Roman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92" w:hanging="360"/>
      </w:pPr>
      <w:rPr/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27" w:hanging="720"/>
      </w:pPr>
      <w:rPr>
        <w:sz w:val="24"/>
        <w:b/>
        <w:szCs w:val="24"/>
        <w:bCs/>
        <w:rFonts w:ascii="Times New Roman" w:hAnsi="Times New Roman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302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737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812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247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322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757" w:hanging="1800"/>
      </w:pPr>
      <w:rPr/>
    </w:lvl>
  </w:abstractNum>
  <w:abstractNum w:abstractNumId="4"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rFonts w:ascii="Times New Roman" w:hAnsi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304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096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248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192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984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136" w:hanging="180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  <w:rFonts w:ascii="Times New Roman" w:hAnsi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16" w:hanging="432"/>
      </w:pPr>
      <w:rPr>
        <w:sz w:val="24"/>
        <w:b w:val="false"/>
        <w:szCs w:val="24"/>
        <w:bCs/>
        <w:rFonts w:ascii="Times New Roman" w:hAnsi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ahoma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Heading3"/>
    <w:next w:val="Normal"/>
    <w:qFormat/>
    <w:pPr>
      <w:outlineLvl w:val="0"/>
    </w:pPr>
    <w:rPr>
      <w:sz w:val="28"/>
      <w:szCs w:val="28"/>
    </w:rPr>
  </w:style>
  <w:style w:type="paragraph" w:styleId="Heading2">
    <w:name w:val="Heading 2"/>
    <w:basedOn w:val="Normal"/>
    <w:next w:val="Normal"/>
    <w:qFormat/>
    <w:pPr>
      <w:keepNext w:val="true"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3"/>
    <w:autoRedefine/>
    <w:qFormat/>
    <w:pPr>
      <w:keepNext w:val="true"/>
      <w:spacing w:before="120" w:after="60"/>
      <w:outlineLvl w:val="2"/>
    </w:pPr>
    <w:rPr>
      <w:rFonts w:ascii="Times New Roman" w:hAnsi="Times New Roman" w:cs="Times New Roman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pPr>
      <w:outlineLvl w:val="3"/>
    </w:pPr>
    <w:rPr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5" w:customStyle="1">
    <w:name w:val="Нижний колонтитул Знак"/>
    <w:basedOn w:val="DefaultParagraphFont"/>
    <w:qFormat/>
    <w:rPr>
      <w:rFonts w:ascii="Calibri" w:hAnsi="Calibri" w:eastAsia="Calibri" w:cs="Times New Roman"/>
    </w:rPr>
  </w:style>
  <w:style w:type="character" w:styleId="Style6" w:customStyle="1">
    <w:name w:val="Верхний колонтитул Знак"/>
    <w:basedOn w:val="DefaultParagraphFont"/>
    <w:qFormat/>
    <w:rPr/>
  </w:style>
  <w:style w:type="character" w:styleId="Style7" w:customStyle="1">
    <w:name w:val="Текст выноски Знак"/>
    <w:basedOn w:val="DefaultParagraphFont"/>
    <w:link w:val="BalloonText"/>
    <w:qFormat/>
    <w:rPr>
      <w:rFonts w:ascii="Tahoma" w:hAnsi="Tahoma" w:cs="Tahoma"/>
      <w:sz w:val="16"/>
      <w:szCs w:val="16"/>
    </w:rPr>
  </w:style>
  <w:style w:type="character" w:styleId="Style8" w:customStyle="1">
    <w:name w:val="Текст Знак"/>
    <w:basedOn w:val="DefaultParagraphFont"/>
    <w:link w:val="PlainText"/>
    <w:qFormat/>
    <w:rPr>
      <w:rFonts w:ascii="Calibri" w:hAnsi="Calibri"/>
      <w:szCs w:val="21"/>
    </w:rPr>
  </w:style>
  <w:style w:type="character" w:styleId="Apple-converted-space" w:customStyle="1">
    <w:name w:val="apple-converted-space"/>
    <w:basedOn w:val="DefaultParagraphFont"/>
    <w:qFormat/>
    <w:rPr/>
  </w:style>
  <w:style w:type="character" w:styleId="Bodytext2" w:customStyle="1">
    <w:name w:val="Body text (2)"/>
    <w:basedOn w:val="DefaultParagraphFont"/>
    <w:qFormat/>
    <w:rPr>
      <w:rFonts w:ascii="Arial Unicode MS" w:hAnsi="Arial Unicode MS" w:eastAsia="Arial Unicode MS" w:cs="Arial Unicode MS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8"/>
      <w:szCs w:val="18"/>
      <w:u w:val="none"/>
      <w:lang w:val="ru-RU" w:eastAsia="ru-RU" w:bidi="ru-RU"/>
    </w:rPr>
  </w:style>
  <w:style w:type="character" w:styleId="Bodytext21" w:customStyle="1">
    <w:name w:val="Body text (2)_"/>
    <w:basedOn w:val="DefaultParagraphFont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sz w:val="18"/>
      <w:szCs w:val="18"/>
      <w:u w:val="none"/>
    </w:rPr>
  </w:style>
  <w:style w:type="character" w:styleId="Annotationreference">
    <w:name w:val="annotation reference"/>
    <w:basedOn w:val="DefaultParagraphFont"/>
    <w:qFormat/>
    <w:rPr>
      <w:sz w:val="16"/>
      <w:szCs w:val="16"/>
    </w:rPr>
  </w:style>
  <w:style w:type="character" w:styleId="Style9" w:customStyle="1">
    <w:name w:val="Текст примечания Знак"/>
    <w:basedOn w:val="DefaultParagraphFont"/>
    <w:link w:val="Annotationtext"/>
    <w:qFormat/>
    <w:rPr>
      <w:sz w:val="20"/>
      <w:szCs w:val="20"/>
    </w:rPr>
  </w:style>
  <w:style w:type="character" w:styleId="Style10" w:customStyle="1">
    <w:name w:val="Тема примечания Знак"/>
    <w:basedOn w:val="Style9"/>
    <w:link w:val="Annotationsubject"/>
    <w:qFormat/>
    <w:rPr>
      <w:b/>
      <w:bCs/>
      <w:sz w:val="20"/>
      <w:szCs w:val="20"/>
    </w:rPr>
  </w:style>
  <w:style w:type="character" w:styleId="Style11" w:customStyle="1">
    <w:name w:val="Абзац списка Знак"/>
    <w:link w:val="ListParagraph"/>
    <w:qFormat/>
    <w:rPr/>
  </w:style>
  <w:style w:type="character" w:styleId="1" w:customStyle="1">
    <w:name w:val="Заголовок 1 Знак"/>
    <w:basedOn w:val="DefaultParagraphFont"/>
    <w:qFormat/>
    <w:rPr>
      <w:rFonts w:ascii="Times New Roman" w:hAnsi="Times New Roman" w:eastAsia="Calibri" w:cs="Times New Roman"/>
      <w:b/>
      <w:sz w:val="28"/>
      <w:szCs w:val="28"/>
      <w:lang w:val="x-none" w:eastAsia="x-none"/>
    </w:rPr>
  </w:style>
  <w:style w:type="character" w:styleId="3" w:customStyle="1">
    <w:name w:val="Заголовок 3 Знак"/>
    <w:basedOn w:val="DefaultParagraphFont"/>
    <w:qFormat/>
    <w:rPr>
      <w:rFonts w:ascii="Times New Roman" w:hAnsi="Times New Roman" w:eastAsia="Calibri" w:cs="Times New Roman"/>
      <w:b/>
      <w:sz w:val="24"/>
      <w:szCs w:val="24"/>
      <w:lang w:val="x-none" w:eastAsia="x-none"/>
    </w:rPr>
  </w:style>
  <w:style w:type="character" w:styleId="4" w:customStyle="1">
    <w:name w:val="Заголовок 4 Знак"/>
    <w:basedOn w:val="DefaultParagraphFont"/>
    <w:qFormat/>
    <w:rPr>
      <w:rFonts w:ascii="Times New Roman" w:hAnsi="Times New Roman" w:eastAsia="Calibri" w:cs="Times New Roman"/>
      <w:b/>
      <w:bCs/>
      <w:sz w:val="24"/>
      <w:szCs w:val="24"/>
      <w:lang w:val="x-none" w:eastAsia="x-none"/>
    </w:rPr>
  </w:style>
  <w:style w:type="character" w:styleId="11" w:customStyle="1">
    <w:name w:val="Гиперссылка1"/>
    <w:basedOn w:val="DefaultParagraphFont"/>
    <w:qFormat/>
    <w:rPr>
      <w:color w:val="0000FF"/>
      <w:u w:val="single"/>
    </w:rPr>
  </w:style>
  <w:style w:type="character" w:styleId="2" w:customStyle="1">
    <w:name w:val="Заголовок 2 Знак"/>
    <w:basedOn w:val="DefaultParagraphFont"/>
    <w:qFormat/>
    <w:rPr>
      <w:rFonts w:ascii="Cambria" w:hAnsi="Cambria" w:eastAsia="Calibri" w:cs="Tahoma"/>
      <w:b/>
      <w:bCs/>
      <w:color w:val="4F81BD"/>
      <w:sz w:val="26"/>
      <w:szCs w:val="26"/>
    </w:rPr>
  </w:style>
  <w:style w:type="character" w:styleId="Style12" w:customStyle="1">
    <w:name w:val="Символ сноски"/>
    <w:qFormat/>
    <w:rPr/>
  </w:style>
  <w:style w:type="character" w:styleId="Style13" w:customStyle="1">
    <w:name w:val="Ссылка указателя"/>
    <w:qFormat/>
    <w:rPr/>
  </w:style>
  <w:style w:type="character" w:styleId="Hyperlink">
    <w:name w:val="Hyperlink"/>
    <w:rPr>
      <w:color w:val="000080"/>
      <w:u w:val="single"/>
    </w:rPr>
  </w:style>
  <w:style w:type="character" w:styleId="Strong">
    <w:name w:val="Strong"/>
    <w:qFormat/>
    <w:rPr>
      <w:b/>
      <w:bCs/>
    </w:rPr>
  </w:style>
  <w:style w:type="character" w:styleId="Style14" w:customStyle="1">
    <w:name w:val="Маркеры"/>
    <w:qFormat/>
    <w:rPr>
      <w:rFonts w:ascii="OpenSymbol" w:hAnsi="OpenSymbol" w:eastAsia="OpenSymbol" w:cs="OpenSymbol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" w:customStyle="1">
    <w:name w:val="index heading111"/>
    <w:basedOn w:val="Title"/>
    <w:qFormat/>
    <w:pPr/>
    <w:rPr/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" w:customStyle="1">
    <w:name w:val="index heading1111"/>
    <w:basedOn w:val="Title"/>
    <w:qFormat/>
    <w:pPr/>
    <w:rPr/>
  </w:style>
  <w:style w:type="paragraph" w:styleId="12" w:customStyle="1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1111" w:customStyle="1">
    <w:name w:val="caption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" w:customStyle="1">
    <w:name w:val="index heading11111"/>
    <w:basedOn w:val="12"/>
    <w:qFormat/>
    <w:pPr/>
    <w:rPr/>
  </w:style>
  <w:style w:type="paragraph" w:styleId="Caption111111" w:customStyle="1">
    <w:name w:val="caption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1" w:customStyle="1">
    <w:name w:val="index heading111111"/>
    <w:basedOn w:val="12"/>
    <w:qFormat/>
    <w:pPr/>
    <w:rPr/>
  </w:style>
  <w:style w:type="paragraph" w:styleId="Style17" w:customStyle="1">
    <w:name w:val="Колонтитул"/>
    <w:basedOn w:val="Normal"/>
    <w:qFormat/>
    <w:pPr/>
    <w:rPr/>
  </w:style>
  <w:style w:type="paragraph" w:styleId="Footer">
    <w:name w:val="Footer"/>
    <w:basedOn w:val="Normal"/>
    <w:link w:val="Style5"/>
    <w:pPr>
      <w:tabs>
        <w:tab w:val="clear" w:pos="708"/>
        <w:tab w:val="center" w:pos="4677" w:leader="none"/>
        <w:tab w:val="right" w:pos="9355" w:leader="none"/>
      </w:tabs>
    </w:pPr>
    <w:rPr>
      <w:rFonts w:cs="Times New Roman"/>
    </w:rPr>
  </w:style>
  <w:style w:type="paragraph" w:styleId="ListParagraph">
    <w:name w:val="List Paragraph"/>
    <w:basedOn w:val="Normal"/>
    <w:link w:val="Style11"/>
    <w:qFormat/>
    <w:pPr>
      <w:spacing w:before="0" w:after="200"/>
      <w:ind w:hanging="0" w:left="720"/>
      <w:contextualSpacing/>
    </w:pPr>
    <w:rPr/>
  </w:style>
  <w:style w:type="paragraph" w:styleId="Header">
    <w:name w:val="Header"/>
    <w:basedOn w:val="Normal"/>
    <w:link w:val="Style6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link w:val="Style7"/>
    <w:qFormat/>
    <w:pPr/>
    <w:rPr>
      <w:rFonts w:ascii="Tahoma" w:hAnsi="Tahoma"/>
      <w:sz w:val="16"/>
      <w:szCs w:val="16"/>
    </w:rPr>
  </w:style>
  <w:style w:type="paragraph" w:styleId="PlainText">
    <w:name w:val="Plain Text"/>
    <w:basedOn w:val="Normal"/>
    <w:link w:val="Style8"/>
    <w:qFormat/>
    <w:pPr/>
    <w:rPr>
      <w:szCs w:val="21"/>
    </w:rPr>
  </w:style>
  <w:style w:type="paragraph" w:styleId="Annotationtext">
    <w:name w:val="annotation text"/>
    <w:basedOn w:val="Normal"/>
    <w:link w:val="Style9"/>
    <w:qFormat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10"/>
    <w:qFormat/>
    <w:pPr/>
    <w:rPr>
      <w:b/>
      <w:bCs/>
    </w:rPr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next w:val="Normal"/>
    <w:qFormat/>
    <w:pPr>
      <w:keepLines/>
      <w:spacing w:lineRule="auto" w:line="276" w:before="480" w:after="0"/>
      <w:outlineLvl w:val="9"/>
    </w:pPr>
    <w:rPr>
      <w:rFonts w:ascii="Cambria" w:hAnsi="Cambria" w:cs="Tahoma"/>
      <w:bCs/>
      <w:color w:val="365F91"/>
      <w:lang w:val="ru-RU" w:eastAsia="ru-RU"/>
    </w:rPr>
  </w:style>
  <w:style w:type="paragraph" w:styleId="TOC1">
    <w:name w:val="TOC 1"/>
    <w:basedOn w:val="Normal"/>
    <w:next w:val="Normal"/>
    <w:autoRedefine/>
    <w:pPr>
      <w:tabs>
        <w:tab w:val="clear" w:pos="708"/>
        <w:tab w:val="right" w:pos="10138" w:leader="dot"/>
      </w:tabs>
      <w:spacing w:lineRule="exact" w:line="227" w:before="0" w:after="100"/>
    </w:pPr>
    <w:rPr>
      <w:rFonts w:ascii="Times New Roman" w:hAnsi="Times New Roman" w:cs="Times New Roman"/>
      <w:b/>
      <w:lang w:eastAsia="ru-RU"/>
    </w:rPr>
  </w:style>
  <w:style w:type="paragraph" w:styleId="TOC2">
    <w:name w:val="TOC 2"/>
    <w:basedOn w:val="Normal"/>
    <w:next w:val="Normal"/>
    <w:autoRedefine/>
    <w:pPr>
      <w:tabs>
        <w:tab w:val="clear" w:pos="708"/>
        <w:tab w:val="left" w:pos="567" w:leader="none"/>
        <w:tab w:val="right" w:pos="10138" w:leader="dot"/>
      </w:tabs>
      <w:spacing w:before="0" w:after="100"/>
    </w:pPr>
    <w:rPr/>
  </w:style>
  <w:style w:type="paragraph" w:styleId="TOC3">
    <w:name w:val="TOC 3"/>
    <w:basedOn w:val="Normal"/>
    <w:next w:val="Normal"/>
    <w:autoRedefine/>
    <w:pPr>
      <w:tabs>
        <w:tab w:val="clear" w:pos="708"/>
        <w:tab w:val="left" w:pos="567" w:leader="none"/>
        <w:tab w:val="right" w:pos="10138" w:leader="dot"/>
      </w:tabs>
      <w:spacing w:before="0" w:after="100"/>
    </w:pPr>
    <w:rPr/>
  </w:style>
  <w:style w:type="paragraph" w:styleId="Style18" w:customStyle="1">
    <w:name w:val="Текст в заданном формате"/>
    <w:basedOn w:val="Normal"/>
    <w:qFormat/>
    <w:pPr/>
    <w:rPr>
      <w:rFonts w:ascii="Liberation Mono" w:hAnsi="Liberation Mono" w:eastAsia="Liberation Mono" w:cs="Liberation Mono"/>
      <w:sz w:val="20"/>
      <w:szCs w:val="20"/>
    </w:rPr>
  </w:style>
  <w:style w:type="paragraph" w:styleId="Style19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0" w:customStyle="1">
    <w:name w:val="Заголовок таблицы"/>
    <w:basedOn w:val="Style19"/>
    <w:qFormat/>
    <w:pPr>
      <w:jc w:val="center"/>
    </w:pPr>
    <w:rPr>
      <w:b/>
      <w:bCs/>
    </w:rPr>
  </w:style>
  <w:style w:type="paragraph" w:styleId="BodyTextIndent">
    <w:name w:val="Body Text Indent"/>
    <w:basedOn w:val="BodyText"/>
    <w:qFormat/>
    <w:pPr>
      <w:ind w:firstLine="851"/>
      <w:jc w:val="both"/>
    </w:pPr>
    <w:rPr>
      <w:rFonts w:eastAsia="Calibri" w:cs="" w:cstheme="minorBidi" w:eastAsiaTheme="minorHAnsi"/>
      <w:szCs w:val="22"/>
      <w:lang w:eastAsia="en-US"/>
    </w:rPr>
  </w:style>
  <w:style w:type="paragraph" w:styleId="Style21">
    <w:name w:val="Табл текст"/>
    <w:basedOn w:val="BodyTextIndent"/>
    <w:qFormat/>
    <w:pPr>
      <w:spacing w:before="60" w:after="60"/>
      <w:ind w:hanging="0"/>
    </w:pPr>
    <w:rPr/>
  </w:style>
  <w:style w:type="paragraph" w:styleId="Indexheading2">
    <w:name w:val="index heading2"/>
    <w:basedOn w:val="Normal"/>
    <w:qFormat/>
    <w:pPr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32680644281" w:customStyle="1">
    <w:name w:val="32680644281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CE08C7-3C97-4A73-A661-E1A5AEF2E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3303</TotalTime>
  <Application>AlterOffice/2026.2.1.0$Linux_X86_64 LibreOffice_project/f008988ffacaa0b2bf57911c2759d08ca79831df</Application>
  <AppVersion>15.0000</AppVersion>
  <Pages>6</Pages>
  <Words>631</Words>
  <Characters>4264</Characters>
  <CharactersWithSpaces>4756</CharactersWithSpaces>
  <Paragraphs>140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2023-12-05T11:22:00Z</dcterms:created>
  <dc:creator>Катков Олег Валерьевич</dc:creator>
  <dc:description/>
  <dc:language>ru-RU</dc:language>
  <cp:lastModifiedBy>velikosvyatnn@corp.gidroogk.com</cp:lastModifiedBy>
  <cp:lastPrinted>2026-09-02T08:28:12Z</cp:lastPrinted>
  <dcterms:modified xsi:type="dcterms:W3CDTF">2026-09-02T14:55:52Z</dcterms:modified>
  <cp:revision>120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