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widowControl w:val="1"/>
        <w:tabs>
          <w:tab w:leader="none" w:pos="8100" w:val="left"/>
          <w:tab w:leader="none" w:pos="8640" w:val="left"/>
          <w:tab w:leader="none" w:pos="26366" w:val="left"/>
          <w:tab w:leader="none" w:pos="26508" w:val="left"/>
        </w:tabs>
        <w:ind w:firstLine="425" w:left="-1418" w:right="1137"/>
        <w:rPr>
          <w:rFonts w:ascii="Times New Roman" w:hAnsi="Times New Roman"/>
          <w:b w:val="1"/>
          <w:sz w:val="20"/>
        </w:rPr>
      </w:pPr>
    </w:p>
    <w:p w14:paraId="08000000">
      <w:pPr>
        <w:widowControl w:val="1"/>
        <w:tabs>
          <w:tab w:leader="none" w:pos="8100" w:val="left"/>
          <w:tab w:leader="none" w:pos="8640" w:val="left"/>
        </w:tabs>
        <w:ind w:firstLine="425" w:left="-1418" w:right="17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>ТЕХНИЧЕСКОЕ ЗАДАНИЕ</w:t>
      </w:r>
    </w:p>
    <w:p w14:paraId="09000000">
      <w:pPr>
        <w:widowControl w:val="1"/>
        <w:tabs>
          <w:tab w:leader="none" w:pos="8100" w:val="left"/>
          <w:tab w:leader="none" w:pos="8640" w:val="left"/>
        </w:tabs>
        <w:ind w:firstLine="425" w:left="-1418" w:right="18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</w:rPr>
        <w:t>на поставку оборудования, монтаж и пуско-наладочные работы в целях совершенствования местной системы оповещения населения Семилукского муниципального района Воронежской области</w:t>
      </w:r>
    </w:p>
    <w:p w14:paraId="0A000000">
      <w:pPr>
        <w:widowControl w:val="1"/>
        <w:tabs>
          <w:tab w:leader="none" w:pos="8100" w:val="left"/>
          <w:tab w:leader="none" w:pos="8640" w:val="left"/>
        </w:tabs>
        <w:ind w:firstLine="425" w:left="-1418" w:right="18"/>
        <w:rPr>
          <w:rFonts w:ascii="Times New Roman" w:hAnsi="Times New Roman"/>
          <w:b w:val="1"/>
          <w:sz w:val="20"/>
        </w:rPr>
      </w:pPr>
    </w:p>
    <w:p w14:paraId="0B000000">
      <w:pPr>
        <w:widowControl w:val="1"/>
        <w:tabs>
          <w:tab w:leader="none" w:pos="8100" w:val="left"/>
          <w:tab w:leader="none" w:pos="8640" w:val="left"/>
        </w:tabs>
        <w:ind w:firstLine="425" w:left="-1418" w:right="18"/>
        <w:rPr>
          <w:rFonts w:ascii="Times New Roman" w:hAnsi="Times New Roman"/>
          <w:b w:val="1"/>
          <w:sz w:val="20"/>
        </w:rPr>
      </w:pPr>
    </w:p>
    <w:p w14:paraId="0C000000">
      <w:pPr>
        <w:widowControl w:val="1"/>
        <w:tabs>
          <w:tab w:leader="none" w:pos="8100" w:val="left"/>
          <w:tab w:leader="none" w:pos="8640" w:val="left"/>
        </w:tabs>
        <w:ind w:firstLine="425" w:left="-1418" w:right="18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>1. Общие положения</w:t>
      </w:r>
    </w:p>
    <w:p w14:paraId="0D000000">
      <w:pPr>
        <w:widowControl w:val="1"/>
        <w:tabs>
          <w:tab w:leader="none" w:pos="567" w:val="left"/>
          <w:tab w:leader="none" w:pos="709" w:val="left"/>
          <w:tab w:leader="none" w:pos="851" w:val="left"/>
        </w:tabs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1.1. Терминология, используемая в </w:t>
      </w:r>
      <w:r>
        <w:rPr>
          <w:rFonts w:ascii="Times New Roman" w:hAnsi="Times New Roman"/>
          <w:sz w:val="20"/>
        </w:rPr>
        <w:t>техническом задании:</w:t>
      </w:r>
    </w:p>
    <w:p w14:paraId="0E000000">
      <w:pPr>
        <w:widowControl w:val="1"/>
        <w:tabs>
          <w:tab w:leader="none" w:pos="567" w:val="left"/>
          <w:tab w:leader="none" w:pos="709" w:val="left"/>
          <w:tab w:leader="none" w:pos="851" w:val="left"/>
        </w:tabs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ЕДДС - единая дежурно-диспетчерская служба;</w:t>
      </w:r>
    </w:p>
    <w:p w14:paraId="0F000000">
      <w:pPr>
        <w:widowControl w:val="1"/>
        <w:tabs>
          <w:tab w:leader="none" w:pos="567" w:val="left"/>
          <w:tab w:leader="none" w:pos="709" w:val="left"/>
          <w:tab w:leader="none" w:pos="851" w:val="left"/>
        </w:tabs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МСОН – муниципальная системы оповещения населения;</w:t>
      </w:r>
    </w:p>
    <w:p w14:paraId="10000000">
      <w:pPr>
        <w:widowControl w:val="1"/>
        <w:tabs>
          <w:tab w:leader="none" w:pos="567" w:val="left"/>
          <w:tab w:leader="none" w:pos="709" w:val="left"/>
          <w:tab w:leader="none" w:pos="851" w:val="left"/>
        </w:tabs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РАСЦО – региональная автоматизированная система централизованного оповещения;</w:t>
      </w:r>
    </w:p>
    <w:p w14:paraId="11000000">
      <w:pPr>
        <w:widowControl w:val="1"/>
        <w:tabs>
          <w:tab w:leader="none" w:pos="567" w:val="left"/>
          <w:tab w:leader="none" w:pos="709" w:val="left"/>
          <w:tab w:leader="none" w:pos="851" w:val="left"/>
        </w:tabs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РСЧС – единая государственная система предупреждения и ликвида</w:t>
      </w:r>
      <w:r>
        <w:rPr>
          <w:rFonts w:ascii="Times New Roman" w:hAnsi="Times New Roman"/>
          <w:sz w:val="20"/>
        </w:rPr>
        <w:t>ции чрезвычайных ситуаций;</w:t>
      </w:r>
    </w:p>
    <w:p w14:paraId="12000000">
      <w:pPr>
        <w:widowControl w:val="1"/>
        <w:tabs>
          <w:tab w:leader="none" w:pos="567" w:val="left"/>
          <w:tab w:leader="none" w:pos="709" w:val="left"/>
          <w:tab w:leader="none" w:pos="851" w:val="left"/>
        </w:tabs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КТСО – комплекс технических средств оповещения;</w:t>
      </w:r>
    </w:p>
    <w:p w14:paraId="13000000">
      <w:pPr>
        <w:widowControl w:val="1"/>
        <w:tabs>
          <w:tab w:leader="none" w:pos="567" w:val="left"/>
          <w:tab w:leader="none" w:pos="709" w:val="left"/>
          <w:tab w:leader="none" w:pos="851" w:val="left"/>
        </w:tabs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КЧС и ОПБ – комиссия по предупреждению и ликвидации чрезвычайных ситуаций и обеспечению пожарной безопасности;</w:t>
      </w:r>
    </w:p>
    <w:p w14:paraId="14000000">
      <w:pPr>
        <w:widowControl w:val="1"/>
        <w:tabs>
          <w:tab w:leader="none" w:pos="567" w:val="left"/>
          <w:tab w:leader="none" w:pos="709" w:val="left"/>
          <w:tab w:leader="none" w:pos="851" w:val="left"/>
        </w:tabs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КПУ – командный пульт управления;</w:t>
      </w:r>
    </w:p>
    <w:p w14:paraId="15000000">
      <w:pPr>
        <w:widowControl w:val="1"/>
        <w:tabs>
          <w:tab w:leader="none" w:pos="567" w:val="left"/>
          <w:tab w:leader="none" w:pos="709" w:val="left"/>
          <w:tab w:leader="none" w:pos="851" w:val="left"/>
        </w:tabs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УУЭС - устройство усилительное элект</w:t>
      </w:r>
      <w:r>
        <w:rPr>
          <w:rFonts w:ascii="Times New Roman" w:hAnsi="Times New Roman"/>
          <w:sz w:val="20"/>
        </w:rPr>
        <w:t>ронной сирены;</w:t>
      </w:r>
    </w:p>
    <w:p w14:paraId="16000000">
      <w:pPr>
        <w:widowControl w:val="1"/>
        <w:tabs>
          <w:tab w:leader="none" w:pos="567" w:val="left"/>
          <w:tab w:leader="none" w:pos="709" w:val="left"/>
          <w:tab w:leader="none" w:pos="851" w:val="left"/>
        </w:tabs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ЦСО - централизованная система оповещения</w:t>
      </w:r>
    </w:p>
    <w:p w14:paraId="17000000">
      <w:pPr>
        <w:widowControl w:val="1"/>
        <w:tabs>
          <w:tab w:leader="none" w:pos="709" w:val="left"/>
        </w:tabs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1.2. Местная система оповещения населения муниципального района Воронежской  области построена и эксплуатируется на базе КТСО П-166 с 2016 года (распоряжение Правительства Воронежской области от 08.0</w:t>
      </w:r>
      <w:r>
        <w:rPr>
          <w:rFonts w:ascii="Times New Roman" w:hAnsi="Times New Roman"/>
          <w:sz w:val="20"/>
        </w:rPr>
        <w:t>6.2016 № 336-р) и предназначена для обеспечения своевременного доведения информации и сигналов оповещения до органов управления, сил и средств гражданской обороны, РСЧС и населения при возникновении опасностей в период мобилизации, в период действия военно</w:t>
      </w:r>
      <w:r>
        <w:rPr>
          <w:rFonts w:ascii="Times New Roman" w:hAnsi="Times New Roman"/>
          <w:sz w:val="20"/>
        </w:rPr>
        <w:t>го положения, в военное время, а также угрозе возникновения или возникновении чрезвычайных ситуаций природного и техногенного характера.</w:t>
      </w:r>
    </w:p>
    <w:p w14:paraId="18000000">
      <w:pPr>
        <w:widowControl w:val="1"/>
        <w:tabs>
          <w:tab w:leader="none" w:pos="567" w:val="left"/>
          <w:tab w:leader="none" w:pos="709" w:val="left"/>
          <w:tab w:leader="none" w:pos="851" w:val="left"/>
        </w:tabs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1.3. МСОН имеет программно-аппаратное сопряжение с региональной системой оповещения населения Воронежской области, </w:t>
      </w:r>
      <w:r>
        <w:rPr>
          <w:rFonts w:ascii="Times New Roman" w:hAnsi="Times New Roman"/>
          <w:sz w:val="20"/>
        </w:rPr>
        <w:t>построенной на базе КТСО П-166 производства ОА «КЗТА».</w:t>
      </w:r>
    </w:p>
    <w:p w14:paraId="19000000">
      <w:pPr>
        <w:widowControl w:val="1"/>
        <w:tabs>
          <w:tab w:leader="none" w:pos="567" w:val="left"/>
          <w:tab w:leader="none" w:pos="709" w:val="left"/>
          <w:tab w:leader="none" w:pos="851" w:val="left"/>
        </w:tabs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>При выполнении работ по совершенствованию МСОН руководствоваться требованиями документов:</w:t>
      </w:r>
    </w:p>
    <w:p w14:paraId="1A000000">
      <w:pPr>
        <w:widowControl w:val="1"/>
        <w:tabs>
          <w:tab w:leader="none" w:pos="709" w:val="left"/>
        </w:tabs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Федеральный закон от 21.12.1994 № 68-ФЗ «О защите населения и территорий от чрезвычайных ситуаций природного</w:t>
      </w:r>
      <w:r>
        <w:rPr>
          <w:rFonts w:ascii="Times New Roman" w:hAnsi="Times New Roman"/>
          <w:sz w:val="20"/>
        </w:rPr>
        <w:t xml:space="preserve"> и техногенного характера»;</w:t>
      </w:r>
    </w:p>
    <w:p w14:paraId="1B000000">
      <w:pPr>
        <w:widowControl w:val="1"/>
        <w:tabs>
          <w:tab w:leader="none" w:pos="709" w:val="left"/>
        </w:tabs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Федеральный закон от 12.02.1998 № 28-ФЗ «О гражданской обороне»;</w:t>
      </w:r>
    </w:p>
    <w:p w14:paraId="1C000000">
      <w:pPr>
        <w:widowControl w:val="1"/>
        <w:tabs>
          <w:tab w:leader="none" w:pos="709" w:val="left"/>
        </w:tabs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Федеральный закон от 26.02.1997 № 31-ФЗ «О мобилизационной подготовке и мобилизации в Российской Федерации»;</w:t>
      </w:r>
    </w:p>
    <w:p w14:paraId="1D000000">
      <w:pPr>
        <w:widowControl w:val="1"/>
        <w:tabs>
          <w:tab w:leader="none" w:pos="709" w:val="left"/>
        </w:tabs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распоряжение Правительства РФ от 25.10.2003 № 15</w:t>
      </w:r>
      <w:r>
        <w:rPr>
          <w:rFonts w:ascii="Times New Roman" w:hAnsi="Times New Roman"/>
          <w:sz w:val="20"/>
        </w:rPr>
        <w:t>44-р «О реконструкции действующих территориальных и создании локальных систем оповещения в районах размещения потенциально опасных объектов»;</w:t>
      </w:r>
    </w:p>
    <w:p w14:paraId="1E000000">
      <w:pPr>
        <w:widowControl w:val="1"/>
        <w:tabs>
          <w:tab w:leader="none" w:pos="709" w:val="left"/>
        </w:tabs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распоряжение Правительства РФ от 14.10.2004 № 1327-р «Об использовании современных технических средств массовой </w:t>
      </w:r>
      <w:r>
        <w:rPr>
          <w:rFonts w:ascii="Times New Roman" w:hAnsi="Times New Roman"/>
          <w:sz w:val="20"/>
        </w:rPr>
        <w:t>информации в целях совершенствования подготовки населения в области гражданской обороны, защиты от чрезвычайных ситуаций, пожарной безопасности и охраны общественного порядка, а также своевременного оповещения и оперативного информирования граждан о чрезвы</w:t>
      </w:r>
      <w:r>
        <w:rPr>
          <w:rFonts w:ascii="Times New Roman" w:hAnsi="Times New Roman"/>
          <w:sz w:val="20"/>
        </w:rPr>
        <w:t>чайных ситуациях и угрозе террористических актов»;</w:t>
      </w:r>
    </w:p>
    <w:p w14:paraId="1F000000">
      <w:pPr>
        <w:widowControl w:val="1"/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приказ Министерства РФ по делам гражданской обороны, чрезвычайным ситуациям и ликвидации последствий стихийных бедствий, Министерства цифрового развития, связи и массовых коммуникаций РФ от 31.07.2020 № </w:t>
      </w:r>
      <w:r>
        <w:rPr>
          <w:rFonts w:ascii="Times New Roman" w:hAnsi="Times New Roman"/>
          <w:sz w:val="20"/>
        </w:rPr>
        <w:t>578/365 «Об утверждении Положения о системах оповещения населения»;</w:t>
      </w:r>
    </w:p>
    <w:p w14:paraId="20000000">
      <w:pPr>
        <w:widowControl w:val="1"/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совместный приказ МЧС России, МВД России и ФСБ России от 31.05.2005 № 428/432/321 «О порядке размещения современных технических средств массовой информации в местах массового пребывания </w:t>
      </w:r>
      <w:r>
        <w:rPr>
          <w:rFonts w:ascii="Times New Roman" w:hAnsi="Times New Roman"/>
          <w:sz w:val="20"/>
        </w:rPr>
        <w:t>людей в целях подготовки населения в области гражданской обороны, защиты от чрезвычайных ситуаций, обеспечения пожарной безопасности и охраны общественного порядка, а также своевременного оповещения и оперативного информирования граждан о чрезвычайных ситу</w:t>
      </w:r>
      <w:r>
        <w:rPr>
          <w:rFonts w:ascii="Times New Roman" w:hAnsi="Times New Roman"/>
          <w:sz w:val="20"/>
        </w:rPr>
        <w:t>ациях и угрозе террористических акций» (зарегистрирован в Минюсте России, регистрационный № 6700 от 09.06.2005);</w:t>
      </w:r>
    </w:p>
    <w:p w14:paraId="21000000">
      <w:pPr>
        <w:widowControl w:val="1"/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постановления Правительства Российской Федерации от 17.05.2023 г. № 769 «О порядке создания, реконструкции и поддержания в состоянии постоянн</w:t>
      </w:r>
      <w:r>
        <w:rPr>
          <w:rFonts w:ascii="Times New Roman" w:hAnsi="Times New Roman"/>
          <w:sz w:val="20"/>
        </w:rPr>
        <w:t>ой готовности к использованию систем оповещения населения»;</w:t>
      </w:r>
    </w:p>
    <w:p w14:paraId="22000000">
      <w:pPr>
        <w:widowControl w:val="1"/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ГОСТ Р 42.3.01-2021 ««Гражданская оборона. Технические средства оповещения населения. Классификация. Общие технические требования» </w:t>
      </w:r>
    </w:p>
    <w:p w14:paraId="23000000">
      <w:pPr>
        <w:widowControl w:val="1"/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1.4. При выполнении работ по совершенствованию МСОН учитывать </w:t>
      </w:r>
      <w:r>
        <w:rPr>
          <w:rFonts w:ascii="Times New Roman" w:hAnsi="Times New Roman"/>
          <w:sz w:val="20"/>
        </w:rPr>
        <w:t>требования к функциям (задачам), выполняемым системами оповещения, предусмотренным ст. 6.41 свода правил СП 165.1325800.2014 «Инженерно-технические мероприятия по гражданской обороне»:</w:t>
      </w:r>
    </w:p>
    <w:p w14:paraId="24000000">
      <w:pPr>
        <w:widowControl w:val="1"/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«Комплексы технических средств оповещения должны обеспечивать:</w:t>
      </w:r>
    </w:p>
    <w:p w14:paraId="25000000">
      <w:pPr>
        <w:widowControl w:val="1"/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подгот</w:t>
      </w:r>
      <w:r>
        <w:rPr>
          <w:rFonts w:ascii="Times New Roman" w:hAnsi="Times New Roman"/>
          <w:sz w:val="20"/>
        </w:rPr>
        <w:t>овку и хранение речевых и буквенно-цифровых сообщений, программ оповещения, вариантов (сценариев) и режимов запуска систем оповещения;</w:t>
      </w:r>
    </w:p>
    <w:p w14:paraId="26000000">
      <w:pPr>
        <w:widowControl w:val="1"/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формирование, передачу и прием информации оповещения (формализованных сигналов), речевых и буквенно-цифровых сообщений;</w:t>
      </w:r>
    </w:p>
    <w:p w14:paraId="27000000">
      <w:pPr>
        <w:widowControl w:val="1"/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дистанционное управление средствами оповещения населения, должностных лиц и органов управления;</w:t>
      </w:r>
    </w:p>
    <w:p w14:paraId="28000000">
      <w:pPr>
        <w:widowControl w:val="1"/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приоритеты сигналам оповещения по отношению к работе пользователей отбираемого канала и вышестоящим инстанциям по отношению к нижестоящим;</w:t>
      </w:r>
    </w:p>
    <w:p w14:paraId="29000000">
      <w:pPr>
        <w:widowControl w:val="1"/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документирован</w:t>
      </w:r>
      <w:r>
        <w:rPr>
          <w:rFonts w:ascii="Times New Roman" w:hAnsi="Times New Roman"/>
          <w:sz w:val="20"/>
        </w:rPr>
        <w:t>ие на электронном носителе и печатающем устройстве ПЭВМ процесса оповещения и действий оперативного дежурного.</w:t>
      </w:r>
    </w:p>
    <w:p w14:paraId="2A000000">
      <w:pPr>
        <w:widowControl w:val="1"/>
        <w:tabs>
          <w:tab w:leader="none" w:pos="7655" w:val="left"/>
        </w:tabs>
        <w:ind w:firstLine="425" w:left="-1418"/>
        <w:jc w:val="both"/>
        <w:rPr>
          <w:rFonts w:ascii="Times New Roman" w:hAnsi="Times New Roman"/>
          <w:color w:val="0070C0"/>
          <w:sz w:val="20"/>
        </w:rPr>
      </w:pPr>
    </w:p>
    <w:p w14:paraId="2B000000">
      <w:pPr>
        <w:widowControl w:val="1"/>
        <w:tabs>
          <w:tab w:leader="none" w:pos="8100" w:val="left"/>
          <w:tab w:leader="none" w:pos="8640" w:val="left"/>
        </w:tabs>
        <w:ind w:firstLine="425" w:left="-1418" w:right="18"/>
        <w:rPr>
          <w:rFonts w:ascii="Times New Roman" w:hAnsi="Times New Roman"/>
          <w:b w:val="1"/>
          <w:sz w:val="20"/>
        </w:rPr>
      </w:pPr>
    </w:p>
    <w:p w14:paraId="2C000000">
      <w:pPr>
        <w:widowControl w:val="1"/>
        <w:tabs>
          <w:tab w:leader="none" w:pos="8100" w:val="left"/>
          <w:tab w:leader="none" w:pos="8640" w:val="left"/>
        </w:tabs>
        <w:ind w:firstLine="425" w:left="-1418" w:right="18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>2. Требования к оборудованию.</w:t>
      </w:r>
    </w:p>
    <w:p w14:paraId="2D000000">
      <w:pPr>
        <w:widowControl w:val="1"/>
        <w:tabs>
          <w:tab w:leader="none" w:pos="7655" w:val="left"/>
        </w:tabs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2.1. Качество поставляемого оборудования должно соответствовать требованиям ГОСТ Р 42.3.01-2021 Национальный </w:t>
      </w:r>
      <w:r>
        <w:rPr>
          <w:rFonts w:ascii="Times New Roman" w:hAnsi="Times New Roman"/>
          <w:sz w:val="20"/>
        </w:rPr>
        <w:t>стандарт Российской Федерации. «Гражданская оборона. Технические средства оповещения населения. Классификация. Общие технические требования».</w:t>
      </w:r>
    </w:p>
    <w:p w14:paraId="2E000000">
      <w:pPr>
        <w:widowControl w:val="1"/>
        <w:tabs>
          <w:tab w:leader="none" w:pos="7655" w:val="left"/>
        </w:tabs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2.2. В соответствии с </w:t>
      </w:r>
      <w:r>
        <w:rPr>
          <w:rFonts w:ascii="Times New Roman" w:hAnsi="Times New Roman"/>
          <w:sz w:val="20"/>
        </w:rPr>
        <w:fldChar w:fldCharType="begin"/>
      </w:r>
      <w:r>
        <w:rPr>
          <w:rFonts w:ascii="Times New Roman" w:hAnsi="Times New Roman"/>
          <w:sz w:val="20"/>
        </w:rPr>
        <w:instrText>HYPERLINK "consultantplus://offline/ref=45A3B0E9913086C31941AE40A11894F1A08E35DAD129C7DA5E9065C4378F0C2CA691078EDC199476bBK2F"</w:instrText>
      </w:r>
      <w:r>
        <w:rPr>
          <w:rFonts w:ascii="Times New Roman" w:hAnsi="Times New Roman"/>
          <w:sz w:val="20"/>
        </w:rPr>
        <w:fldChar w:fldCharType="separate"/>
      </w:r>
      <w:r>
        <w:rPr>
          <w:rFonts w:ascii="Times New Roman" w:hAnsi="Times New Roman"/>
          <w:sz w:val="20"/>
        </w:rPr>
        <w:t>п. 7 ч. 1 ст. 33</w:t>
      </w:r>
      <w:r>
        <w:rPr>
          <w:rFonts w:ascii="Times New Roman" w:hAnsi="Times New Roman"/>
          <w:sz w:val="20"/>
        </w:rPr>
        <w:fldChar w:fldCharType="end"/>
      </w:r>
      <w:r>
        <w:rPr>
          <w:rFonts w:ascii="Times New Roman" w:hAnsi="Times New Roman"/>
          <w:sz w:val="20"/>
        </w:rPr>
        <w:t xml:space="preserve"> Федерального закона от 05.04.2013     № 44-ФЗ «О контрактной системе в сфере закупок товаров, работ, услуг для обеспечения государственных и муниципальных нужд», предлагаемое к поставке оборудование сис</w:t>
      </w:r>
      <w:r>
        <w:rPr>
          <w:rFonts w:ascii="Times New Roman" w:hAnsi="Times New Roman"/>
          <w:sz w:val="20"/>
        </w:rPr>
        <w:t>темы оповещения должно быть новым (оборудование, которое не было в употреблении, в ремонте, в том числе которое не было восстановлено, у которого не была осуществлена замена составных частей, не были восстановлены потребительские свойства), не имеющим внеш</w:t>
      </w:r>
      <w:r>
        <w:rPr>
          <w:rFonts w:ascii="Times New Roman" w:hAnsi="Times New Roman"/>
          <w:sz w:val="20"/>
        </w:rPr>
        <w:t xml:space="preserve">них признаков повреждений, связанных с транспортировкой, погрузо-разгрузочными работами. </w:t>
      </w:r>
    </w:p>
    <w:p w14:paraId="2F000000">
      <w:pPr>
        <w:widowControl w:val="1"/>
        <w:tabs>
          <w:tab w:leader="none" w:pos="7655" w:val="left"/>
        </w:tabs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2.3. В части электробезопасности оборудование должно удовлетворять требованиям «Правил устройства электроустановок». Электропитание и заземление оборудования предусмо</w:t>
      </w:r>
      <w:r>
        <w:rPr>
          <w:rFonts w:ascii="Times New Roman" w:hAnsi="Times New Roman"/>
          <w:sz w:val="20"/>
        </w:rPr>
        <w:t>треть от существующих источников гарантированного электропитания и систем заземления. Подключение к электропитанию оконечных средств оповещения осуществляет ответственный за подключение электроприемников к сети электропитания собственников объектов, т.к. с</w:t>
      </w:r>
      <w:r>
        <w:rPr>
          <w:rFonts w:ascii="Times New Roman" w:hAnsi="Times New Roman"/>
          <w:sz w:val="20"/>
        </w:rPr>
        <w:t>огласно пункту 12 Правил технической эксплуатации электроустановок потребителей электрической энергии (утверждены приказом Минэнерго от 12.08.2022 № 811) все переключения в электроустановках имеют право выполнять только определенные собственником работники</w:t>
      </w:r>
      <w:r>
        <w:rPr>
          <w:rFonts w:ascii="Times New Roman" w:hAnsi="Times New Roman"/>
          <w:sz w:val="20"/>
        </w:rPr>
        <w:t xml:space="preserve">. </w:t>
      </w:r>
    </w:p>
    <w:p w14:paraId="30000000">
      <w:pPr>
        <w:widowControl w:val="1"/>
        <w:tabs>
          <w:tab w:leader="none" w:pos="7655" w:val="left"/>
        </w:tabs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2.4. Ввод в эксплуатацию устройства усилительного электронной сирены, монтаж, настройка должны выполняться в соответствии с требованиями: </w:t>
      </w:r>
      <w:r>
        <w:rPr>
          <w:rFonts w:ascii="Times New Roman" w:hAnsi="Times New Roman"/>
          <w:sz w:val="20"/>
        </w:rPr>
        <w:br/>
      </w:r>
      <w:r>
        <w:rPr>
          <w:rFonts w:ascii="Times New Roman" w:hAnsi="Times New Roman"/>
          <w:sz w:val="20"/>
        </w:rPr>
        <w:t xml:space="preserve">- Федерального закона Российской Федерации от 21.12.1994 г. № 68-ФЗ «О защите населения и территорий от </w:t>
      </w:r>
      <w:r>
        <w:rPr>
          <w:rFonts w:ascii="Times New Roman" w:hAnsi="Times New Roman"/>
          <w:sz w:val="20"/>
        </w:rPr>
        <w:t xml:space="preserve">чрезвычайных ситуаций природного и техногенного характера»; </w:t>
      </w:r>
      <w:r>
        <w:rPr>
          <w:rFonts w:ascii="Times New Roman" w:hAnsi="Times New Roman"/>
          <w:sz w:val="20"/>
        </w:rPr>
        <w:br/>
      </w:r>
      <w:r>
        <w:rPr>
          <w:rFonts w:ascii="Times New Roman" w:hAnsi="Times New Roman"/>
          <w:sz w:val="20"/>
        </w:rPr>
        <w:t>- постановления Правительства Российской Федерации от 17.05.2023 г. № 769 «О порядке создания, реконструкции и поддержания в состоянии постоянной готовности к использованию систем оповещения насе</w:t>
      </w:r>
      <w:r>
        <w:rPr>
          <w:rFonts w:ascii="Times New Roman" w:hAnsi="Times New Roman"/>
          <w:sz w:val="20"/>
        </w:rPr>
        <w:t xml:space="preserve">ления»; </w:t>
      </w:r>
      <w:r>
        <w:rPr>
          <w:rFonts w:ascii="Times New Roman" w:hAnsi="Times New Roman"/>
          <w:sz w:val="20"/>
        </w:rPr>
        <w:br/>
      </w:r>
      <w:r>
        <w:rPr>
          <w:rFonts w:ascii="Times New Roman" w:hAnsi="Times New Roman"/>
          <w:sz w:val="20"/>
        </w:rPr>
        <w:t xml:space="preserve">- приказа МЧС России № 578, Минкомсвязи России № 365 от 31.07.2020 г. «Об утверждении Положения о системах оповещения населения»; </w:t>
      </w:r>
      <w:r>
        <w:rPr>
          <w:rFonts w:ascii="Times New Roman" w:hAnsi="Times New Roman"/>
          <w:sz w:val="20"/>
        </w:rPr>
        <w:br/>
      </w:r>
      <w:r>
        <w:rPr>
          <w:rFonts w:ascii="Times New Roman" w:hAnsi="Times New Roman"/>
          <w:sz w:val="20"/>
        </w:rPr>
        <w:t>- ГОСТа 42.3.01-2021. "ГРАЖДАНСКАЯ ОБОРОНА. ТЕХНИЧЕСКИЕ СРЕДСТВА ОПОВЕЩЕНИЯ НАСЕЛЕНИЯ. КЛАССИФИКАЦИЯ. ОБЩИЕ ТЕХНИЧЕС</w:t>
      </w:r>
      <w:r>
        <w:rPr>
          <w:rFonts w:ascii="Times New Roman" w:hAnsi="Times New Roman"/>
          <w:sz w:val="20"/>
        </w:rPr>
        <w:t xml:space="preserve">КИЕ ТРЕБОВАНИЯ"; </w:t>
      </w:r>
    </w:p>
    <w:p w14:paraId="31000000">
      <w:pPr>
        <w:widowControl w:val="1"/>
        <w:tabs>
          <w:tab w:leader="none" w:pos="7655" w:val="left"/>
        </w:tabs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 целях обеспечения программно-аппаратного сопряжения вновь устанавливаемого оборудования, с оборудованием пункта управления МСОН муниципального района, построенного на базе КТСО П-166 производства АО «КЗТА», к поставке допускается только</w:t>
      </w:r>
      <w:r>
        <w:rPr>
          <w:rFonts w:ascii="Times New Roman" w:hAnsi="Times New Roman"/>
          <w:sz w:val="20"/>
        </w:rPr>
        <w:t xml:space="preserve"> оригинальный товар. </w:t>
      </w:r>
    </w:p>
    <w:p w14:paraId="32000000">
      <w:pPr>
        <w:widowControl w:val="1"/>
        <w:tabs>
          <w:tab w:leader="none" w:pos="7655" w:val="left"/>
        </w:tabs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Все оборудование должно быть произведено, не ранее 2025 года выпуска.</w:t>
      </w:r>
    </w:p>
    <w:p w14:paraId="33000000">
      <w:pPr>
        <w:widowControl w:val="1"/>
        <w:tabs>
          <w:tab w:leader="none" w:pos="7655" w:val="left"/>
        </w:tabs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Оборудование должно поставляться в упаковке, с маркировкой завода-изготовителя в соответствии с требованиями ГОСТов и других стандартов, соответствовать характерист</w:t>
      </w:r>
      <w:r>
        <w:rPr>
          <w:rFonts w:ascii="Times New Roman" w:hAnsi="Times New Roman"/>
          <w:sz w:val="20"/>
        </w:rPr>
        <w:t xml:space="preserve">икам, приведённым ниже в таблице. </w:t>
      </w:r>
    </w:p>
    <w:p w14:paraId="34000000">
      <w:pPr>
        <w:widowControl w:val="1"/>
        <w:tabs>
          <w:tab w:leader="none" w:pos="7655" w:val="left"/>
        </w:tabs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 каждый тип оборудования предоставляется паспорт (формуляр), руководство по эксплуатации.</w:t>
      </w:r>
    </w:p>
    <w:p w14:paraId="35000000">
      <w:pPr>
        <w:sectPr>
          <w:headerReference r:id="rId3" w:type="default"/>
          <w:pgSz w:h="16838" w:orient="portrait" w:w="11906"/>
          <w:pgMar w:bottom="964" w:footer="709" w:gutter="0" w:header="454" w:left="1871" w:right="567" w:top="567"/>
          <w:titlePg/>
        </w:sectPr>
      </w:pPr>
    </w:p>
    <w:p w14:paraId="36000000">
      <w:pPr>
        <w:widowControl w:val="1"/>
        <w:tabs>
          <w:tab w:leader="none" w:pos="7655" w:val="left"/>
        </w:tabs>
        <w:ind w:firstLine="709"/>
        <w:jc w:val="both"/>
        <w:rPr>
          <w:rFonts w:ascii="Times New Roman" w:hAnsi="Times New Roman"/>
          <w:sz w:val="20"/>
        </w:rPr>
      </w:pPr>
    </w:p>
    <w:p w14:paraId="37000000">
      <w:pPr>
        <w:rPr>
          <w:rFonts w:ascii="Times New Roman" w:hAnsi="Times New Roman"/>
          <w:sz w:val="20"/>
        </w:rPr>
      </w:pPr>
    </w:p>
    <w:p w14:paraId="38000000">
      <w:pPr>
        <w:widowControl w:val="1"/>
        <w:tabs>
          <w:tab w:leader="none" w:pos="8100" w:val="left"/>
          <w:tab w:leader="none" w:pos="8640" w:val="left"/>
        </w:tabs>
        <w:spacing w:line="247" w:lineRule="auto"/>
        <w:ind w:right="18"/>
        <w:rPr>
          <w:rFonts w:ascii="Times New Roman" w:hAnsi="Times New Roman"/>
          <w:b w:val="1"/>
          <w:sz w:val="20"/>
        </w:rPr>
      </w:pPr>
    </w:p>
    <w:p w14:paraId="39000000">
      <w:pPr>
        <w:widowControl w:val="1"/>
        <w:tabs>
          <w:tab w:leader="none" w:pos="8100" w:val="left"/>
          <w:tab w:leader="none" w:pos="8640" w:val="left"/>
        </w:tabs>
        <w:spacing w:line="247" w:lineRule="auto"/>
        <w:ind w:right="18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3. Показатели, </w:t>
      </w:r>
      <w:r>
        <w:rPr>
          <w:rFonts w:ascii="Times New Roman" w:hAnsi="Times New Roman"/>
          <w:b w:val="1"/>
          <w:sz w:val="20"/>
        </w:rPr>
        <w:t>позволяющие определить соответствие закупаемого оборудования потребностям заказчика</w:t>
      </w:r>
    </w:p>
    <w:p w14:paraId="3A000000">
      <w:pPr>
        <w:widowControl w:val="1"/>
        <w:tabs>
          <w:tab w:leader="none" w:pos="8100" w:val="left"/>
          <w:tab w:leader="none" w:pos="8640" w:val="left"/>
        </w:tabs>
        <w:spacing w:line="247" w:lineRule="auto"/>
        <w:ind w:right="18"/>
        <w:rPr>
          <w:rFonts w:ascii="Times New Roman" w:hAnsi="Times New Roman"/>
          <w:b w:val="1"/>
          <w:sz w:val="20"/>
        </w:rPr>
      </w:pPr>
    </w:p>
    <w:p w14:paraId="3B000000">
      <w:pPr>
        <w:widowControl w:val="1"/>
        <w:spacing w:line="247" w:lineRule="auto"/>
        <w:ind/>
        <w:jc w:val="both"/>
        <w:rPr>
          <w:rFonts w:ascii="Times New Roman" w:hAnsi="Times New Roman"/>
          <w:i w:val="1"/>
          <w:sz w:val="20"/>
        </w:rPr>
      </w:pPr>
      <w:r>
        <w:rPr>
          <w:rFonts w:ascii="Times New Roman" w:hAnsi="Times New Roman"/>
          <w:i w:val="1"/>
          <w:sz w:val="20"/>
        </w:rPr>
        <w:t>Таблица № 1. «Требования к оборудованию комплекса технических средств оповещения»</w:t>
      </w:r>
    </w:p>
    <w:p w14:paraId="3C000000">
      <w:pPr>
        <w:widowControl w:val="1"/>
        <w:spacing w:line="247" w:lineRule="auto"/>
        <w:ind/>
        <w:jc w:val="both"/>
        <w:rPr>
          <w:rFonts w:ascii="Times New Roman" w:hAnsi="Times New Roman"/>
          <w:i w:val="1"/>
          <w:sz w:val="20"/>
        </w:rPr>
      </w:pPr>
    </w:p>
    <w:tbl>
      <w:tblPr>
        <w:tblStyle w:val="Style_2"/>
        <w:tblpPr w:bottomFromText="0" w:horzAnchor="margin" w:leftFromText="180" w:rightFromText="180" w:tblpX="251" w:tblpY="613" w:topFromText="0" w:vertAnchor="text"/>
        <w:tblW w:type="auto" w:w="0"/>
        <w:tblLayout w:type="fixed"/>
      </w:tblPr>
      <w:tblGrid>
        <w:gridCol w:w="846"/>
        <w:gridCol w:w="2727"/>
        <w:gridCol w:w="1843"/>
        <w:gridCol w:w="3935"/>
        <w:gridCol w:w="1985"/>
        <w:gridCol w:w="2302"/>
        <w:gridCol w:w="850"/>
        <w:gridCol w:w="1021"/>
        <w:gridCol w:w="1242"/>
      </w:tblGrid>
      <w:tr>
        <w:trPr>
          <w:trHeight w:hRule="atLeast" w:val="1120"/>
        </w:trPr>
        <w:tc>
          <w:tcPr>
            <w:tcW w:type="dxa" w:w="846"/>
            <w:shd w:fill="auto" w:val="clear"/>
          </w:tcPr>
          <w:p w14:paraId="3D00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№</w:t>
            </w:r>
          </w:p>
          <w:p w14:paraId="3E00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п/п</w:t>
            </w:r>
          </w:p>
        </w:tc>
        <w:tc>
          <w:tcPr>
            <w:tcW w:type="dxa" w:w="2727"/>
          </w:tcPr>
          <w:p w14:paraId="3F000000">
            <w:pPr>
              <w:widowControl w:val="1"/>
              <w:tabs>
                <w:tab w:leader="none" w:pos="916" w:val="left"/>
                <w:tab w:leader="none" w:pos="1832" w:val="left"/>
                <w:tab w:leader="none" w:pos="2748" w:val="left"/>
                <w:tab w:leader="none" w:pos="3664" w:val="left"/>
                <w:tab w:leader="none" w:pos="4580" w:val="left"/>
                <w:tab w:leader="none" w:pos="5496" w:val="left"/>
                <w:tab w:leader="none" w:pos="6412" w:val="left"/>
                <w:tab w:leader="none" w:pos="7328" w:val="left"/>
                <w:tab w:leader="none" w:pos="8244" w:val="left"/>
                <w:tab w:leader="none" w:pos="9160" w:val="left"/>
                <w:tab w:leader="none" w:pos="10076" w:val="left"/>
                <w:tab w:leader="none" w:pos="10992" w:val="left"/>
                <w:tab w:leader="none" w:pos="11908" w:val="left"/>
                <w:tab w:leader="none" w:pos="12824" w:val="left"/>
                <w:tab w:leader="none" w:pos="13740" w:val="left"/>
                <w:tab w:leader="none" w:pos="14656" w:val="left"/>
              </w:tabs>
              <w:ind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Наименование товара (работ, услуг), код ОКПД 2, код позиции каталога товаров, рабо</w:t>
            </w:r>
            <w:r>
              <w:rPr>
                <w:rFonts w:ascii="Times New Roman" w:hAnsi="Times New Roman"/>
                <w:b w:val="1"/>
                <w:sz w:val="20"/>
              </w:rPr>
              <w:t>т, услуг (при наличии)</w:t>
            </w:r>
          </w:p>
        </w:tc>
        <w:tc>
          <w:tcPr>
            <w:tcW w:type="dxa" w:w="10065"/>
            <w:gridSpan w:val="4"/>
            <w:tcBorders>
              <w:bottom w:color="000000" w:sz="4" w:val="single"/>
            </w:tcBorders>
          </w:tcPr>
          <w:p w14:paraId="40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Характеристики товара (работ, услуг)</w:t>
            </w:r>
          </w:p>
          <w:p w14:paraId="41000000">
            <w:pPr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850"/>
            <w:tcBorders>
              <w:bottom w:sz="4" w:val="nil"/>
            </w:tcBorders>
            <w:shd w:fill="auto" w:val="clear"/>
          </w:tcPr>
          <w:p w14:paraId="4200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Единица измерения</w:t>
            </w:r>
          </w:p>
          <w:p w14:paraId="43000000">
            <w:pPr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021"/>
            <w:tcBorders>
              <w:right w:color="000000" w:sz="4" w:val="single"/>
            </w:tcBorders>
            <w:shd w:fill="auto" w:val="clear"/>
          </w:tcPr>
          <w:p w14:paraId="44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Количество товара (работ, услуг)</w:t>
            </w:r>
          </w:p>
        </w:tc>
        <w:tc>
          <w:tcPr>
            <w:tcW w:type="dxa" w:w="1242"/>
            <w:tcBorders>
              <w:top w:sz="4" w:val="nil"/>
              <w:left w:color="000000" w:sz="4" w:val="single"/>
              <w:bottom w:sz="4" w:val="nil"/>
              <w:right w:sz="4" w:val="nil"/>
            </w:tcBorders>
            <w:shd w:fill="auto" w:val="clear"/>
          </w:tcPr>
          <w:p w14:paraId="45000000">
            <w:pPr>
              <w:rPr>
                <w:rFonts w:ascii="Times New Roman" w:hAnsi="Times New Roman"/>
                <w:b w:val="1"/>
                <w:sz w:val="20"/>
              </w:rPr>
            </w:pPr>
          </w:p>
        </w:tc>
      </w:tr>
      <w:tr>
        <w:trPr>
          <w:trHeight w:hRule="atLeast" w:val="226"/>
        </w:trPr>
        <w:tc>
          <w:tcPr>
            <w:tcW w:type="dxa" w:w="846"/>
            <w:shd w:fill="auto" w:val="clear"/>
          </w:tcPr>
          <w:p w14:paraId="46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2727"/>
            <w:tcBorders>
              <w:bottom w:color="000000" w:sz="4" w:val="single"/>
            </w:tcBorders>
          </w:tcPr>
          <w:p w14:paraId="47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843"/>
            <w:tcBorders>
              <w:bottom w:color="000000" w:sz="4" w:val="single"/>
            </w:tcBorders>
          </w:tcPr>
          <w:p w14:paraId="48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3935"/>
            <w:tcBorders>
              <w:bottom w:color="000000" w:sz="4" w:val="single"/>
            </w:tcBorders>
          </w:tcPr>
          <w:p w14:paraId="49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985"/>
            <w:tcBorders>
              <w:bottom w:color="000000" w:sz="4" w:val="single"/>
            </w:tcBorders>
          </w:tcPr>
          <w:p w14:paraId="4A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2302"/>
            <w:tcBorders>
              <w:bottom w:color="000000" w:sz="4" w:val="single"/>
            </w:tcBorders>
          </w:tcPr>
          <w:p w14:paraId="4B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850"/>
            <w:tcBorders>
              <w:bottom w:color="000000" w:sz="4" w:val="single"/>
            </w:tcBorders>
            <w:shd w:fill="auto" w:val="clear"/>
          </w:tcPr>
          <w:p w14:paraId="4C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1021"/>
            <w:tcBorders>
              <w:right w:color="000000" w:sz="4" w:val="single"/>
            </w:tcBorders>
            <w:shd w:fill="auto" w:val="clear"/>
          </w:tcPr>
          <w:p w14:paraId="4D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1242"/>
            <w:tcBorders>
              <w:top w:sz="4" w:val="nil"/>
              <w:left w:color="000000" w:sz="4" w:val="single"/>
              <w:bottom w:sz="4" w:val="nil"/>
              <w:right w:sz="4" w:val="nil"/>
            </w:tcBorders>
            <w:shd w:fill="auto" w:val="clear"/>
          </w:tcPr>
          <w:p w14:paraId="4E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415"/>
        </w:trPr>
        <w:tc>
          <w:tcPr>
            <w:tcW w:type="dxa" w:w="846"/>
            <w:shd w:fill="auto" w:val="clear"/>
          </w:tcPr>
          <w:p w14:paraId="4F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2727"/>
            <w:tcBorders>
              <w:right w:color="000000" w:sz="4" w:val="single"/>
            </w:tcBorders>
          </w:tcPr>
          <w:p w14:paraId="5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Монтаж и пусконаладочные работы командного пульта управления</w:t>
            </w:r>
          </w:p>
          <w:p w14:paraId="51000000">
            <w:pPr>
              <w:rPr>
                <w:rFonts w:ascii="Times New Roman" w:hAnsi="Times New Roman"/>
                <w:sz w:val="20"/>
              </w:rPr>
            </w:pPr>
          </w:p>
          <w:p w14:paraId="52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43.21.10.120</w:t>
            </w:r>
          </w:p>
          <w:p w14:paraId="53000000">
            <w:pPr>
              <w:rPr>
                <w:rFonts w:ascii="Times New Roman" w:hAnsi="Times New Roman"/>
                <w:sz w:val="20"/>
              </w:rPr>
            </w:pPr>
          </w:p>
          <w:p w14:paraId="54000000">
            <w:pPr>
              <w:rPr>
                <w:rFonts w:ascii="Times New Roman" w:hAnsi="Times New Roman"/>
                <w:sz w:val="20"/>
              </w:rPr>
            </w:pPr>
          </w:p>
          <w:p w14:paraId="55000000">
            <w:pPr>
              <w:rPr>
                <w:rFonts w:ascii="Times New Roman" w:hAnsi="Times New Roman"/>
                <w:sz w:val="20"/>
              </w:rPr>
            </w:pPr>
          </w:p>
          <w:p w14:paraId="56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065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tbl>
            <w:tblPr>
              <w:tblStyle w:val="Style_2"/>
              <w:tblpPr w:horzAnchor="text" w:tblpX="-142" w:tblpY="1" w:vertAnchor="text"/>
              <w:tblW w:type="auto" w:w="0"/>
              <w:tblBorders>
                <w:top w:sz="4" w:val="nil"/>
                <w:left w:sz="4" w:val="nil"/>
                <w:bottom w:sz="4" w:val="nil"/>
                <w:right w:sz="4" w:val="nil"/>
              </w:tblBorders>
              <w:tblLayout w:type="fixed"/>
            </w:tblPr>
            <w:tblGrid>
              <w:gridCol w:w="1843"/>
              <w:gridCol w:w="3969"/>
              <w:gridCol w:w="1985"/>
              <w:gridCol w:w="1842"/>
            </w:tblGrid>
            <w:tr>
              <w:tc>
                <w:tcPr>
                  <w:tcW w:type="dxa" w:w="1843"/>
                  <w:tcBorders>
                    <w:top w:sz="4" w:val="nil"/>
                    <w:left w:sz="4" w:val="nil"/>
                  </w:tcBorders>
                </w:tcPr>
                <w:p w14:paraId="5700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b w:val="1"/>
                      <w:sz w:val="20"/>
                    </w:rPr>
                    <w:t>Наименование показателей</w:t>
                  </w:r>
                </w:p>
              </w:tc>
              <w:tc>
                <w:tcPr>
                  <w:tcW w:type="dxa" w:w="3969"/>
                  <w:tcBorders>
                    <w:top w:sz="4" w:val="nil"/>
                  </w:tcBorders>
                </w:tcPr>
                <w:p w14:paraId="58000000">
                  <w:pPr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rFonts w:ascii="Times New Roman" w:hAnsi="Times New Roman"/>
                      <w:b w:val="1"/>
                      <w:sz w:val="20"/>
                    </w:rPr>
                    <w:t xml:space="preserve">Значение </w:t>
                  </w:r>
                </w:p>
                <w:p w14:paraId="5900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b w:val="1"/>
                      <w:sz w:val="20"/>
                    </w:rPr>
                    <w:t>показателя</w:t>
                  </w:r>
                </w:p>
              </w:tc>
              <w:tc>
                <w:tcPr>
                  <w:tcW w:type="dxa" w:w="1985"/>
                  <w:tcBorders>
                    <w:top w:sz="4" w:val="nil"/>
                  </w:tcBorders>
                </w:tcPr>
                <w:p/>
              </w:tc>
              <w:tc>
                <w:tcPr>
                  <w:tcW w:type="dxa" w:w="1842"/>
                  <w:tcBorders>
                    <w:top w:sz="4" w:val="nil"/>
                    <w:right w:sz="4" w:val="nil"/>
                  </w:tcBorders>
                </w:tcPr>
                <w:p/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  <w:bottom w:sz="4" w:val="nil"/>
                  </w:tcBorders>
                </w:tcPr>
                <w:p w14:paraId="5A00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Монтаж и пусконаладочные работы </w:t>
                  </w:r>
                </w:p>
              </w:tc>
              <w:tc>
                <w:tcPr>
                  <w:tcW w:type="dxa" w:w="3969"/>
                  <w:tcBorders>
                    <w:bottom w:sz="4" w:val="nil"/>
                  </w:tcBorders>
                </w:tcPr>
                <w:p w14:paraId="5B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5C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5D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5E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Поставщик организует выполнение пуско-наладочных работ, включающих в себя проверку, регулировку, настройку, тренировку и электрические измерения оборудования, инструктаж сотрудников Заказчика по работе с о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борудованием, предварительные испытания на предмет соответствия системы требованиям описания объекта закупки, а также их контрольную проверку (опробование), в процессе которых все параметры оборудования и системы должны быть доведены до нормативных.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5F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60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>
                    <w:bottom w:sz="4" w:val="nil"/>
                  </w:tcBorders>
                </w:tcPr>
                <w:p/>
              </w:tc>
              <w:tc>
                <w:tcPr>
                  <w:tcW w:type="dxa" w:w="1842"/>
                  <w:tcBorders>
                    <w:bottom w:sz="4" w:val="nil"/>
                    <w:right w:sz="4" w:val="nil"/>
                  </w:tcBorders>
                </w:tcPr>
                <w:p w14:paraId="61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</w:tbl>
          <w:p w14:paraId="62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0"/>
            <w:tcBorders>
              <w:left w:color="000000" w:sz="4" w:val="single"/>
            </w:tcBorders>
            <w:shd w:fill="auto" w:val="clear"/>
          </w:tcPr>
          <w:p w14:paraId="63000000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УСЛ ЕД</w:t>
            </w:r>
          </w:p>
        </w:tc>
        <w:tc>
          <w:tcPr>
            <w:tcW w:type="dxa" w:w="1021"/>
            <w:tcBorders>
              <w:right w:color="000000" w:sz="4" w:val="single"/>
            </w:tcBorders>
            <w:shd w:fill="auto" w:val="clear"/>
          </w:tcPr>
          <w:p w14:paraId="64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1.00</w:t>
            </w:r>
          </w:p>
          <w:p w14:paraId="65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42"/>
            <w:tcBorders>
              <w:top w:sz="4" w:val="nil"/>
              <w:left w:color="000000" w:sz="4" w:val="single"/>
              <w:bottom w:sz="4" w:val="nil"/>
              <w:right w:sz="4" w:val="nil"/>
            </w:tcBorders>
            <w:shd w:fill="auto" w:val="clear"/>
          </w:tcPr>
          <w:p w14:paraId="66000000">
            <w:pPr>
              <w:rPr>
                <w:rFonts w:ascii="Times New Roman" w:hAnsi="Times New Roman"/>
                <w:sz w:val="20"/>
              </w:rPr>
            </w:pPr>
          </w:p>
          <w:p w14:paraId="67000000">
            <w:pPr>
              <w:rPr>
                <w:rFonts w:ascii="Times New Roman" w:hAnsi="Times New Roman"/>
                <w:sz w:val="20"/>
              </w:rPr>
            </w:pPr>
          </w:p>
          <w:p w14:paraId="6800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415"/>
        </w:trPr>
        <w:tc>
          <w:tcPr>
            <w:tcW w:type="dxa" w:w="846"/>
            <w:shd w:fill="auto" w:val="clear"/>
          </w:tcPr>
          <w:p w14:paraId="69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2727"/>
            <w:tcBorders>
              <w:right w:color="000000" w:sz="4" w:val="single"/>
            </w:tcBorders>
          </w:tcPr>
          <w:p w14:paraId="6A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Командный пульт управления</w:t>
            </w:r>
          </w:p>
          <w:p w14:paraId="6B000000">
            <w:pPr>
              <w:rPr>
                <w:rFonts w:ascii="Times New Roman" w:hAnsi="Times New Roman"/>
                <w:sz w:val="20"/>
              </w:rPr>
            </w:pPr>
          </w:p>
          <w:p w14:paraId="6C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26.30.11.139</w:t>
            </w:r>
          </w:p>
          <w:p w14:paraId="6D000000">
            <w:pPr>
              <w:rPr>
                <w:rFonts w:ascii="Times New Roman" w:hAnsi="Times New Roman"/>
                <w:sz w:val="20"/>
              </w:rPr>
            </w:pPr>
          </w:p>
          <w:p w14:paraId="6E000000">
            <w:pPr>
              <w:rPr>
                <w:rFonts w:ascii="Times New Roman" w:hAnsi="Times New Roman"/>
                <w:sz w:val="20"/>
              </w:rPr>
            </w:pPr>
          </w:p>
          <w:p w14:paraId="6F000000">
            <w:pPr>
              <w:rPr>
                <w:rFonts w:ascii="Times New Roman" w:hAnsi="Times New Roman"/>
                <w:sz w:val="20"/>
              </w:rPr>
            </w:pPr>
          </w:p>
          <w:p w14:paraId="70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065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tbl>
            <w:tblPr>
              <w:tblStyle w:val="Style_2"/>
              <w:tblpPr w:horzAnchor="text" w:tblpX="-142" w:tblpY="1" w:vertAnchor="text"/>
              <w:tblW w:type="auto" w:w="0"/>
              <w:tblBorders>
                <w:top w:sz="4" w:val="nil"/>
                <w:left w:sz="4" w:val="nil"/>
                <w:bottom w:sz="4" w:val="nil"/>
                <w:right w:sz="4" w:val="nil"/>
              </w:tblBorders>
              <w:tblLayout w:type="fixed"/>
            </w:tblPr>
            <w:tblGrid>
              <w:gridCol w:w="1843"/>
              <w:gridCol w:w="3969"/>
              <w:gridCol w:w="1985"/>
              <w:gridCol w:w="1984"/>
            </w:tblGrid>
            <w:tr>
              <w:tc>
                <w:tcPr>
                  <w:tcW w:type="dxa" w:w="1843"/>
                  <w:tcBorders>
                    <w:top w:sz="4" w:val="nil"/>
                    <w:left w:sz="4" w:val="nil"/>
                  </w:tcBorders>
                </w:tcPr>
                <w:p w14:paraId="7100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b w:val="1"/>
                      <w:sz w:val="20"/>
                    </w:rPr>
                    <w:t>Наименование показателей</w:t>
                  </w:r>
                </w:p>
              </w:tc>
              <w:tc>
                <w:tcPr>
                  <w:tcW w:type="dxa" w:w="3969"/>
                  <w:tcBorders>
                    <w:top w:sz="4" w:val="nil"/>
                  </w:tcBorders>
                </w:tcPr>
                <w:p w14:paraId="72000000">
                  <w:pPr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rFonts w:ascii="Times New Roman" w:hAnsi="Times New Roman"/>
                      <w:b w:val="1"/>
                      <w:sz w:val="20"/>
                    </w:rPr>
                    <w:t xml:space="preserve">Значение </w:t>
                  </w:r>
                </w:p>
                <w:p w14:paraId="7300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b w:val="1"/>
                      <w:sz w:val="20"/>
                    </w:rPr>
                    <w:t>показателя</w:t>
                  </w:r>
                </w:p>
              </w:tc>
              <w:tc>
                <w:tcPr>
                  <w:tcW w:type="dxa" w:w="1985"/>
                  <w:tcBorders>
                    <w:top w:sz="4" w:val="nil"/>
                  </w:tcBorders>
                </w:tcPr>
                <w:p w14:paraId="74000000">
                  <w:pPr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rFonts w:ascii="Times New Roman" w:hAnsi="Times New Roman"/>
                      <w:b w:val="1"/>
                      <w:sz w:val="20"/>
                    </w:rPr>
                    <w:t>Инструкция по заполнению характеристик в заявке</w:t>
                  </w:r>
                </w:p>
              </w:tc>
              <w:tc>
                <w:tcPr>
                  <w:tcW w:type="dxa" w:w="1984"/>
                  <w:tcBorders>
                    <w:top w:sz="4" w:val="nil"/>
                    <w:right w:sz="4" w:val="nil"/>
                  </w:tcBorders>
                </w:tcPr>
                <w:p w14:paraId="75000000">
                  <w:pPr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rFonts w:ascii="Times New Roman" w:hAnsi="Times New Roman"/>
                      <w:b w:val="1"/>
                      <w:sz w:val="20"/>
                    </w:rPr>
                    <w:t>Обоснование дополнительных характеристик</w:t>
                  </w: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7600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Назначение </w:t>
                  </w:r>
                </w:p>
              </w:tc>
              <w:tc>
                <w:tcPr>
                  <w:tcW w:type="dxa" w:w="3969"/>
                  <w:tcBorders/>
                </w:tcPr>
                <w:p w14:paraId="77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78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79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7A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Командный пульт управления предназначен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для работы в качестве устройства управления в составе КТСО пожарных и подчиненных частей МЧС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РФ, а также систем оповещения регионального, местного и объектового уровней.</w:t>
                        </w:r>
                      </w:p>
                      <w:p w14:paraId="7B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КПУ устанавливают на пункте управления КТСО. Изделие обеспечивает взаимодействие:</w:t>
                        </w:r>
                      </w:p>
                      <w:p w14:paraId="7C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- с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устройствами управления и оконечными устройствами КТСО П-166.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7D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7E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 w14:paraId="7F00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type="dxa" w:w="1984"/>
                  <w:tcBorders>
                    <w:right w:sz="4" w:val="nil"/>
                  </w:tcBorders>
                </w:tcPr>
                <w:p w14:paraId="80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8100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Обеспечение работы по цифровым каналам связи </w:t>
                  </w:r>
                </w:p>
              </w:tc>
              <w:tc>
                <w:tcPr>
                  <w:tcW w:type="dxa" w:w="3969"/>
                  <w:tcBorders/>
                </w:tcPr>
                <w:p w14:paraId="82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83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84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85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Изделие обеспечивает работу по цифровым каналам связи с коммутацией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пакетов:</w:t>
                        </w:r>
                      </w:p>
                      <w:p w14:paraId="86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•10 Ваsе-Т (IЕЕЕ802/3i);</w:t>
                        </w:r>
                      </w:p>
                      <w:p w14:paraId="87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•100 Ваsе-ТХ (IЕЕЕ802/3u)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88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89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 w14:paraId="8A00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type="dxa" w:w="1984"/>
                  <w:tcBorders>
                    <w:right w:sz="4" w:val="nil"/>
                  </w:tcBorders>
                </w:tcPr>
                <w:p w14:paraId="8B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8C00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Пропускная способность в направлении каждого абонента оповещения , кбит/с</w:t>
                  </w:r>
                </w:p>
              </w:tc>
              <w:tc>
                <w:tcPr>
                  <w:tcW w:type="dxa" w:w="3969"/>
                  <w:tcBorders/>
                </w:tcPr>
                <w:p w14:paraId="8D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8E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8F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90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≥ 32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91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92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/>
              </w:tc>
              <w:tc>
                <w:tcPr>
                  <w:tcW w:type="dxa" w:w="1984"/>
                  <w:tcBorders>
                    <w:right w:sz="4" w:val="nil"/>
                  </w:tcBorders>
                </w:tcPr>
                <w:p w14:paraId="93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9400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</w:rPr>
                    <w:t>Задержка между доставкой пакетов речевых сообщений , млс</w:t>
                  </w:r>
                </w:p>
              </w:tc>
              <w:tc>
                <w:tcPr>
                  <w:tcW w:type="dxa" w:w="3969"/>
                  <w:tcBorders/>
                </w:tcPr>
                <w:p w14:paraId="95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96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97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98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≤ 150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99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9A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/>
              </w:tc>
              <w:tc>
                <w:tcPr>
                  <w:tcW w:type="dxa" w:w="1984"/>
                  <w:tcBorders>
                    <w:right w:sz="4" w:val="nil"/>
                  </w:tcBorders>
                </w:tcPr>
                <w:p w14:paraId="9B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9C00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Потери пакетов речевых сообщений , ПРОЦ</w:t>
                  </w:r>
                </w:p>
              </w:tc>
              <w:tc>
                <w:tcPr>
                  <w:tcW w:type="dxa" w:w="3969"/>
                  <w:tcBorders/>
                </w:tcPr>
                <w:p w14:paraId="9D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9E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9F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A0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≤ 5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A1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A2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/>
              </w:tc>
              <w:tc>
                <w:tcPr>
                  <w:tcW w:type="dxa" w:w="1984"/>
                  <w:tcBorders>
                    <w:right w:sz="4" w:val="nil"/>
                  </w:tcBorders>
                </w:tcPr>
                <w:p w14:paraId="A3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A400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Промежуточные сетевые устройства не должны менять адрес отправителя </w:t>
                  </w:r>
                </w:p>
              </w:tc>
              <w:tc>
                <w:tcPr>
                  <w:tcW w:type="dxa" w:w="3969"/>
                  <w:tcBorders/>
                </w:tcPr>
                <w:p w14:paraId="A5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A6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A7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A8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Наличие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A9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AA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/>
              </w:tc>
              <w:tc>
                <w:tcPr>
                  <w:tcW w:type="dxa" w:w="1984"/>
                  <w:tcBorders>
                    <w:right w:sz="4" w:val="nil"/>
                  </w:tcBorders>
                </w:tcPr>
                <w:p w14:paraId="AB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AC00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Условия эксплуатации, при которых обеспечивается 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работоспособность КПУ </w:t>
                  </w:r>
                </w:p>
              </w:tc>
              <w:tc>
                <w:tcPr>
                  <w:tcW w:type="dxa" w:w="3969"/>
                  <w:tcBorders/>
                </w:tcPr>
                <w:p w14:paraId="AD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AE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AF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B0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• температура окружающей среды - от +5 до +50 °С;</w:t>
                        </w:r>
                      </w:p>
                      <w:p w14:paraId="B1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• относительная влажность при температуре не более (25 °С) - ≤ 80 %;</w:t>
                        </w:r>
                      </w:p>
                      <w:p w14:paraId="B2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• атмосферное давление - от 86 до 106 кПа.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B3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B4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/>
              </w:tc>
              <w:tc>
                <w:tcPr>
                  <w:tcW w:type="dxa" w:w="1984"/>
                  <w:tcBorders>
                    <w:right w:sz="4" w:val="nil"/>
                  </w:tcBorders>
                </w:tcPr>
                <w:p w14:paraId="B5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B600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Электропитание КПУ </w:t>
                  </w:r>
                </w:p>
              </w:tc>
              <w:tc>
                <w:tcPr>
                  <w:tcW w:type="dxa" w:w="3969"/>
                  <w:tcBorders/>
                </w:tcPr>
                <w:p w14:paraId="B7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B8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B9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BA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Электропитание КПУ осуществляется от сети переменного тока напряжением 230 (+22; -22) В, частотой (50 + 1) Гц.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BB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BC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/>
              </w:tc>
              <w:tc>
                <w:tcPr>
                  <w:tcW w:type="dxa" w:w="1984"/>
                  <w:tcBorders>
                    <w:right w:sz="4" w:val="nil"/>
                  </w:tcBorders>
                </w:tcPr>
                <w:p w14:paraId="BD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BE00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Общее количество подчиненных узлов и абонентов оповещения КПУ , шт</w:t>
                  </w:r>
                </w:p>
              </w:tc>
              <w:tc>
                <w:tcPr>
                  <w:tcW w:type="dxa" w:w="3969"/>
                  <w:tcBorders/>
                </w:tcPr>
                <w:p w14:paraId="BF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C0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C1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C2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≤ 256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C3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C4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/>
              </w:tc>
              <w:tc>
                <w:tcPr>
                  <w:tcW w:type="dxa" w:w="1984"/>
                  <w:tcBorders>
                    <w:right w:sz="4" w:val="nil"/>
                  </w:tcBorders>
                </w:tcPr>
                <w:p w14:paraId="C5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C600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Режим функционирования </w:t>
                  </w:r>
                </w:p>
              </w:tc>
              <w:tc>
                <w:tcPr>
                  <w:tcW w:type="dxa" w:w="3969"/>
                  <w:tcBorders/>
                </w:tcPr>
                <w:p w14:paraId="C7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C8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C9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CA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КПУ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обеспечивает круглосуточный режим функционирования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CB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CC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 w14:paraId="CD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4"/>
                  <w:tcBorders>
                    <w:right w:sz="4" w:val="nil"/>
                  </w:tcBorders>
                </w:tcPr>
                <w:p w14:paraId="CE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CF00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Взаимодействие КПУ с оборудованием </w:t>
                  </w:r>
                </w:p>
              </w:tc>
              <w:tc>
                <w:tcPr>
                  <w:tcW w:type="dxa" w:w="3969"/>
                  <w:tcBorders/>
                </w:tcPr>
                <w:p w14:paraId="D0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D1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D2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D3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КПУ обеспечивает взаимодействие:</w:t>
                        </w:r>
                      </w:p>
                      <w:p w14:paraId="D4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• с устройствами управления (БУ или КПУ) узлов управления нижестоящего и вышестоящего уровней;</w:t>
                        </w:r>
                      </w:p>
                      <w:p w14:paraId="D5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• с дублерами (КПУ узла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управления своего уровня);</w:t>
                        </w:r>
                      </w:p>
                      <w:p w14:paraId="D6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• с БПРУ, БПРУ-01 с подключенными к ним оконечными устройствами оповещения;</w:t>
                        </w:r>
                      </w:p>
                      <w:p w14:paraId="D7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• с БПРУ-02 с подключенными к ним оконечными устройствами оповещения и датчиками ЧС;</w:t>
                        </w:r>
                      </w:p>
                      <w:p w14:paraId="D8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• с выносными акустическими устройствами ВАУ.</w:t>
                        </w:r>
                      </w:p>
                      <w:p w14:paraId="D9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КПУ через блок оповеще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ния универсальный (БОУ) обеспечивает возможность взаимодействия с приемо-передающим оборудованием П-160 и П-164 узлов управления вышестоящего уровня.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DA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DB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 w14:paraId="DC00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type="dxa" w:w="1984"/>
                  <w:tcBorders>
                    <w:right w:sz="4" w:val="nil"/>
                  </w:tcBorders>
                </w:tcPr>
                <w:p w14:paraId="DD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DE00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Средняя наработка на отказ изделия , </w:t>
                  </w:r>
                  <w:r>
                    <w:rPr>
                      <w:rFonts w:ascii="Times New Roman" w:hAnsi="Times New Roman"/>
                      <w:sz w:val="20"/>
                    </w:rPr>
                    <w:t>ч</w:t>
                  </w:r>
                </w:p>
              </w:tc>
              <w:tc>
                <w:tcPr>
                  <w:tcW w:type="dxa" w:w="3969"/>
                  <w:tcBorders/>
                </w:tcPr>
                <w:p w14:paraId="DF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E0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E1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E2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≥ 30000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E3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E4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 w14:paraId="E500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  <w:tc>
                <w:tcPr>
                  <w:tcW w:type="dxa" w:w="1984"/>
                  <w:tcBorders>
                    <w:right w:sz="4" w:val="nil"/>
                  </w:tcBorders>
                </w:tcPr>
                <w:p w14:paraId="E6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E700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Среднее время восстановления работоспособного состояния изделия , мин</w:t>
                  </w:r>
                </w:p>
              </w:tc>
              <w:tc>
                <w:tcPr>
                  <w:tcW w:type="dxa" w:w="3969"/>
                  <w:tcBorders/>
                </w:tcPr>
                <w:p w14:paraId="E8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E9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EA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EB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≤ 30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EC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ED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 w14:paraId="EE00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  <w:tc>
                <w:tcPr>
                  <w:tcW w:type="dxa" w:w="1984"/>
                  <w:tcBorders>
                    <w:right w:sz="4" w:val="nil"/>
                  </w:tcBorders>
                </w:tcPr>
                <w:p w14:paraId="EF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F000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Состав 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изделия </w:t>
                  </w:r>
                </w:p>
              </w:tc>
              <w:tc>
                <w:tcPr>
                  <w:tcW w:type="dxa" w:w="3969"/>
                  <w:tcBorders/>
                </w:tcPr>
                <w:p w14:paraId="F100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F2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F3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F4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Основными составными частями КПУ являются:</w:t>
                        </w:r>
                      </w:p>
                      <w:p w14:paraId="F5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• IВМ РС совместимая ПЭВМ с архитектурой процессора х86-64;</w:t>
                        </w:r>
                      </w:p>
                      <w:p w14:paraId="F6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• жидкокристаллический монитор с диагональю экрана не менее 21'';</w:t>
                        </w:r>
                      </w:p>
                      <w:p w14:paraId="F7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• лазерный принтер формата А4 с USВ интерфейсом;</w:t>
                        </w:r>
                      </w:p>
                      <w:p w14:paraId="F8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• клавиатура компьютерная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со стандартной русской раскладкой с USВ интерфейсом;</w:t>
                        </w:r>
                      </w:p>
                      <w:p w14:paraId="F9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• оптический манипулятор типа «мышь» с двумя кнопками, с колесом прокрутки и с USВ интерфейсом;</w:t>
                        </w:r>
                      </w:p>
                      <w:p w14:paraId="FA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• выносной микрофон электретного типа;</w:t>
                        </w:r>
                      </w:p>
                      <w:p w14:paraId="FB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• выносная акустическая система мощностью не менее 1 Вт;</w:t>
                        </w:r>
                      </w:p>
                      <w:p w14:paraId="FC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• USВ флеш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- накопитель для восстановления и резервного копирования;</w:t>
                        </w:r>
                      </w:p>
                      <w:p w14:paraId="FD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• источник бесперебойного питания мощностью не менее 350 Вт</w:t>
                        </w:r>
                      </w:p>
                      <w:p w14:paraId="FE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• Предустановленное программное обеспечение должно быть Российского происхождения (быть включено в единый реестр Российских программ для Э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ВМ и баз данных) класс: «Операционные системы, Серверное и связующее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программное обеспечение, Информационные системы для решения специфических отраслевых задач»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FF00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00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 w14:paraId="01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type="dxa" w:w="1984"/>
                  <w:tcBorders>
                    <w:right w:sz="4" w:val="nil"/>
                  </w:tcBorders>
                </w:tcPr>
                <w:p w14:paraId="02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03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Программное обеспечение </w:t>
                  </w:r>
                </w:p>
              </w:tc>
              <w:tc>
                <w:tcPr>
                  <w:tcW w:type="dxa" w:w="3969"/>
                  <w:tcBorders/>
                </w:tcPr>
                <w:p w14:paraId="04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05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06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07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Программное обеспечение (ПО), позволяющее осуществлять гибкое управление системой, обеспечивая возможность подключения Клиентской части ПО КПУ к любой серверной части ПО КПУ в пределах сети оповещения, зная учетную запись и пароль доступа.</w:t>
                        </w:r>
                      </w:p>
                      <w:p w14:paraId="08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- Серверная ча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сть ПО КПУ обеспечивает оповещение и управление данными, работает фоновым процессом. </w:t>
                        </w:r>
                      </w:p>
                      <w:p w14:paraId="09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- Клиентская часть ПО КПУ (далее - Клиент) предоставляет оператору графический интерфейс, обеспечивающий доступ к серверной части для управления системой.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0A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0B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 w14:paraId="0C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Значение ха</w:t>
                  </w:r>
                  <w:r>
                    <w:rPr>
                      <w:rFonts w:ascii="Times New Roman" w:hAnsi="Times New Roman"/>
                      <w:sz w:val="20"/>
                    </w:rPr>
                    <w:t>рактеристики не может изменяться участником закупки</w:t>
                  </w:r>
                </w:p>
              </w:tc>
              <w:tc>
                <w:tcPr>
                  <w:tcW w:type="dxa" w:w="1984"/>
                  <w:tcBorders>
                    <w:right w:sz="4" w:val="nil"/>
                  </w:tcBorders>
                </w:tcPr>
                <w:p w14:paraId="0D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0E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Серверная часть ПО КПУ </w:t>
                  </w:r>
                </w:p>
              </w:tc>
              <w:tc>
                <w:tcPr>
                  <w:tcW w:type="dxa" w:w="3969"/>
                  <w:tcBorders/>
                </w:tcPr>
                <w:p w14:paraId="0F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10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11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12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Серверная часть ПО КПУ обеспечивает:</w:t>
                        </w:r>
                      </w:p>
                      <w:p w14:paraId="13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- непрерывную работу;</w:t>
                        </w:r>
                      </w:p>
                      <w:p w14:paraId="14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- полное управление базами данных узлов и абонентов, сигналов и информации оповещения, в том числе их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предварительную запись, хранение, коррекцию, резервирование и восстановление;</w:t>
                        </w:r>
                      </w:p>
                      <w:p w14:paraId="15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- опрос состояния датчиков ЧС, узлов и абонентов оповещения;</w:t>
                        </w:r>
                      </w:p>
                      <w:p w14:paraId="16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- запуск оконечных устройств и узлов оповещения;</w:t>
                        </w:r>
                      </w:p>
                      <w:p w14:paraId="17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- запуск заранее подготовленных сценариев оповещения;</w:t>
                        </w:r>
                      </w:p>
                      <w:p w14:paraId="18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- запись обмен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а речевыми сообщениями;</w:t>
                        </w:r>
                      </w:p>
                      <w:p w14:paraId="19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- журналирование и формирование отчетов событий, действий оператора,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сеансов оповещения и опроса состояния абонентов и узлов оповещения.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1A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1B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 w14:paraId="1C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type="dxa" w:w="1984"/>
                  <w:tcBorders>
                    <w:right w:sz="4" w:val="nil"/>
                  </w:tcBorders>
                </w:tcPr>
                <w:p w14:paraId="1D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  <w:bottom w:sz="4" w:val="nil"/>
                  </w:tcBorders>
                </w:tcPr>
                <w:p w14:paraId="1E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Клиентская часть ПО КПУ </w:t>
                  </w:r>
                </w:p>
              </w:tc>
              <w:tc>
                <w:tcPr>
                  <w:tcW w:type="dxa" w:w="3969"/>
                  <w:tcBorders>
                    <w:bottom w:sz="4" w:val="nil"/>
                  </w:tcBorders>
                </w:tcPr>
                <w:p w14:paraId="1F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20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21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22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Клиентская часть ПО ПУ предназначена для управления его серверной частью и с помощью команд оперативного дежурного обеспечивает:</w:t>
                        </w:r>
                      </w:p>
                      <w:p w14:paraId="23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- подключение к серверной части ПО ПУ узлов управления своего или нижестоящего уровней;</w:t>
                        </w:r>
                      </w:p>
                      <w:p w14:paraId="24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- отображение базы данных узлов и або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нентов, сигналов и информации оповещения ПУ;</w:t>
                        </w:r>
                      </w:p>
                      <w:p w14:paraId="25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- управление работой ПУ;</w:t>
                        </w:r>
                      </w:p>
                      <w:p w14:paraId="26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- управление опросом состояния и запуском узлов и оконечных устройств абонентов оповещения;</w:t>
                        </w:r>
                      </w:p>
                      <w:p w14:paraId="27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- отображение отчетов событий, действий оператора, сеансов оповещения и опроса состояния узлов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и абонентов оповещения</w:t>
                        </w:r>
                      </w:p>
                      <w:p w14:paraId="28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- оповещение абонентов через VoIP АТС по протоколу SIP без дополнительного оборудования;</w:t>
                        </w:r>
                      </w:p>
                      <w:p w14:paraId="29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- отображение электронной карты с визуальным указанием на ней оконечного оборудования (с возможностью их расстановки по вводимым географическим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координатам), их состояния (разным цветом) и готовности к оповещению.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2A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2B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>
                    <w:bottom w:sz="4" w:val="nil"/>
                  </w:tcBorders>
                </w:tcPr>
                <w:p w14:paraId="2C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type="dxa" w:w="1984"/>
                  <w:tcBorders>
                    <w:bottom w:sz="4" w:val="nil"/>
                    <w:right w:sz="4" w:val="nil"/>
                  </w:tcBorders>
                </w:tcPr>
                <w:p w14:paraId="2D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</w:tbl>
          <w:p w14:paraId="2E01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0"/>
            <w:tcBorders>
              <w:left w:color="000000" w:sz="4" w:val="single"/>
            </w:tcBorders>
            <w:shd w:fill="auto" w:val="clear"/>
          </w:tcPr>
          <w:p w14:paraId="2F010000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type="dxa" w:w="1021"/>
            <w:tcBorders>
              <w:right w:color="000000" w:sz="4" w:val="single"/>
            </w:tcBorders>
            <w:shd w:fill="auto" w:val="clear"/>
          </w:tcPr>
          <w:p w14:paraId="30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1.00</w:t>
            </w:r>
          </w:p>
          <w:p w14:paraId="3101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42"/>
            <w:tcBorders>
              <w:top w:sz="4" w:val="nil"/>
              <w:left w:color="000000" w:sz="4" w:val="single"/>
              <w:bottom w:sz="4" w:val="nil"/>
              <w:right w:sz="4" w:val="nil"/>
            </w:tcBorders>
            <w:shd w:fill="auto" w:val="clear"/>
          </w:tcPr>
          <w:p w14:paraId="32010000">
            <w:pPr>
              <w:rPr>
                <w:rFonts w:ascii="Times New Roman" w:hAnsi="Times New Roman"/>
                <w:sz w:val="20"/>
              </w:rPr>
            </w:pPr>
          </w:p>
          <w:p w14:paraId="33010000">
            <w:pPr>
              <w:rPr>
                <w:rFonts w:ascii="Times New Roman" w:hAnsi="Times New Roman"/>
                <w:sz w:val="20"/>
              </w:rPr>
            </w:pPr>
          </w:p>
          <w:p w14:paraId="3401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415"/>
        </w:trPr>
        <w:tc>
          <w:tcPr>
            <w:tcW w:type="dxa" w:w="846"/>
            <w:shd w:fill="auto" w:val="clear"/>
          </w:tcPr>
          <w:p w14:paraId="35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2727"/>
            <w:tcBorders>
              <w:right w:color="000000" w:sz="4" w:val="single"/>
            </w:tcBorders>
          </w:tcPr>
          <w:p w14:paraId="36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Устройство усилительное электронной сирены</w:t>
            </w:r>
          </w:p>
          <w:p w14:paraId="37010000">
            <w:pPr>
              <w:rPr>
                <w:rFonts w:ascii="Times New Roman" w:hAnsi="Times New Roman"/>
                <w:sz w:val="20"/>
              </w:rPr>
            </w:pPr>
          </w:p>
          <w:p w14:paraId="3801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26.30.50.114</w:t>
            </w:r>
          </w:p>
          <w:p w14:paraId="39010000">
            <w:pPr>
              <w:rPr>
                <w:rFonts w:ascii="Times New Roman" w:hAnsi="Times New Roman"/>
                <w:sz w:val="20"/>
              </w:rPr>
            </w:pPr>
          </w:p>
          <w:p w14:paraId="3A010000">
            <w:pPr>
              <w:rPr>
                <w:rFonts w:ascii="Times New Roman" w:hAnsi="Times New Roman"/>
                <w:sz w:val="20"/>
              </w:rPr>
            </w:pPr>
          </w:p>
          <w:p w14:paraId="3B010000">
            <w:pPr>
              <w:rPr>
                <w:rFonts w:ascii="Times New Roman" w:hAnsi="Times New Roman"/>
                <w:sz w:val="20"/>
              </w:rPr>
            </w:pPr>
          </w:p>
          <w:p w14:paraId="3C01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065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tbl>
            <w:tblPr>
              <w:tblStyle w:val="Style_2"/>
              <w:tblpPr w:horzAnchor="text" w:tblpX="-142" w:tblpY="1" w:vertAnchor="text"/>
              <w:tblW w:type="auto" w:w="0"/>
              <w:tblBorders>
                <w:top w:sz="4" w:val="nil"/>
                <w:left w:sz="4" w:val="nil"/>
                <w:bottom w:sz="4" w:val="nil"/>
                <w:right w:sz="4" w:val="nil"/>
              </w:tblBorders>
              <w:tblLayout w:type="fixed"/>
            </w:tblPr>
            <w:tblGrid>
              <w:gridCol w:w="1843"/>
              <w:gridCol w:w="3969"/>
              <w:gridCol w:w="1985"/>
              <w:gridCol w:w="1842"/>
            </w:tblGrid>
            <w:tr>
              <w:tc>
                <w:tcPr>
                  <w:tcW w:type="dxa" w:w="1843"/>
                  <w:tcBorders>
                    <w:top w:sz="4" w:val="nil"/>
                    <w:left w:sz="4" w:val="nil"/>
                  </w:tcBorders>
                </w:tcPr>
                <w:p w14:paraId="3D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b w:val="1"/>
                      <w:sz w:val="20"/>
                    </w:rPr>
                    <w:t>Наименование показателей</w:t>
                  </w:r>
                </w:p>
              </w:tc>
              <w:tc>
                <w:tcPr>
                  <w:tcW w:type="dxa" w:w="3969"/>
                  <w:tcBorders>
                    <w:top w:sz="4" w:val="nil"/>
                  </w:tcBorders>
                </w:tcPr>
                <w:p w14:paraId="3E010000">
                  <w:pPr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rFonts w:ascii="Times New Roman" w:hAnsi="Times New Roman"/>
                      <w:b w:val="1"/>
                      <w:sz w:val="20"/>
                    </w:rPr>
                    <w:t xml:space="preserve">Значение </w:t>
                  </w:r>
                </w:p>
                <w:p w14:paraId="3F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b w:val="1"/>
                      <w:sz w:val="20"/>
                    </w:rPr>
                    <w:t>показателя</w:t>
                  </w:r>
                </w:p>
              </w:tc>
              <w:tc>
                <w:tcPr>
                  <w:tcW w:type="dxa" w:w="1985"/>
                  <w:tcBorders>
                    <w:top w:sz="4" w:val="nil"/>
                  </w:tcBorders>
                </w:tcPr>
                <w:p w14:paraId="40010000">
                  <w:pPr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rFonts w:ascii="Times New Roman" w:hAnsi="Times New Roman"/>
                      <w:b w:val="1"/>
                      <w:sz w:val="20"/>
                    </w:rPr>
                    <w:t>Инструкция по заполнению характеристик в заявке</w:t>
                  </w:r>
                </w:p>
              </w:tc>
              <w:tc>
                <w:tcPr>
                  <w:tcW w:type="dxa" w:w="1842"/>
                  <w:tcBorders>
                    <w:top w:sz="4" w:val="nil"/>
                    <w:right w:sz="4" w:val="nil"/>
                  </w:tcBorders>
                </w:tcPr>
                <w:p w14:paraId="41010000">
                  <w:pPr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rFonts w:ascii="Times New Roman" w:hAnsi="Times New Roman"/>
                      <w:b w:val="1"/>
                      <w:sz w:val="20"/>
                    </w:rPr>
                    <w:t>Обоснование дополнительных характеристик</w:t>
                  </w: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42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Автономный источник бесперебойного питания с 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напряжением питания 12 В </w:t>
                  </w:r>
                </w:p>
              </w:tc>
              <w:tc>
                <w:tcPr>
                  <w:tcW w:type="dxa" w:w="3969"/>
                  <w:tcBorders/>
                </w:tcPr>
                <w:p w14:paraId="43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44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45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46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Аккумуляторная батарея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47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48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 w14:paraId="49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Значение характеристики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 не может изменяться участником закупки</w:t>
                  </w:r>
                </w:p>
              </w:tc>
              <w:tc>
                <w:tcPr>
                  <w:tcW w:type="dxa" w:w="1842"/>
                  <w:tcBorders>
                    <w:right w:sz="4" w:val="nil"/>
                  </w:tcBorders>
                </w:tcPr>
                <w:p w14:paraId="4A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4B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Вид климатического исполнения </w:t>
                  </w:r>
                </w:p>
              </w:tc>
              <w:tc>
                <w:tcPr>
                  <w:tcW w:type="dxa" w:w="3969"/>
                  <w:tcBorders/>
                </w:tcPr>
                <w:p w14:paraId="4C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4D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4E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4F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УХЛ 1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50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51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 w14:paraId="52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type="dxa" w:w="1842"/>
                  <w:tcBorders>
                    <w:right w:sz="4" w:val="nil"/>
                  </w:tcBorders>
                </w:tcPr>
                <w:p w14:paraId="53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54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Время работы от резервного источника питания в режиме «передача информации» , ч</w:t>
                  </w:r>
                </w:p>
              </w:tc>
              <w:tc>
                <w:tcPr>
                  <w:tcW w:type="dxa" w:w="3969"/>
                  <w:tcBorders/>
                </w:tcPr>
                <w:p w14:paraId="55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56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57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58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≥ 1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59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5A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 w14:paraId="5B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Участник </w:t>
                  </w:r>
                  <w:r>
                    <w:rPr>
                      <w:rFonts w:ascii="Times New Roman" w:hAnsi="Times New Roman"/>
                      <w:sz w:val="20"/>
                    </w:rPr>
                    <w:t>закупки указывает в заявке конкретное значение характеристики</w:t>
                  </w:r>
                </w:p>
              </w:tc>
              <w:tc>
                <w:tcPr>
                  <w:tcW w:type="dxa" w:w="1842"/>
                  <w:tcBorders>
                    <w:right w:sz="4" w:val="nil"/>
                  </w:tcBorders>
                </w:tcPr>
                <w:p w14:paraId="5C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5D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Время работы от резервного источника питания в дежурном режиме , ч</w:t>
                  </w:r>
                </w:p>
              </w:tc>
              <w:tc>
                <w:tcPr>
                  <w:tcW w:type="dxa" w:w="3969"/>
                  <w:tcBorders/>
                </w:tcPr>
                <w:p w14:paraId="5E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5F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60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61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≥ 24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62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63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/>
              </w:tc>
              <w:tc>
                <w:tcPr>
                  <w:tcW w:type="dxa" w:w="1842"/>
                  <w:tcBorders>
                    <w:right w:sz="4" w:val="nil"/>
                  </w:tcBorders>
                </w:tcPr>
                <w:p w14:paraId="64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65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Функции УУЭС </w:t>
                  </w:r>
                </w:p>
              </w:tc>
              <w:tc>
                <w:tcPr>
                  <w:tcW w:type="dxa" w:w="3969"/>
                  <w:tcBorders/>
                </w:tcPr>
                <w:p w14:paraId="66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67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68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69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- передача речевых сообщений и подача сигнала электронной сирены при работе в комплексе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технических средств оповещения различного уровня;</w:t>
                        </w:r>
                      </w:p>
                      <w:p w14:paraId="6A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- управление звуковой информацией по сети Ethernet и по команде ЦСО- 2, 3, 6;</w:t>
                        </w:r>
                      </w:p>
                      <w:p w14:paraId="6B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- управление звуковой информацией по сети Ethernet и по команде ЦСО-5;</w:t>
                        </w:r>
                      </w:p>
                      <w:p w14:paraId="6C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- формирование сигнала «Внимание всем» и «Тревога»;</w:t>
                        </w:r>
                      </w:p>
                      <w:p w14:paraId="6D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- кон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троль работоспособности устройства электронной сирены;</w:t>
                        </w:r>
                      </w:p>
                      <w:p w14:paraId="6E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- формирование и передачу сигнала о несанкционированном вскрытии и запуске электронной сирены;</w:t>
                        </w:r>
                      </w:p>
                      <w:p w14:paraId="6F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- круглосуточная работа и постоянная готовность к передаче и приему сигналов и информации оповещения;</w:t>
                        </w:r>
                      </w:p>
                      <w:p w14:paraId="70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- пр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оверка выходных линий на наличие короткого замыкания, обрыва и перегрузки;</w:t>
                        </w:r>
                      </w:p>
                      <w:p w14:paraId="71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- отключение неисправной линии до устранения неисправности.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72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73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/>
              </w:tc>
              <w:tc>
                <w:tcPr>
                  <w:tcW w:type="dxa" w:w="1842"/>
                  <w:tcBorders>
                    <w:right w:sz="4" w:val="nil"/>
                  </w:tcBorders>
                </w:tcPr>
                <w:p w14:paraId="74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75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Индикация </w:t>
                  </w:r>
                </w:p>
              </w:tc>
              <w:tc>
                <w:tcPr>
                  <w:tcW w:type="dxa" w:w="3969"/>
                  <w:tcBorders/>
                </w:tcPr>
                <w:p w14:paraId="76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77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78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79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- индикация неисправности выходных линий;</w:t>
                        </w:r>
                      </w:p>
                      <w:p w14:paraId="7A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- индикация срабатывания защиты при неисправности или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перегрузке усилителя мощности;</w:t>
                        </w:r>
                      </w:p>
                      <w:p w14:paraId="7B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- индикация управления от централизованной системы оповещения;</w:t>
                        </w:r>
                      </w:p>
                      <w:p w14:paraId="7C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- индикация неисправности платы микроконтроллера.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7D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7E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/>
              </w:tc>
              <w:tc>
                <w:tcPr>
                  <w:tcW w:type="dxa" w:w="1842"/>
                  <w:tcBorders>
                    <w:right w:sz="4" w:val="nil"/>
                  </w:tcBorders>
                </w:tcPr>
                <w:p w14:paraId="7F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80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Состав комплекта </w:t>
                  </w:r>
                </w:p>
              </w:tc>
              <w:tc>
                <w:tcPr>
                  <w:tcW w:type="dxa" w:w="3969"/>
                  <w:tcBorders/>
                </w:tcPr>
                <w:p w14:paraId="81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82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83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84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- устройство усилительное электронной сирены - 1 шт.;</w:t>
                        </w:r>
                      </w:p>
                      <w:p w14:paraId="85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- рупорный громкоговоритель -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6 шт.;</w:t>
                        </w:r>
                      </w:p>
                      <w:p w14:paraId="86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- вставка плавкая 50 А - 1 шт.;</w:t>
                        </w:r>
                      </w:p>
                      <w:p w14:paraId="87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- вилка DB-9M с корпусом Н-9 - 1 шт.;</w:t>
                        </w:r>
                      </w:p>
                      <w:p w14:paraId="88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- розетка MHU-2 - 2 шт.;</w:t>
                        </w:r>
                      </w:p>
                      <w:p w14:paraId="89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- кронштейн крепления громкоговорителей КГР6 - 1 шт.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8A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8B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/>
              </w:tc>
              <w:tc>
                <w:tcPr>
                  <w:tcW w:type="dxa" w:w="1842"/>
                  <w:tcBorders>
                    <w:right w:sz="4" w:val="nil"/>
                  </w:tcBorders>
                </w:tcPr>
                <w:p w14:paraId="8C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8D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Максимальная мощность выхода для подключения громкоговорителей для каждой линии , Вт</w:t>
                  </w:r>
                </w:p>
              </w:tc>
              <w:tc>
                <w:tcPr>
                  <w:tcW w:type="dxa" w:w="3969"/>
                  <w:tcBorders/>
                </w:tcPr>
                <w:p w14:paraId="8E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8F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90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91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≥ 160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92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93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/>
              </w:tc>
              <w:tc>
                <w:tcPr>
                  <w:tcW w:type="dxa" w:w="1842"/>
                  <w:tcBorders>
                    <w:right w:sz="4" w:val="nil"/>
                  </w:tcBorders>
                </w:tcPr>
                <w:p w14:paraId="94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95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Мощность, потребляемая ЭС от сети переменного тока 220 В при частоте 50 Гц в дежурном режиме , Вт</w:t>
                  </w:r>
                </w:p>
              </w:tc>
              <w:tc>
                <w:tcPr>
                  <w:tcW w:type="dxa" w:w="3969"/>
                  <w:tcBorders/>
                </w:tcPr>
                <w:p w14:paraId="96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97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98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99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≤ 40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9A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9B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/>
              </w:tc>
              <w:tc>
                <w:tcPr>
                  <w:tcW w:type="dxa" w:w="1842"/>
                  <w:tcBorders>
                    <w:right w:sz="4" w:val="nil"/>
                  </w:tcBorders>
                </w:tcPr>
                <w:p w14:paraId="9C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9D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Мощность, потребляемая ЭС от сети переменного тока 220 В при частоте 50 Гц в дежурном режиме при температуре ниже минус 10о С , Вт</w:t>
                  </w:r>
                </w:p>
              </w:tc>
              <w:tc>
                <w:tcPr>
                  <w:tcW w:type="dxa" w:w="3969"/>
                  <w:tcBorders/>
                </w:tcPr>
                <w:p w14:paraId="9E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9F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A0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A1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≤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340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A2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A3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/>
              </w:tc>
              <w:tc>
                <w:tcPr>
                  <w:tcW w:type="dxa" w:w="1842"/>
                  <w:tcBorders>
                    <w:right w:sz="4" w:val="nil"/>
                  </w:tcBorders>
                </w:tcPr>
                <w:p w14:paraId="A4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A5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Мощность, потребляемая ЭС от сети переменного тока 220 В при частоте 50 Гц в режиме оповещения , Вт</w:t>
                  </w:r>
                </w:p>
              </w:tc>
              <w:tc>
                <w:tcPr>
                  <w:tcW w:type="dxa" w:w="3969"/>
                  <w:tcBorders/>
                </w:tcPr>
                <w:p w14:paraId="A6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A7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A8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A9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≤ 210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AA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AB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 w14:paraId="AC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  <w:tc>
                <w:tcPr>
                  <w:tcW w:type="dxa" w:w="1842"/>
                  <w:tcBorders>
                    <w:right w:sz="4" w:val="nil"/>
                  </w:tcBorders>
                </w:tcPr>
                <w:p w14:paraId="AD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AE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</w:rPr>
                    <w:t>Мощность, потребляемая ЭС от сети переменного тока 220 В при частоте 50 Гц в режиме оповещения при температуре ниже минус 10о С , Вт</w:t>
                  </w:r>
                </w:p>
              </w:tc>
              <w:tc>
                <w:tcPr>
                  <w:tcW w:type="dxa" w:w="3969"/>
                  <w:tcBorders/>
                </w:tcPr>
                <w:p w14:paraId="AF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B0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B1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B2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≤ 540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B3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B4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 w14:paraId="B5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  <w:tc>
                <w:tcPr>
                  <w:tcW w:type="dxa" w:w="1842"/>
                  <w:tcBorders>
                    <w:right w:sz="4" w:val="nil"/>
                  </w:tcBorders>
                </w:tcPr>
                <w:p w14:paraId="B6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B7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</w:rPr>
                    <w:t>Номинальная мощность выхода для подключения громкоговорителей для каждой линии , Вт</w:t>
                  </w:r>
                </w:p>
              </w:tc>
              <w:tc>
                <w:tcPr>
                  <w:tcW w:type="dxa" w:w="3969"/>
                  <w:tcBorders/>
                </w:tcPr>
                <w:p w14:paraId="B8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B9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BA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BB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≥ 100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BC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BD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 w14:paraId="BE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  <w:tc>
                <w:tcPr>
                  <w:tcW w:type="dxa" w:w="1842"/>
                  <w:tcBorders>
                    <w:right w:sz="4" w:val="nil"/>
                  </w:tcBorders>
                </w:tcPr>
                <w:p w14:paraId="BF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C0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Номинальное сопротивление нагрузки каждой линии , Ом</w:t>
                  </w:r>
                </w:p>
              </w:tc>
              <w:tc>
                <w:tcPr>
                  <w:tcW w:type="dxa" w:w="3969"/>
                  <w:tcBorders/>
                </w:tcPr>
                <w:p w14:paraId="C1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C2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C3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C4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≥ 4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C5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C6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 w14:paraId="C7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Участник закупки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 указывает в заявке конкретное значение характеристики</w:t>
                  </w:r>
                </w:p>
              </w:tc>
              <w:tc>
                <w:tcPr>
                  <w:tcW w:type="dxa" w:w="1842"/>
                  <w:tcBorders>
                    <w:right w:sz="4" w:val="nil"/>
                  </w:tcBorders>
                </w:tcPr>
                <w:p w14:paraId="C8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C9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Номинальной напряжение выходов для подключения громкоговорителей , В</w:t>
                  </w:r>
                </w:p>
              </w:tc>
              <w:tc>
                <w:tcPr>
                  <w:tcW w:type="dxa" w:w="3969"/>
                  <w:tcBorders/>
                </w:tcPr>
                <w:p w14:paraId="CA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CB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CC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CD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20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CE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CF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 w14:paraId="D0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type="dxa" w:w="1842"/>
                  <w:tcBorders>
                    <w:right w:sz="4" w:val="nil"/>
                  </w:tcBorders>
                </w:tcPr>
                <w:p w14:paraId="D1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D2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Степень защиты от воздействия окружающей среды (исполнение) </w:t>
                  </w:r>
                </w:p>
              </w:tc>
              <w:tc>
                <w:tcPr>
                  <w:tcW w:type="dxa" w:w="3969"/>
                  <w:tcBorders/>
                </w:tcPr>
                <w:p w14:paraId="D3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D4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D5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D6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IP65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D7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D8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 w14:paraId="D9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type="dxa" w:w="1842"/>
                  <w:tcBorders>
                    <w:right w:sz="4" w:val="nil"/>
                  </w:tcBorders>
                </w:tcPr>
                <w:p w14:paraId="DA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DB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Суммарная номинальная мощность , Вт</w:t>
                  </w:r>
                </w:p>
              </w:tc>
              <w:tc>
                <w:tcPr>
                  <w:tcW w:type="dxa" w:w="3969"/>
                  <w:tcBorders/>
                </w:tcPr>
                <w:p w14:paraId="DC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DD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DE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DF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600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E0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E1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 w14:paraId="E2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type="dxa" w:w="1842"/>
                  <w:tcBorders>
                    <w:right w:sz="4" w:val="nil"/>
                  </w:tcBorders>
                </w:tcPr>
                <w:p w14:paraId="E3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E4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Управление ЭС по сети Ethernet </w:t>
                  </w:r>
                </w:p>
              </w:tc>
              <w:tc>
                <w:tcPr>
                  <w:tcW w:type="dxa" w:w="3969"/>
                  <w:tcBorders/>
                </w:tcPr>
                <w:p w14:paraId="E5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E6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E7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E8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Наличие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E9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EA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 w14:paraId="EB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type="dxa" w:w="1842"/>
                  <w:tcBorders>
                    <w:right w:sz="4" w:val="nil"/>
                  </w:tcBorders>
                </w:tcPr>
                <w:p w14:paraId="EC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ED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Электропитание </w:t>
                  </w:r>
                </w:p>
              </w:tc>
              <w:tc>
                <w:tcPr>
                  <w:tcW w:type="dxa" w:w="3969"/>
                  <w:tcBorders/>
                </w:tcPr>
                <w:p w14:paraId="EE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EF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F0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F1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Электропитание ЭС осуществляется от сети переменного тока напряжением 220±22 В при частоте сети 50±2 Гц.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F2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F3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 w14:paraId="F4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Значение </w:t>
                  </w:r>
                  <w:r>
                    <w:rPr>
                      <w:rFonts w:ascii="Times New Roman" w:hAnsi="Times New Roman"/>
                      <w:sz w:val="20"/>
                    </w:rPr>
                    <w:t>характеристики не может изменяться участником закупки</w:t>
                  </w:r>
                </w:p>
              </w:tc>
              <w:tc>
                <w:tcPr>
                  <w:tcW w:type="dxa" w:w="1842"/>
                  <w:tcBorders>
                    <w:right w:sz="4" w:val="nil"/>
                  </w:tcBorders>
                </w:tcPr>
                <w:p w14:paraId="F5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</w:tcBorders>
                </w:tcPr>
                <w:p w14:paraId="F6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Уровень звукового давления рупорных громкоговорителей при 1 Вт, на расстоянии 1 м., на частоте 1 кГц , дБ</w:t>
                  </w:r>
                </w:p>
              </w:tc>
              <w:tc>
                <w:tcPr>
                  <w:tcW w:type="dxa" w:w="3969"/>
                  <w:tcBorders/>
                </w:tcPr>
                <w:p w14:paraId="F7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F8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F9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FA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≥ 114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FB01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FC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/>
                </w:tcPr>
                <w:p w14:paraId="FD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  <w:tc>
                <w:tcPr>
                  <w:tcW w:type="dxa" w:w="1842"/>
                  <w:tcBorders>
                    <w:right w:sz="4" w:val="nil"/>
                  </w:tcBorders>
                </w:tcPr>
                <w:p w14:paraId="FE01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  <w:bottom w:sz="4" w:val="nil"/>
                  </w:tcBorders>
                </w:tcPr>
                <w:p w14:paraId="FF01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Переключение на электроснабжение от резервного источника </w:t>
                  </w:r>
                </w:p>
              </w:tc>
              <w:tc>
                <w:tcPr>
                  <w:tcW w:type="dxa" w:w="3969"/>
                  <w:tcBorders>
                    <w:bottom w:sz="4" w:val="nil"/>
                  </w:tcBorders>
                </w:tcPr>
                <w:p w14:paraId="0002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0102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0202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0302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Переключение на электроснабжение от резервного источника происходит автоматически при пропадании напряжения на вводе от основного источника питания с последующим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автоматическим переключением на о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сновной источник питания при появлении основного питания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0402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0502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>
                    <w:bottom w:sz="4" w:val="nil"/>
                  </w:tcBorders>
                </w:tcPr>
                <w:p w14:paraId="0602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type="dxa" w:w="1842"/>
                  <w:tcBorders>
                    <w:bottom w:sz="4" w:val="nil"/>
                    <w:right w:sz="4" w:val="nil"/>
                  </w:tcBorders>
                </w:tcPr>
                <w:p w14:paraId="0702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</w:tbl>
          <w:p w14:paraId="0802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0"/>
            <w:tcBorders>
              <w:left w:color="000000" w:sz="4" w:val="single"/>
            </w:tcBorders>
            <w:shd w:fill="auto" w:val="clear"/>
          </w:tcPr>
          <w:p w14:paraId="09020000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комплект</w:t>
            </w:r>
          </w:p>
        </w:tc>
        <w:tc>
          <w:tcPr>
            <w:tcW w:type="dxa" w:w="1021"/>
            <w:tcBorders>
              <w:right w:color="000000" w:sz="4" w:val="single"/>
            </w:tcBorders>
            <w:shd w:fill="auto" w:val="clear"/>
          </w:tcPr>
          <w:p w14:paraId="0A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3.00</w:t>
            </w:r>
          </w:p>
          <w:p w14:paraId="0B02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42"/>
            <w:tcBorders>
              <w:top w:sz="4" w:val="nil"/>
              <w:left w:color="000000" w:sz="4" w:val="single"/>
              <w:bottom w:sz="4" w:val="nil"/>
              <w:right w:sz="4" w:val="nil"/>
            </w:tcBorders>
            <w:shd w:fill="auto" w:val="clear"/>
          </w:tcPr>
          <w:p w14:paraId="0C020000">
            <w:pPr>
              <w:rPr>
                <w:rFonts w:ascii="Times New Roman" w:hAnsi="Times New Roman"/>
                <w:sz w:val="20"/>
              </w:rPr>
            </w:pPr>
          </w:p>
          <w:p w14:paraId="0D020000">
            <w:pPr>
              <w:rPr>
                <w:rFonts w:ascii="Times New Roman" w:hAnsi="Times New Roman"/>
                <w:sz w:val="20"/>
              </w:rPr>
            </w:pPr>
          </w:p>
          <w:p w14:paraId="0E02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415"/>
        </w:trPr>
        <w:tc>
          <w:tcPr>
            <w:tcW w:type="dxa" w:w="846"/>
            <w:shd w:fill="auto" w:val="clear"/>
          </w:tcPr>
          <w:p w14:paraId="0F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2727"/>
            <w:tcBorders>
              <w:right w:color="000000" w:sz="4" w:val="single"/>
            </w:tcBorders>
          </w:tcPr>
          <w:p w14:paraId="10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Монтаж и пусконаладочные работы устройства усилительного электронной сирены</w:t>
            </w:r>
          </w:p>
          <w:p w14:paraId="11020000">
            <w:pPr>
              <w:rPr>
                <w:rFonts w:ascii="Times New Roman" w:hAnsi="Times New Roman"/>
                <w:sz w:val="20"/>
              </w:rPr>
            </w:pPr>
          </w:p>
          <w:p w14:paraId="12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43.21.10.120</w:t>
            </w:r>
          </w:p>
          <w:p w14:paraId="13020000">
            <w:pPr>
              <w:rPr>
                <w:rFonts w:ascii="Times New Roman" w:hAnsi="Times New Roman"/>
                <w:sz w:val="20"/>
              </w:rPr>
            </w:pPr>
          </w:p>
          <w:p w14:paraId="14020000">
            <w:pPr>
              <w:rPr>
                <w:rFonts w:ascii="Times New Roman" w:hAnsi="Times New Roman"/>
                <w:sz w:val="20"/>
              </w:rPr>
            </w:pPr>
          </w:p>
          <w:p w14:paraId="15020000">
            <w:pPr>
              <w:rPr>
                <w:rFonts w:ascii="Times New Roman" w:hAnsi="Times New Roman"/>
                <w:sz w:val="20"/>
              </w:rPr>
            </w:pPr>
          </w:p>
          <w:p w14:paraId="1602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065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tbl>
            <w:tblPr>
              <w:tblStyle w:val="Style_2"/>
              <w:tblpPr w:horzAnchor="text" w:tblpX="-142" w:tblpY="1" w:vertAnchor="text"/>
              <w:tblW w:type="auto" w:w="0"/>
              <w:tblBorders>
                <w:top w:sz="4" w:val="nil"/>
                <w:left w:sz="4" w:val="nil"/>
                <w:bottom w:sz="4" w:val="nil"/>
                <w:right w:sz="4" w:val="nil"/>
              </w:tblBorders>
              <w:tblLayout w:type="fixed"/>
            </w:tblPr>
            <w:tblGrid>
              <w:gridCol w:w="1843"/>
              <w:gridCol w:w="3969"/>
              <w:gridCol w:w="1985"/>
              <w:gridCol w:w="1842"/>
            </w:tblGrid>
            <w:tr>
              <w:trPr>
                <w:trHeight w:hRule="atLeast" w:val="853"/>
              </w:trPr>
              <w:tc>
                <w:tcPr>
                  <w:tcW w:type="dxa" w:w="1843"/>
                  <w:tcBorders>
                    <w:top w:sz="4" w:val="nil"/>
                    <w:left w:sz="4" w:val="nil"/>
                  </w:tcBorders>
                </w:tcPr>
                <w:p w14:paraId="1702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b w:val="1"/>
                      <w:sz w:val="20"/>
                    </w:rPr>
                    <w:t xml:space="preserve">Наименование </w:t>
                  </w:r>
                  <w:r>
                    <w:rPr>
                      <w:rFonts w:ascii="Times New Roman" w:hAnsi="Times New Roman"/>
                      <w:b w:val="1"/>
                      <w:sz w:val="20"/>
                    </w:rPr>
                    <w:t>показателей</w:t>
                  </w:r>
                </w:p>
              </w:tc>
              <w:tc>
                <w:tcPr>
                  <w:tcW w:type="dxa" w:w="3969"/>
                  <w:tcBorders>
                    <w:top w:sz="4" w:val="nil"/>
                  </w:tcBorders>
                </w:tcPr>
                <w:p w14:paraId="18020000">
                  <w:pPr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rFonts w:ascii="Times New Roman" w:hAnsi="Times New Roman"/>
                      <w:b w:val="1"/>
                      <w:sz w:val="20"/>
                    </w:rPr>
                    <w:t xml:space="preserve">Значение </w:t>
                  </w:r>
                </w:p>
                <w:p w14:paraId="1902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b w:val="1"/>
                      <w:sz w:val="20"/>
                    </w:rPr>
                    <w:t>показателя</w:t>
                  </w:r>
                </w:p>
              </w:tc>
              <w:tc>
                <w:tcPr>
                  <w:tcW w:type="dxa" w:w="1985"/>
                  <w:tcBorders>
                    <w:top w:sz="4" w:val="nil"/>
                  </w:tcBorders>
                </w:tcPr>
                <w:p w14:paraId="1A020000">
                  <w:pPr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rFonts w:ascii="Times New Roman" w:hAnsi="Times New Roman"/>
                      <w:b w:val="1"/>
                      <w:sz w:val="20"/>
                    </w:rPr>
                    <w:t>Инструкция по заполнению характеристик в заявке</w:t>
                  </w:r>
                </w:p>
              </w:tc>
              <w:tc>
                <w:tcPr>
                  <w:tcW w:type="dxa" w:w="1842"/>
                  <w:tcBorders>
                    <w:top w:sz="4" w:val="nil"/>
                    <w:right w:sz="4" w:val="nil"/>
                  </w:tcBorders>
                </w:tcPr>
                <w:p w14:paraId="1B020000">
                  <w:pPr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rFonts w:ascii="Times New Roman" w:hAnsi="Times New Roman"/>
                      <w:b w:val="1"/>
                      <w:sz w:val="20"/>
                    </w:rPr>
                    <w:t>Обоснование дополнительных характеристик</w:t>
                  </w:r>
                </w:p>
              </w:tc>
            </w:tr>
            <w:tr>
              <w:trPr>
                <w:trHeight w:hRule="atLeast" w:val="841"/>
              </w:trPr>
              <w:tc>
                <w:tcPr>
                  <w:tcW w:type="dxa" w:w="1843"/>
                  <w:tcBorders>
                    <w:left w:sz="4" w:val="nil"/>
                    <w:bottom w:sz="4" w:val="nil"/>
                  </w:tcBorders>
                </w:tcPr>
                <w:p w14:paraId="1C02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Монтаж и пусконаладочные работы </w:t>
                  </w:r>
                </w:p>
              </w:tc>
              <w:tc>
                <w:tcPr>
                  <w:tcW w:type="dxa" w:w="3969"/>
                  <w:tcBorders>
                    <w:bottom w:sz="4" w:val="nil"/>
                  </w:tcBorders>
                </w:tcPr>
                <w:p w14:paraId="1D02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  <w:tbl>
                  <w:tblPr>
                    <w:tblStyle w:val="Style_2"/>
                    <w:tblpPr w:bottomFromText="0" w:horzAnchor="text" w:leftFromText="180" w:rightFromText="180" w:tblpXSpec="left" w:tblpY="1" w:topFromText="0" w:vertAnchor="text"/>
                    <w:tblW w:type="auto" w:w="0"/>
                    <w:tblBorders>
                      <w:top w:sz="4" w:val="nil"/>
                      <w:left w:sz="4" w:val="nil"/>
                      <w:bottom w:sz="4" w:val="nil"/>
                      <w:right w:sz="4" w:val="nil"/>
                      <w:insideH w:sz="4" w:val="nil"/>
                      <w:insideV w:sz="4" w:val="nil"/>
                    </w:tblBorders>
                    <w:tblLayout w:type="fixed"/>
                    <w:tblCellMar>
                      <w:left w:type="dxa" w:w="0"/>
                      <w:right w:type="dxa" w:w="0"/>
                    </w:tblCellMar>
                  </w:tblPr>
                  <w:tblGrid>
                    <w:gridCol w:w="27"/>
                    <w:gridCol w:w="3697"/>
                    <w:gridCol w:w="25"/>
                  </w:tblGrid>
                  <w:tr>
                    <w:trPr>
                      <w:trHeight w:hRule="atLeast" w:val="562"/>
                    </w:trPr>
                    <w:tc>
                      <w:tcPr>
                        <w:tcW w:type="dxa" w:w="2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1E02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14:paraId="1F02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type="dxa" w:w="3697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2002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Поставщик организует выполнение пуско-наладочных работ, включающих в себя проверку, регулировку,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настройку, тренировку и электрические измерения оборудования, инструктаж сотрудников Заказчика по работе с оборудованием, предварительные испытания на предмет соответствия системы требованиям описания объекта закупки, а также их контрольную проверку (опро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бование), в процессе которых все параметры оборудования и системы должны быть доведены до нормативных</w:t>
                        </w:r>
                      </w:p>
                    </w:tc>
                    <w:tc>
                      <w:tcPr>
                        <w:tcW w:type="dxa" w:w="25"/>
                        <w:tcBorders>
                          <w:top w:sz="4" w:val="nil"/>
                          <w:left w:sz="4" w:val="nil"/>
                          <w:bottom w:sz="4" w:val="nil"/>
                          <w:right w:sz="4" w:val="nil"/>
                        </w:tcBorders>
                        <w:tcMar>
                          <w:left w:type="dxa" w:w="0"/>
                          <w:right w:type="dxa" w:w="0"/>
                        </w:tcMar>
                      </w:tcPr>
                      <w:p w14:paraId="21020000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</w:tr>
                </w:tbl>
                <w:p w14:paraId="2202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type="dxa" w:w="1985"/>
                  <w:tcBorders>
                    <w:bottom w:sz="4" w:val="nil"/>
                  </w:tcBorders>
                </w:tcPr>
                <w:p w14:paraId="23020000">
                  <w:pPr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Значение характеристики не может изменяться участником закупки</w:t>
                  </w:r>
                </w:p>
              </w:tc>
              <w:tc>
                <w:tcPr>
                  <w:tcW w:type="dxa" w:w="1842"/>
                  <w:tcBorders>
                    <w:bottom w:sz="4" w:val="nil"/>
                    <w:right w:sz="4" w:val="nil"/>
                  </w:tcBorders>
                </w:tcPr>
                <w:p w14:paraId="24020000">
                  <w:pPr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</w:tbl>
          <w:p w14:paraId="2502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0"/>
            <w:tcBorders>
              <w:left w:color="000000" w:sz="4" w:val="single"/>
            </w:tcBorders>
            <w:shd w:fill="auto" w:val="clear"/>
          </w:tcPr>
          <w:p w14:paraId="26020000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УСЛ ЕД</w:t>
            </w:r>
          </w:p>
        </w:tc>
        <w:tc>
          <w:tcPr>
            <w:tcW w:type="dxa" w:w="1021"/>
            <w:tcBorders>
              <w:right w:color="000000" w:sz="4" w:val="single"/>
            </w:tcBorders>
            <w:shd w:fill="auto" w:val="clear"/>
          </w:tcPr>
          <w:p w14:paraId="27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3.00</w:t>
            </w:r>
          </w:p>
          <w:p w14:paraId="2802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42"/>
            <w:tcBorders>
              <w:top w:sz="4" w:val="nil"/>
              <w:left w:color="000000" w:sz="4" w:val="single"/>
              <w:bottom w:sz="4" w:val="nil"/>
              <w:right w:sz="4" w:val="nil"/>
            </w:tcBorders>
            <w:shd w:fill="auto" w:val="clear"/>
          </w:tcPr>
          <w:p w14:paraId="29020000">
            <w:pPr>
              <w:rPr>
                <w:rFonts w:ascii="Times New Roman" w:hAnsi="Times New Roman"/>
                <w:sz w:val="20"/>
              </w:rPr>
            </w:pPr>
          </w:p>
          <w:p w14:paraId="2A020000">
            <w:pPr>
              <w:rPr>
                <w:rFonts w:ascii="Times New Roman" w:hAnsi="Times New Roman"/>
                <w:sz w:val="20"/>
              </w:rPr>
            </w:pPr>
          </w:p>
          <w:p w14:paraId="2B020000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2C020000">
      <w:pPr>
        <w:widowControl w:val="1"/>
        <w:ind w:right="91"/>
        <w:jc w:val="right"/>
        <w:rPr>
          <w:rFonts w:ascii="Times New Roman" w:hAnsi="Times New Roman"/>
          <w:b w:val="1"/>
          <w:color w:val="0070C0"/>
          <w:sz w:val="20"/>
        </w:rPr>
      </w:pPr>
    </w:p>
    <w:p w14:paraId="2D020000">
      <w:pPr>
        <w:widowControl w:val="1"/>
        <w:ind w:firstLine="567"/>
        <w:jc w:val="both"/>
        <w:rPr>
          <w:rFonts w:ascii="Times New Roman" w:hAnsi="Times New Roman"/>
          <w:b w:val="1"/>
          <w:sz w:val="20"/>
        </w:rPr>
      </w:pPr>
    </w:p>
    <w:p w14:paraId="2E020000">
      <w:pPr>
        <w:rPr>
          <w:rFonts w:ascii="Times New Roman" w:hAnsi="Times New Roman"/>
          <w:b w:val="1"/>
          <w:sz w:val="20"/>
        </w:rPr>
      </w:pPr>
    </w:p>
    <w:p w14:paraId="2F020000">
      <w:pPr>
        <w:rPr>
          <w:rFonts w:ascii="Times New Roman" w:hAnsi="Times New Roman"/>
          <w:b w:val="1"/>
          <w:sz w:val="20"/>
        </w:rPr>
      </w:pPr>
    </w:p>
    <w:p w14:paraId="30020000">
      <w:pPr>
        <w:rPr>
          <w:rFonts w:ascii="Times New Roman" w:hAnsi="Times New Roman"/>
          <w:b w:val="1"/>
          <w:sz w:val="20"/>
        </w:rPr>
      </w:pPr>
    </w:p>
    <w:p w14:paraId="31020000">
      <w:pPr>
        <w:rPr>
          <w:rFonts w:ascii="Times New Roman" w:hAnsi="Times New Roman"/>
          <w:b w:val="1"/>
          <w:sz w:val="20"/>
        </w:rPr>
      </w:pPr>
    </w:p>
    <w:p w14:paraId="32020000">
      <w:pPr>
        <w:rPr>
          <w:rFonts w:ascii="Times New Roman" w:hAnsi="Times New Roman"/>
          <w:b w:val="1"/>
          <w:sz w:val="20"/>
        </w:rPr>
      </w:pPr>
    </w:p>
    <w:p w14:paraId="33020000">
      <w:pPr>
        <w:rPr>
          <w:rFonts w:ascii="Times New Roman" w:hAnsi="Times New Roman"/>
          <w:b w:val="1"/>
          <w:sz w:val="20"/>
        </w:rPr>
      </w:pPr>
    </w:p>
    <w:p w14:paraId="34020000">
      <w:pPr>
        <w:rPr>
          <w:rFonts w:ascii="Times New Roman" w:hAnsi="Times New Roman"/>
          <w:b w:val="1"/>
          <w:sz w:val="20"/>
        </w:rPr>
      </w:pPr>
    </w:p>
    <w:p w14:paraId="35020000">
      <w:pPr>
        <w:rPr>
          <w:rFonts w:ascii="Times New Roman" w:hAnsi="Times New Roman"/>
          <w:b w:val="1"/>
          <w:sz w:val="20"/>
        </w:rPr>
      </w:pPr>
    </w:p>
    <w:p w14:paraId="36020000">
      <w:pPr>
        <w:rPr>
          <w:rFonts w:ascii="Times New Roman" w:hAnsi="Times New Roman"/>
          <w:b w:val="1"/>
          <w:sz w:val="20"/>
        </w:rPr>
      </w:pPr>
    </w:p>
    <w:p w14:paraId="37020000">
      <w:pPr>
        <w:rPr>
          <w:rFonts w:ascii="Times New Roman" w:hAnsi="Times New Roman"/>
          <w:b w:val="1"/>
          <w:sz w:val="20"/>
        </w:rPr>
      </w:pPr>
    </w:p>
    <w:p w14:paraId="38020000">
      <w:pPr>
        <w:rPr>
          <w:rFonts w:ascii="Times New Roman" w:hAnsi="Times New Roman"/>
          <w:b w:val="1"/>
          <w:sz w:val="20"/>
        </w:rPr>
      </w:pPr>
    </w:p>
    <w:p w14:paraId="39020000">
      <w:pPr>
        <w:rPr>
          <w:rFonts w:ascii="Times New Roman" w:hAnsi="Times New Roman"/>
          <w:b w:val="1"/>
          <w:sz w:val="20"/>
        </w:rPr>
      </w:pPr>
    </w:p>
    <w:p w14:paraId="3A020000">
      <w:pPr>
        <w:rPr>
          <w:rFonts w:ascii="Times New Roman" w:hAnsi="Times New Roman"/>
          <w:b w:val="1"/>
          <w:sz w:val="20"/>
        </w:rPr>
      </w:pPr>
    </w:p>
    <w:p w14:paraId="3B020000">
      <w:pPr>
        <w:rPr>
          <w:rFonts w:ascii="Times New Roman" w:hAnsi="Times New Roman"/>
          <w:b w:val="1"/>
          <w:sz w:val="20"/>
        </w:rPr>
      </w:pPr>
    </w:p>
    <w:p w14:paraId="3C020000">
      <w:pPr>
        <w:sectPr>
          <w:headerReference r:id="rId1" w:type="default"/>
          <w:pgSz w:h="11906" w:orient="landscape" w:w="16838"/>
          <w:pgMar w:bottom="1871" w:footer="709" w:gutter="0" w:header="454" w:left="567" w:right="964" w:top="567"/>
          <w:titlePg/>
        </w:sectPr>
      </w:pPr>
    </w:p>
    <w:p w14:paraId="3D020000">
      <w:pPr>
        <w:rPr>
          <w:rFonts w:ascii="Times New Roman" w:hAnsi="Times New Roman"/>
          <w:b w:val="1"/>
          <w:sz w:val="20"/>
        </w:rPr>
      </w:pPr>
    </w:p>
    <w:p w14:paraId="3E020000">
      <w:pPr>
        <w:widowControl w:val="1"/>
        <w:ind w:firstLine="425" w:left="-1418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>4. Адреса установки</w:t>
      </w:r>
      <w:r>
        <w:rPr>
          <w:rFonts w:ascii="Times New Roman" w:hAnsi="Times New Roman"/>
          <w:b w:val="1"/>
          <w:sz w:val="20"/>
        </w:rPr>
        <w:t xml:space="preserve"> оборудования</w:t>
      </w:r>
    </w:p>
    <w:p w14:paraId="3F020000">
      <w:pPr>
        <w:widowControl w:val="1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Поставщик должен выполнить поставку, монтаж и пусконаладочные работы оборудования в соответствии с требованиями рабочей документации «Реконструкция региональной автоматизированной системы централизованного оповещения населения Воронежской обл</w:t>
      </w:r>
      <w:r>
        <w:rPr>
          <w:rFonts w:ascii="Times New Roman" w:hAnsi="Times New Roman"/>
          <w:sz w:val="20"/>
        </w:rPr>
        <w:t>асти» от 2022 года, шифр 57/0304/11-22/1-РАСЦО, альбом 31 муниципальный район и выполнить работы согласно таблице:</w:t>
      </w:r>
    </w:p>
    <w:p w14:paraId="40020000">
      <w:pPr>
        <w:widowControl w:val="1"/>
        <w:ind w:firstLine="425" w:left="-1418"/>
        <w:jc w:val="both"/>
        <w:rPr>
          <w:rFonts w:ascii="Times New Roman" w:hAnsi="Times New Roman"/>
          <w:sz w:val="20"/>
        </w:rPr>
      </w:pPr>
    </w:p>
    <w:tbl>
      <w:tblPr>
        <w:tblStyle w:val="Style_4"/>
        <w:tblW w:type="auto" w:w="0"/>
        <w:tblInd w:type="dxa" w:w="-131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51"/>
        <w:gridCol w:w="8364"/>
        <w:gridCol w:w="851"/>
        <w:gridCol w:w="850"/>
      </w:tblGrid>
      <w:tr>
        <w:trPr>
          <w:trHeight w:hRule="atLeast" w:val="183"/>
        </w:trP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п.п.</w:t>
            </w:r>
          </w:p>
        </w:tc>
        <w:tc>
          <w:tcPr>
            <w:tcW w:type="dxa" w:w="8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202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Наименование работ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2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Ед. изм.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402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Кол-во</w:t>
            </w:r>
          </w:p>
        </w:tc>
      </w:tr>
      <w:tr>
        <w:trPr>
          <w:trHeight w:hRule="atLeast" w:val="183"/>
        </w:trP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20000">
            <w:pPr>
              <w:widowControl w:val="1"/>
              <w:tabs>
                <w:tab w:leader="none" w:pos="709" w:val="left"/>
              </w:tabs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 </w:t>
            </w:r>
          </w:p>
        </w:tc>
        <w:tc>
          <w:tcPr>
            <w:tcW w:type="dxa" w:w="8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2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Монтаж точки оповещения р.п. Латная пер. Заводской д. 1А, пусконаладочные работы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Усл. ед.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>
          <w:trHeight w:hRule="atLeast" w:val="183"/>
        </w:trP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20000">
            <w:pPr>
              <w:widowControl w:val="1"/>
              <w:tabs>
                <w:tab w:leader="none" w:pos="709" w:val="left"/>
              </w:tabs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</w:t>
            </w:r>
          </w:p>
        </w:tc>
        <w:tc>
          <w:tcPr>
            <w:tcW w:type="dxa" w:w="8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Комплект оборудования: устройство усилительное электронной сирены 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Компл.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>
          <w:trHeight w:hRule="atLeast" w:val="264"/>
        </w:trP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20000">
            <w:pPr>
              <w:widowControl w:val="1"/>
              <w:tabs>
                <w:tab w:leader="none" w:pos="709" w:val="left"/>
              </w:tabs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2. </w:t>
            </w:r>
          </w:p>
        </w:tc>
        <w:tc>
          <w:tcPr>
            <w:tcW w:type="dxa" w:w="8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2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Монтаж точки оповещения р.п. Стрелица ул. Победа д. 18,</w:t>
            </w:r>
          </w:p>
          <w:p w14:paraId="4F02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пусконаладочные работы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Усл. ед.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>
          <w:trHeight w:hRule="atLeast" w:val="264"/>
        </w:trP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20000">
            <w:pPr>
              <w:widowControl w:val="1"/>
              <w:tabs>
                <w:tab w:leader="none" w:pos="709" w:val="left"/>
              </w:tabs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</w:t>
            </w:r>
          </w:p>
        </w:tc>
        <w:tc>
          <w:tcPr>
            <w:tcW w:type="dxa" w:w="8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Комплект оборудования: устройство усилительное электронной сирены 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Компл.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>
          <w:trHeight w:hRule="atLeast" w:val="264"/>
        </w:trP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20000">
            <w:pPr>
              <w:widowControl w:val="1"/>
              <w:tabs>
                <w:tab w:leader="none" w:pos="709" w:val="left"/>
              </w:tabs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3. </w:t>
            </w:r>
          </w:p>
        </w:tc>
        <w:tc>
          <w:tcPr>
            <w:tcW w:type="dxa" w:w="8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2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Монтаж точки оповещения с. Землянск пл. Леженина д. 10, пусконаладочные работы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Усл. ед.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>
          <w:trHeight w:hRule="atLeast" w:val="264"/>
        </w:trP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20000">
            <w:pPr>
              <w:widowControl w:val="1"/>
              <w:tabs>
                <w:tab w:leader="none" w:pos="709" w:val="left"/>
              </w:tabs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</w:t>
            </w:r>
          </w:p>
        </w:tc>
        <w:tc>
          <w:tcPr>
            <w:tcW w:type="dxa" w:w="8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Комплект оборудования: устройство усилительное электронной сирены</w:t>
            </w:r>
            <w:r>
              <w:rPr>
                <w:rFonts w:ascii="Times New Roman" w:hAnsi="Times New Roman"/>
                <w:color w:val="FF0000"/>
                <w:sz w:val="20"/>
              </w:rPr>
              <w:t xml:space="preserve"> 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Компл.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>
          <w:trHeight w:hRule="atLeast" w:val="264"/>
        </w:trP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20000">
            <w:pPr>
              <w:widowControl w:val="1"/>
              <w:tabs>
                <w:tab w:leader="none" w:pos="709" w:val="left"/>
              </w:tabs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type="dxa" w:w="8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2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Монтаж командного пульта управления, </w:t>
            </w:r>
          </w:p>
          <w:p w14:paraId="60020000">
            <w:pPr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г.Семилуки ул. Ленина ,11, </w:t>
            </w:r>
            <w:r>
              <w:rPr>
                <w:rFonts w:ascii="Times New Roman" w:hAnsi="Times New Roman"/>
                <w:b w:val="1"/>
                <w:sz w:val="20"/>
              </w:rPr>
              <w:t>пусконаладочные работы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Усл. ед.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>
        <w:trPr>
          <w:trHeight w:hRule="atLeast" w:val="264"/>
        </w:trP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20000">
            <w:pPr>
              <w:widowControl w:val="1"/>
              <w:tabs>
                <w:tab w:leader="none" w:pos="709" w:val="left"/>
              </w:tabs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4.1.</w:t>
            </w:r>
          </w:p>
        </w:tc>
        <w:tc>
          <w:tcPr>
            <w:tcW w:type="dxa" w:w="8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Командный пульт управления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2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</w:tbl>
    <w:p w14:paraId="67020000">
      <w:pPr>
        <w:widowControl w:val="1"/>
        <w:ind w:firstLine="425" w:left="-1418"/>
        <w:rPr>
          <w:rFonts w:ascii="Times New Roman" w:hAnsi="Times New Roman"/>
          <w:sz w:val="20"/>
        </w:rPr>
      </w:pPr>
    </w:p>
    <w:p w14:paraId="68020000">
      <w:pPr>
        <w:widowControl w:val="1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Места размещения оборудования, трассы прокладки кабельных линий, тип металлоконструкций, согласовываются с Заказчиком.</w:t>
      </w:r>
    </w:p>
    <w:p w14:paraId="69020000">
      <w:pPr>
        <w:widowControl w:val="1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До начала выполнения монтажных работ Поставщик обязан </w:t>
      </w:r>
      <w:r>
        <w:rPr>
          <w:rFonts w:ascii="Times New Roman" w:hAnsi="Times New Roman"/>
          <w:sz w:val="20"/>
        </w:rPr>
        <w:t>получить разрешения (согласования), требуемые для размещения и подключения вновь устанавливаемого оборудования к сети 220В у собственников.</w:t>
      </w:r>
    </w:p>
    <w:p w14:paraId="6A020000">
      <w:pPr>
        <w:widowControl w:val="1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Поставщик должен внести в базу данных информацию о вновь устанавливаемых объектах на основном пункте управления муни</w:t>
      </w:r>
      <w:r>
        <w:rPr>
          <w:rFonts w:ascii="Times New Roman" w:hAnsi="Times New Roman"/>
          <w:sz w:val="20"/>
        </w:rPr>
        <w:t>ципального района с осуществлением настройки сетевых элементов и сетевых трактов.</w:t>
      </w:r>
    </w:p>
    <w:p w14:paraId="6B020000">
      <w:pPr>
        <w:widowControl w:val="1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Поставщик организует выполнение пуско-наладочных работ, включающих в себя проверку, регулировку, настройку, тренировку и электрические измерения оборудования, инструктаж сотр</w:t>
      </w:r>
      <w:r>
        <w:rPr>
          <w:rFonts w:ascii="Times New Roman" w:hAnsi="Times New Roman"/>
          <w:sz w:val="20"/>
        </w:rPr>
        <w:t>удников Заказчика по работе с оборудованием, предварительные испытания на предмет соответствия созданной системы требованиям Договора и технического задания документации об открытом аукционе в электронной форме, а также их контрольную проверку (опробование</w:t>
      </w:r>
      <w:r>
        <w:rPr>
          <w:rFonts w:ascii="Times New Roman" w:hAnsi="Times New Roman"/>
          <w:sz w:val="20"/>
        </w:rPr>
        <w:t>), в процессе которых все параметры оборудования и системы должны быть доведены до нормативных.</w:t>
      </w:r>
    </w:p>
    <w:p w14:paraId="6C020000">
      <w:pPr>
        <w:widowControl w:val="1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Работы должны быть организованы в соответствии с действующими нормами и правилами:</w:t>
      </w:r>
    </w:p>
    <w:p w14:paraId="6D020000">
      <w:pPr>
        <w:widowControl w:val="1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«Строительные нормы и правила СНиП 3.05.06-85 «Электротехнические устройств</w:t>
      </w:r>
      <w:r>
        <w:rPr>
          <w:rFonts w:ascii="Times New Roman" w:hAnsi="Times New Roman"/>
          <w:sz w:val="20"/>
        </w:rPr>
        <w:t>а»;</w:t>
      </w:r>
    </w:p>
    <w:p w14:paraId="6E020000">
      <w:pPr>
        <w:widowControl w:val="1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«Правила применения оборудования проводных и оптических систем передачи абонентского доступа», утверждёнными приказом Министерства информационных технологий и связи Российской Федерации от 24.08.2006 г. № 112 (зарегистрированы в Минюсте 04.09.2006 г.</w:t>
      </w:r>
      <w:r>
        <w:rPr>
          <w:rFonts w:ascii="Times New Roman" w:hAnsi="Times New Roman"/>
          <w:sz w:val="20"/>
        </w:rPr>
        <w:t>, № 8194);</w:t>
      </w:r>
    </w:p>
    <w:p w14:paraId="6F020000">
      <w:pPr>
        <w:widowControl w:val="1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Свод правил СП.133.13330.2012 «Сети проводного радиовещания и оповещения в зданиях и сооружениях», утверждены приказом Министерства регионального развития РФ от 05.04.2012 г. № 159. </w:t>
      </w:r>
    </w:p>
    <w:p w14:paraId="70020000">
      <w:pPr>
        <w:widowControl w:val="1"/>
        <w:ind w:firstLine="425" w:left="-1418"/>
        <w:rPr>
          <w:rFonts w:ascii="Times New Roman" w:hAnsi="Times New Roman"/>
          <w:b w:val="1"/>
          <w:sz w:val="20"/>
        </w:rPr>
      </w:pPr>
    </w:p>
    <w:p w14:paraId="71020000">
      <w:pPr>
        <w:widowControl w:val="1"/>
        <w:ind w:firstLine="425" w:left="-1418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>5. Требования к Подрядчику</w:t>
      </w:r>
    </w:p>
    <w:p w14:paraId="72020000">
      <w:pPr>
        <w:widowControl w:val="1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По окончанию работ, перед начал</w:t>
      </w:r>
      <w:r>
        <w:rPr>
          <w:rFonts w:ascii="Times New Roman" w:hAnsi="Times New Roman"/>
          <w:sz w:val="20"/>
        </w:rPr>
        <w:t>ом испытаний Поставщик должен произвести обучение представителей Заказчика:</w:t>
      </w:r>
    </w:p>
    <w:p w14:paraId="73020000">
      <w:pPr>
        <w:widowControl w:val="1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 порядку проведения работ по устранению неисправностей на аппаратуре КТСО;</w:t>
      </w:r>
    </w:p>
    <w:p w14:paraId="74020000">
      <w:pPr>
        <w:widowControl w:val="1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порядку организации эксплуатационно-технического обслуживания КТСО.</w:t>
      </w:r>
    </w:p>
    <w:p w14:paraId="75020000">
      <w:pPr>
        <w:widowControl w:val="1"/>
        <w:ind w:firstLine="425" w:left="-1418"/>
        <w:rPr>
          <w:rFonts w:ascii="Times New Roman" w:hAnsi="Times New Roman"/>
          <w:b w:val="1"/>
          <w:sz w:val="20"/>
        </w:rPr>
      </w:pPr>
    </w:p>
    <w:p w14:paraId="76020000">
      <w:pPr>
        <w:widowControl w:val="1"/>
        <w:ind w:firstLine="425" w:left="-1418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>6. Требования к безопасности</w:t>
      </w:r>
    </w:p>
    <w:p w14:paraId="77020000">
      <w:pPr>
        <w:widowControl w:val="1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Тех</w:t>
      </w:r>
      <w:r>
        <w:rPr>
          <w:rFonts w:ascii="Times New Roman" w:hAnsi="Times New Roman"/>
          <w:sz w:val="20"/>
        </w:rPr>
        <w:t>нические средства должны обеспечивать безопасность при монтаже, наладке, эксплуатации, обслуживании и ремонте технических средств системы (защита от воздействий электрического тока, электромагнитных полей, акустических шумов и т. п.), по допустимым уровням</w:t>
      </w:r>
      <w:r>
        <w:rPr>
          <w:rFonts w:ascii="Times New Roman" w:hAnsi="Times New Roman"/>
          <w:sz w:val="20"/>
        </w:rPr>
        <w:t xml:space="preserve"> освещенности, вибрационных и шумовых нагрузок.</w:t>
      </w:r>
    </w:p>
    <w:p w14:paraId="78020000">
      <w:pPr>
        <w:widowControl w:val="1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Технические средства должны быть надёжно заземлены. Все токопроводящие элементы должны быть защищены корпусом или объёмными кожухами, чтобы исключить возможность поражения персонала электрическим током.</w:t>
      </w:r>
    </w:p>
    <w:p w14:paraId="79020000">
      <w:pPr>
        <w:widowControl w:val="1"/>
        <w:ind/>
        <w:jc w:val="both"/>
        <w:rPr>
          <w:rFonts w:ascii="Times New Roman" w:hAnsi="Times New Roman"/>
          <w:b w:val="1"/>
          <w:sz w:val="20"/>
        </w:rPr>
      </w:pPr>
    </w:p>
    <w:p w14:paraId="7A020000">
      <w:pPr>
        <w:widowControl w:val="1"/>
        <w:ind w:firstLine="425" w:left="-1418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>7. П</w:t>
      </w:r>
      <w:r>
        <w:rPr>
          <w:rFonts w:ascii="Times New Roman" w:hAnsi="Times New Roman"/>
          <w:b w:val="1"/>
          <w:sz w:val="20"/>
        </w:rPr>
        <w:t>роведение приемо-сдаточных испытаний системы оповещения</w:t>
      </w:r>
    </w:p>
    <w:p w14:paraId="7B020000">
      <w:pPr>
        <w:widowControl w:val="1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Поставщик организует выполнение пуско-наладочных работ, включающих в себя проверку, регулировку, настройку, тренировку и электрические измерения индивидуального оборудования, а также их контрольную пр</w:t>
      </w:r>
      <w:r>
        <w:rPr>
          <w:rFonts w:ascii="Times New Roman" w:hAnsi="Times New Roman"/>
          <w:sz w:val="20"/>
        </w:rPr>
        <w:t>оверку (опробование), в процессе которых все параметры оборудования и системы должны быть доведены до нормативных. С этой целью проводятся:</w:t>
      </w:r>
    </w:p>
    <w:p w14:paraId="7C020000">
      <w:pPr>
        <w:widowControl w:val="1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проверка работоспособности аппаратных и встроенных программных средств всего комплекса оборудования системы оповещ</w:t>
      </w:r>
      <w:r>
        <w:rPr>
          <w:rFonts w:ascii="Times New Roman" w:hAnsi="Times New Roman"/>
          <w:sz w:val="20"/>
        </w:rPr>
        <w:t>ения;</w:t>
      </w:r>
    </w:p>
    <w:p w14:paraId="7D020000">
      <w:pPr>
        <w:widowControl w:val="1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проверка соответствия состава и характеристик системы оповещения требованиям технического задания;</w:t>
      </w:r>
    </w:p>
    <w:p w14:paraId="7E020000">
      <w:pPr>
        <w:widowControl w:val="1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проверка технологии функционирования (работоспособности) системы оповещения;</w:t>
      </w:r>
    </w:p>
    <w:p w14:paraId="7F020000">
      <w:pPr>
        <w:widowControl w:val="1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проверка полноты эксплуатационной и регламентной документации;</w:t>
      </w:r>
    </w:p>
    <w:p w14:paraId="80020000">
      <w:pPr>
        <w:widowControl w:val="1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про</w:t>
      </w:r>
      <w:r>
        <w:rPr>
          <w:rFonts w:ascii="Times New Roman" w:hAnsi="Times New Roman"/>
          <w:sz w:val="20"/>
        </w:rPr>
        <w:t>верка комплектности технических средств;</w:t>
      </w:r>
    </w:p>
    <w:p w14:paraId="81020000">
      <w:pPr>
        <w:widowControl w:val="1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испытания должны проводиться в соответствии с разработанной Подрядчиком и утвержденной Заказчиком Программой, и методикой испытаний (ПМИ).</w:t>
      </w:r>
    </w:p>
    <w:p w14:paraId="82020000">
      <w:pPr>
        <w:widowControl w:val="1"/>
        <w:ind w:firstLine="425" w:left="-1418"/>
        <w:jc w:val="both"/>
        <w:rPr>
          <w:rFonts w:ascii="Times New Roman" w:hAnsi="Times New Roman"/>
          <w:sz w:val="20"/>
        </w:rPr>
      </w:pPr>
    </w:p>
    <w:p w14:paraId="83020000">
      <w:pPr>
        <w:widowControl w:val="1"/>
        <w:spacing w:line="247" w:lineRule="auto"/>
        <w:ind w:firstLine="425" w:left="-1418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8. Требования к настройке оборудования в составе действующей системы </w:t>
      </w:r>
      <w:r>
        <w:rPr>
          <w:rFonts w:ascii="Times New Roman" w:hAnsi="Times New Roman"/>
          <w:b w:val="1"/>
          <w:sz w:val="20"/>
        </w:rPr>
        <w:t>оповещения.</w:t>
      </w:r>
    </w:p>
    <w:p w14:paraId="84020000">
      <w:pPr>
        <w:widowControl w:val="1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8.1. До начала установки оборудования, но не позднее 20 календарных дней после подписания Договора  Поставщик на территории Заказчика разворачивает комплект оконечного устройства оповещения, Командный пульт управления и демонстрирует Заказчику:</w:t>
      </w:r>
    </w:p>
    <w:p w14:paraId="85020000">
      <w:pPr>
        <w:widowControl w:val="1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возможность программно-технического сопряжения с действующей РАСЦО, созданной на базе оборудования П-166;</w:t>
      </w:r>
    </w:p>
    <w:p w14:paraId="86020000">
      <w:pPr>
        <w:widowControl w:val="1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управление по основному (Ethernet) с пульта управления ЕДДС района с передачей квитанций автоматического и ручного подтверждения выполнения коман</w:t>
      </w:r>
      <w:r>
        <w:rPr>
          <w:rFonts w:ascii="Times New Roman" w:hAnsi="Times New Roman"/>
          <w:sz w:val="20"/>
        </w:rPr>
        <w:t>д оповещения;</w:t>
      </w:r>
    </w:p>
    <w:p w14:paraId="87020000">
      <w:pPr>
        <w:widowControl w:val="1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корректное отображение результатов опроса состояния оконечных средств оповещения на автоматизированном рабочем месте устройства управления П-166. </w:t>
      </w:r>
    </w:p>
    <w:p w14:paraId="88020000">
      <w:pPr>
        <w:widowControl w:val="1"/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8.2. По итогам выполнения работ поставляемое оборудование оповещения должно обеспечивать:  </w:t>
      </w:r>
    </w:p>
    <w:p w14:paraId="89020000">
      <w:pPr>
        <w:widowControl w:val="1"/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 xml:space="preserve"> техническое и программное сопряжение с действующей РАСЦО;</w:t>
      </w:r>
    </w:p>
    <w:p w14:paraId="8A020000">
      <w:pPr>
        <w:widowControl w:val="1"/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прием и передачу речевой информации и сигналов оповещения по сетям муниципального и регионального уровня;</w:t>
      </w:r>
      <w:r>
        <w:rPr>
          <w:rFonts w:ascii="Times New Roman" w:hAnsi="Times New Roman"/>
          <w:sz w:val="20"/>
        </w:rPr>
        <w:tab/>
      </w:r>
    </w:p>
    <w:p w14:paraId="8B020000">
      <w:pPr>
        <w:widowControl w:val="1"/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автоматизированное управление акустическими установками, обеспечивающими передачу сигн</w:t>
      </w:r>
      <w:r>
        <w:rPr>
          <w:rFonts w:ascii="Times New Roman" w:hAnsi="Times New Roman"/>
          <w:sz w:val="20"/>
        </w:rPr>
        <w:t>алов в сиренном (непрерывном и прерывном) режиме и речевой информации по сетям оповещения муниципального и регионального (основного и резервного) уровня;</w:t>
      </w:r>
    </w:p>
    <w:p w14:paraId="8C020000">
      <w:pPr>
        <w:widowControl w:val="1"/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автоматическую передачу подтверждений (квитанций) о приеме команды управления.</w:t>
      </w:r>
    </w:p>
    <w:p w14:paraId="8D020000">
      <w:pPr>
        <w:widowControl w:val="1"/>
        <w:spacing w:line="247" w:lineRule="auto"/>
        <w:ind/>
        <w:jc w:val="both"/>
        <w:rPr>
          <w:rFonts w:ascii="Times New Roman" w:hAnsi="Times New Roman"/>
          <w:b w:val="1"/>
          <w:sz w:val="20"/>
        </w:rPr>
      </w:pPr>
    </w:p>
    <w:p w14:paraId="8E020000">
      <w:pPr>
        <w:widowControl w:val="1"/>
        <w:spacing w:line="247" w:lineRule="auto"/>
        <w:ind w:firstLine="425" w:left="-1418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>9. Проведение приемо</w:t>
      </w:r>
      <w:r>
        <w:rPr>
          <w:rFonts w:ascii="Times New Roman" w:hAnsi="Times New Roman"/>
          <w:b w:val="1"/>
          <w:sz w:val="20"/>
        </w:rPr>
        <w:t>-сдаточных испытаний системы оповещения.</w:t>
      </w:r>
    </w:p>
    <w:p w14:paraId="8F020000">
      <w:pPr>
        <w:widowControl w:val="1"/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Поставщик </w:t>
      </w:r>
      <w:r>
        <w:rPr>
          <w:rFonts w:ascii="Times New Roman" w:hAnsi="Times New Roman"/>
          <w:sz w:val="20"/>
        </w:rPr>
        <w:t>организует проведение приемо-сдаточных испытаний, включающих в себя проверку, регулировку, настройку индивидуального оборудования, а также комплексную проверку модернизированной системы оповещения, в процессе которой все параметры оборудования должны соотв</w:t>
      </w:r>
      <w:r>
        <w:rPr>
          <w:rFonts w:ascii="Times New Roman" w:hAnsi="Times New Roman"/>
          <w:sz w:val="20"/>
        </w:rPr>
        <w:t xml:space="preserve">етствовать паспортным. </w:t>
      </w:r>
    </w:p>
    <w:p w14:paraId="90020000">
      <w:pPr>
        <w:widowControl w:val="1"/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p w14:paraId="91020000">
      <w:pPr>
        <w:widowControl w:val="1"/>
        <w:spacing w:line="247" w:lineRule="auto"/>
        <w:ind/>
        <w:jc w:val="both"/>
        <w:rPr>
          <w:rFonts w:ascii="Times New Roman" w:hAnsi="Times New Roman"/>
          <w:b w:val="1"/>
          <w:sz w:val="20"/>
        </w:rPr>
      </w:pPr>
    </w:p>
    <w:p w14:paraId="92020000">
      <w:pPr>
        <w:widowControl w:val="1"/>
        <w:spacing w:line="247" w:lineRule="auto"/>
        <w:ind w:firstLine="425" w:left="-1418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>10. Документы, оформляемые при выполнении работ по созданию единой системы оповещения населения</w:t>
      </w:r>
    </w:p>
    <w:p w14:paraId="93020000">
      <w:pPr>
        <w:widowControl w:val="1"/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 выполнении работ по созданию единой системы оповещения населения предусмотреть оформление следующих документов:</w:t>
      </w:r>
    </w:p>
    <w:p w14:paraId="94020000">
      <w:pPr>
        <w:widowControl w:val="1"/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Акт приёма-пере</w:t>
      </w:r>
      <w:r>
        <w:rPr>
          <w:rFonts w:ascii="Times New Roman" w:hAnsi="Times New Roman"/>
          <w:sz w:val="20"/>
        </w:rPr>
        <w:t xml:space="preserve">дачи смонтированного оборудования; </w:t>
      </w:r>
    </w:p>
    <w:p w14:paraId="95020000">
      <w:pPr>
        <w:widowControl w:val="1"/>
        <w:spacing w:line="247" w:lineRule="auto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Протокол испытаний системы оповещения муниципального уровня;</w:t>
      </w:r>
    </w:p>
    <w:p w14:paraId="96020000">
      <w:pPr>
        <w:widowControl w:val="1"/>
        <w:ind w:firstLine="425" w:left="-1418"/>
        <w:rPr>
          <w:rFonts w:ascii="Times New Roman" w:hAnsi="Times New Roman"/>
          <w:sz w:val="20"/>
        </w:rPr>
      </w:pPr>
    </w:p>
    <w:p w14:paraId="97020000">
      <w:pPr>
        <w:widowControl w:val="1"/>
        <w:ind w:firstLine="425" w:left="-1418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>11. Результаты выполнения работ по объекту</w:t>
      </w:r>
    </w:p>
    <w:p w14:paraId="98020000">
      <w:pPr>
        <w:widowControl w:val="1"/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Результатом выполненных работ является модернизация муниципальной системы оповещения муниципального района програ</w:t>
      </w:r>
      <w:r>
        <w:rPr>
          <w:rFonts w:ascii="Times New Roman" w:hAnsi="Times New Roman"/>
          <w:sz w:val="20"/>
        </w:rPr>
        <w:t>ммно-аппаратно сопряженной с Региональной автоматизированной системой централизованного оповещения Воронежской области построенной на базе оборудования КТСО П-166 (АО «КЗТА»).</w:t>
      </w:r>
    </w:p>
    <w:p w14:paraId="99020000">
      <w:pPr>
        <w:widowControl w:val="1"/>
        <w:ind w:firstLine="425" w:left="-1418"/>
        <w:jc w:val="both"/>
        <w:rPr>
          <w:rFonts w:ascii="Times New Roman" w:hAnsi="Times New Roman"/>
          <w:sz w:val="20"/>
        </w:rPr>
      </w:pPr>
    </w:p>
    <w:p w14:paraId="9A020000">
      <w:pPr>
        <w:widowControl w:val="1"/>
        <w:ind w:firstLine="425" w:left="-1418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>12. Дополнительная информация.</w:t>
      </w:r>
    </w:p>
    <w:p w14:paraId="9B020000">
      <w:pPr>
        <w:widowControl w:val="1"/>
        <w:tabs>
          <w:tab w:leader="none" w:pos="851" w:val="left"/>
        </w:tabs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1. Проектная документация. Проектная</w:t>
      </w:r>
      <w:r>
        <w:rPr>
          <w:rFonts w:ascii="Times New Roman" w:hAnsi="Times New Roman"/>
          <w:sz w:val="20"/>
        </w:rPr>
        <w:t xml:space="preserve"> документация «Реконструкция региональной автоматизированной системы централизованного оповещения населения Воронежской области» от 2022 года, шифр 57/0304/11-22/1-РАСЦО ГЧ-31, том 2, Графическая часть. Технологические решения, Альбом  31.</w:t>
      </w:r>
    </w:p>
    <w:p w14:paraId="9C020000">
      <w:pPr>
        <w:widowControl w:val="1"/>
        <w:tabs>
          <w:tab w:leader="none" w:pos="851" w:val="left"/>
        </w:tabs>
        <w:ind w:firstLine="425" w:left="-14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Проектно-сметная</w:t>
      </w:r>
      <w:r>
        <w:rPr>
          <w:rFonts w:ascii="Times New Roman" w:hAnsi="Times New Roman"/>
          <w:sz w:val="20"/>
        </w:rPr>
        <w:t xml:space="preserve"> документация размещена по следующей ссылке:</w:t>
      </w:r>
    </w:p>
    <w:p w14:paraId="9D020000">
      <w:pPr>
        <w:widowControl w:val="1"/>
        <w:tabs>
          <w:tab w:leader="none" w:pos="851" w:val="left"/>
        </w:tabs>
        <w:ind w:firstLine="425" w:left="-1418"/>
        <w:jc w:val="both"/>
        <w:rPr>
          <w:rStyle w:val="Style_5_ch"/>
        </w:rPr>
      </w:pPr>
      <w:r>
        <w:rPr>
          <w:rStyle w:val="Style_5_ch"/>
        </w:rPr>
        <w:fldChar w:fldCharType="begin"/>
      </w:r>
      <w:r>
        <w:rPr>
          <w:rStyle w:val="Style_5_ch"/>
        </w:rPr>
        <w:instrText>HYPERLINK "https://drive.rt.ru/pbl/efcd3965-a699-11f1-b11a-b026285a8d4e"</w:instrText>
      </w:r>
      <w:r>
        <w:rPr>
          <w:rStyle w:val="Style_5_ch"/>
        </w:rPr>
        <w:fldChar w:fldCharType="separate"/>
      </w:r>
      <w:r>
        <w:rPr>
          <w:rStyle w:val="Style_5_ch"/>
        </w:rPr>
        <w:t>https://drive.rt.ru/pbl/efcd3965-a699-11f1-b11a-b026285a8d4e</w:t>
      </w:r>
      <w:r>
        <w:rPr>
          <w:rStyle w:val="Style_5_ch"/>
        </w:rPr>
        <w:fldChar w:fldCharType="end"/>
      </w:r>
    </w:p>
    <w:p w14:paraId="9E020000">
      <w:pPr>
        <w:widowControl w:val="1"/>
        <w:tabs>
          <w:tab w:leader="none" w:pos="851" w:val="left"/>
        </w:tabs>
        <w:ind w:firstLine="425" w:left="-1418"/>
        <w:jc w:val="both"/>
        <w:rPr>
          <w:rStyle w:val="Style_5_ch"/>
        </w:rPr>
      </w:pPr>
    </w:p>
    <w:p w14:paraId="9F020000">
      <w:pPr>
        <w:widowControl w:val="1"/>
        <w:ind/>
        <w:jc w:val="both"/>
        <w:rPr>
          <w:rFonts w:ascii="Times New Roman" w:hAnsi="Times New Roman"/>
          <w:sz w:val="20"/>
        </w:rPr>
      </w:pPr>
    </w:p>
    <w:p w14:paraId="A0020000">
      <w:pPr>
        <w:widowControl w:val="1"/>
        <w:tabs>
          <w:tab w:leader="none" w:pos="851" w:val="left"/>
        </w:tabs>
        <w:ind w:firstLine="425" w:left="-1418"/>
        <w:jc w:val="both"/>
        <w:rPr>
          <w:rFonts w:ascii="Times New Roman" w:hAnsi="Times New Roman"/>
          <w:sz w:val="20"/>
        </w:rPr>
      </w:pPr>
    </w:p>
    <w:p w14:paraId="A1020000">
      <w:pPr>
        <w:widowControl w:val="1"/>
        <w:tabs>
          <w:tab w:leader="none" w:pos="851" w:val="left"/>
        </w:tabs>
        <w:ind w:firstLine="425" w:left="-1418"/>
        <w:jc w:val="both"/>
      </w:pPr>
    </w:p>
    <w:sectPr>
      <w:headerReference r:id="rId2" w:type="default"/>
      <w:pgSz w:h="16838" w:orient="portrait" w:w="11906"/>
      <w:pgMar w:bottom="964" w:footer="709" w:gutter="0" w:header="454" w:left="1871" w:right="567" w:top="56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14:paraId="04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14:paraId="06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center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widowControl w:val="1"/>
      <w:ind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widowControl w:val="1"/>
      <w:ind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widowControl w:val="1"/>
      <w:ind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5" w:type="paragraph">
    <w:name w:val="Гиперссылка1"/>
    <w:basedOn w:val="Style_10"/>
    <w:link w:val="Style_5_ch"/>
    <w:rPr>
      <w:color w:themeColor="hyperlink" w:val="0000FF"/>
      <w:u w:val="single"/>
    </w:rPr>
  </w:style>
  <w:style w:styleId="Style_5_ch" w:type="character">
    <w:name w:val="Гиперссылка1"/>
    <w:basedOn w:val="Style_10_ch"/>
    <w:link w:val="Style_5"/>
    <w:rPr>
      <w:color w:themeColor="hyperlink" w:val="0000FF"/>
      <w:u w:val="single"/>
    </w:rPr>
  </w:style>
  <w:style w:styleId="Style_11" w:type="paragraph">
    <w:name w:val="toc 7"/>
    <w:next w:val="Style_6"/>
    <w:link w:val="Style_11_ch"/>
    <w:uiPriority w:val="39"/>
    <w:pPr>
      <w:widowControl w:val="1"/>
      <w:ind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0" w:type="paragraph">
    <w:name w:val="Основной шрифт абзаца1"/>
    <w:link w:val="Style_10_ch"/>
  </w:style>
  <w:style w:styleId="Style_10_ch" w:type="character">
    <w:name w:val="Основной шрифт абзаца1"/>
    <w:link w:val="Style_10"/>
  </w:style>
  <w:style w:styleId="Style_12" w:type="paragraph">
    <w:name w:val="Default"/>
    <w:link w:val="Style_12_ch"/>
    <w:pPr>
      <w:widowControl w:val="1"/>
      <w:ind/>
      <w:jc w:val="left"/>
    </w:pPr>
    <w:rPr>
      <w:rFonts w:ascii="PT Astra Serif" w:hAnsi="PT Astra Serif"/>
      <w:sz w:val="24"/>
    </w:rPr>
  </w:style>
  <w:style w:styleId="Style_12_ch" w:type="character">
    <w:name w:val="Default"/>
    <w:link w:val="Style_12"/>
    <w:rPr>
      <w:rFonts w:ascii="PT Astra Serif" w:hAnsi="PT Astra Serif"/>
      <w:sz w:val="24"/>
    </w:rPr>
  </w:style>
  <w:style w:styleId="Style_13" w:type="paragraph">
    <w:name w:val="Обычный1"/>
    <w:link w:val="Style_13_ch"/>
  </w:style>
  <w:style w:styleId="Style_13_ch" w:type="character">
    <w:name w:val="Обычный1"/>
    <w:link w:val="Style_13"/>
  </w:style>
  <w:style w:styleId="Style_14" w:type="paragraph">
    <w:name w:val="Endnote"/>
    <w:link w:val="Style_14_ch"/>
    <w:pPr>
      <w:widowControl w:val="1"/>
      <w:ind w:firstLine="851"/>
      <w:jc w:val="both"/>
    </w:pPr>
    <w:rPr>
      <w:rFonts w:ascii="XO Thames" w:hAnsi="XO Thames"/>
    </w:rPr>
  </w:style>
  <w:style w:styleId="Style_14_ch" w:type="character">
    <w:name w:val="Endnote"/>
    <w:link w:val="Style_14"/>
    <w:rPr>
      <w:rFonts w:ascii="XO Thames" w:hAnsi="XO Thames"/>
    </w:rPr>
  </w:style>
  <w:style w:styleId="Style_15" w:type="paragraph">
    <w:name w:val="heading 3"/>
    <w:next w:val="Style_6"/>
    <w:link w:val="Style_15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List Paragraph"/>
    <w:basedOn w:val="Style_6"/>
    <w:link w:val="Style_16_ch"/>
    <w:pPr>
      <w:widowControl w:val="1"/>
      <w:ind w:left="720"/>
      <w:contextualSpacing w:val="1"/>
    </w:pPr>
  </w:style>
  <w:style w:styleId="Style_16_ch" w:type="character">
    <w:name w:val="List Paragraph"/>
    <w:basedOn w:val="Style_6_ch"/>
    <w:link w:val="Style_16"/>
  </w:style>
  <w:style w:styleId="Style_17" w:type="paragraph">
    <w:name w:val="footer"/>
    <w:basedOn w:val="Style_6"/>
    <w:link w:val="Style_17_ch"/>
    <w:pPr>
      <w:widowControl w:val="1"/>
      <w:tabs>
        <w:tab w:leader="none" w:pos="4677" w:val="center"/>
        <w:tab w:leader="none" w:pos="9355" w:val="right"/>
      </w:tabs>
      <w:ind/>
    </w:pPr>
  </w:style>
  <w:style w:styleId="Style_17_ch" w:type="character">
    <w:name w:val="footer"/>
    <w:basedOn w:val="Style_6_ch"/>
    <w:link w:val="Style_17"/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3"/>
    <w:next w:val="Style_6"/>
    <w:link w:val="Style_19_ch"/>
    <w:uiPriority w:val="39"/>
    <w:pPr>
      <w:widowControl w:val="1"/>
      <w:ind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3" w:type="paragraph">
    <w:name w:val="HTML Preformatted"/>
    <w:basedOn w:val="Style_6"/>
    <w:link w:val="Style_3_ch"/>
    <w:pPr>
      <w:widowControl w:val="1"/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  <w:jc w:val="left"/>
    </w:pPr>
    <w:rPr>
      <w:rFonts w:ascii="Courier New" w:hAnsi="Courier New"/>
      <w:sz w:val="20"/>
    </w:rPr>
  </w:style>
  <w:style w:styleId="Style_3_ch" w:type="character">
    <w:name w:val="HTML Preformatted"/>
    <w:basedOn w:val="Style_6_ch"/>
    <w:link w:val="Style_3"/>
    <w:rPr>
      <w:rFonts w:ascii="Courier New" w:hAnsi="Courier New"/>
      <w:sz w:val="20"/>
    </w:rPr>
  </w:style>
  <w:style w:styleId="Style_20" w:type="paragraph">
    <w:name w:val="heading 5"/>
    <w:next w:val="Style_6"/>
    <w:link w:val="Style_2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20_ch" w:type="character">
    <w:name w:val="heading 5"/>
    <w:link w:val="Style_20"/>
    <w:rPr>
      <w:rFonts w:ascii="XO Thames" w:hAnsi="XO Thames"/>
      <w:b w:val="1"/>
    </w:rPr>
  </w:style>
  <w:style w:styleId="Style_21" w:type="paragraph">
    <w:name w:val="heading 1"/>
    <w:next w:val="Style_6"/>
    <w:link w:val="Style_2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widowControl w:val="1"/>
      <w:ind w:firstLine="851"/>
      <w:jc w:val="both"/>
    </w:pPr>
    <w:rPr>
      <w:rFonts w:ascii="XO Thames" w:hAnsi="XO Thames"/>
    </w:rPr>
  </w:style>
  <w:style w:styleId="Style_23_ch" w:type="character">
    <w:name w:val="Footnote"/>
    <w:link w:val="Style_23"/>
    <w:rPr>
      <w:rFonts w:ascii="XO Thames" w:hAnsi="XO Thames"/>
    </w:rPr>
  </w:style>
  <w:style w:styleId="Style_24" w:type="paragraph">
    <w:name w:val="toc 1"/>
    <w:next w:val="Style_6"/>
    <w:link w:val="Style_24_ch"/>
    <w:uiPriority w:val="39"/>
    <w:pPr>
      <w:widowControl w:val="1"/>
      <w:ind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widowControl w:val="1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1" w:type="paragraph">
    <w:name w:val="header"/>
    <w:basedOn w:val="Style_6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6_ch"/>
    <w:link w:val="Style_1"/>
  </w:style>
  <w:style w:styleId="Style_26" w:type="paragraph">
    <w:name w:val="toc 9"/>
    <w:next w:val="Style_6"/>
    <w:link w:val="Style_26_ch"/>
    <w:uiPriority w:val="39"/>
    <w:pPr>
      <w:widowControl w:val="1"/>
      <w:ind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6"/>
    <w:link w:val="Style_27_ch"/>
    <w:uiPriority w:val="39"/>
    <w:pPr>
      <w:widowControl w:val="1"/>
      <w:ind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toc 5"/>
    <w:next w:val="Style_6"/>
    <w:link w:val="Style_28_ch"/>
    <w:uiPriority w:val="39"/>
    <w:pPr>
      <w:widowControl w:val="1"/>
      <w:ind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Subtitle"/>
    <w:next w:val="Style_6"/>
    <w:link w:val="Style_2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next w:val="Style_6"/>
    <w:link w:val="Style_30_ch"/>
    <w:uiPriority w:val="10"/>
    <w:qFormat/>
    <w:pPr>
      <w:widowControl w:val="1"/>
      <w:spacing w:after="567" w:before="567"/>
      <w:ind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6"/>
    <w:link w:val="Style_3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next w:val="Style_6"/>
    <w:link w:val="Style_3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styleId="Style_2" w:type="table">
    <w:name w:val="Table Grid"/>
    <w:basedOn w:val="Style_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fontTable.xml" Type="http://schemas.openxmlformats.org/officeDocument/2006/relationships/fontTable"/>
  <Relationship Id="rId1" Target="header1.xml" Type="http://schemas.openxmlformats.org/officeDocument/2006/relationships/header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5" Target="settings.xml" Type="http://schemas.openxmlformats.org/officeDocument/2006/relationships/settings"/>
  <Relationship Id="rId3" Target="header3.xml" Type="http://schemas.openxmlformats.org/officeDocument/2006/relationships/header"/>
  <Relationship Id="rId2" Target="header2.xml" Type="http://schemas.openxmlformats.org/officeDocument/2006/relationships/header"/>
  <Relationship Id="rId9" Target="theme/theme1.xml" Type="http://schemas.openxmlformats.org/officeDocument/2006/relationships/theme"/>
  <Relationship Id="rId6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2026-09-02T08:31:00Z</dcterms:created>
  <dcterms:modified xsi:type="dcterms:W3CDTF">2026-09-02T11:28:35Z</dcterms:modified>
</cp:coreProperties>
</file>