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footer7.xml" ContentType="application/vnd.openxmlformats-officedocument.wordprocessingml.foot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er6.xml" ContentType="application/vnd.openxmlformats-officedocument.wordprocessingml.footer+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3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/>
      </w:pPr>
      <w:r>
        <w:rPr>
          <w:rFonts w:eastAsia="Calibri"/>
          <w:sz w:val="26"/>
          <w:szCs w:val="26"/>
        </w:rPr>
        <w:t>«</w:t>
      </w:r>
      <w:r>
        <w:rPr>
          <w:rStyle w:val="Style13"/>
          <w:rFonts w:eastAsia="Calibri"/>
          <w:b w:val="false"/>
          <w:i w:val="false"/>
          <w:color w:val="000000"/>
          <w:sz w:val="26"/>
          <w:szCs w:val="26"/>
          <w:shd w:fill="auto" w:val="clear"/>
        </w:rPr>
        <w:t>ОКПД2 - 86.90.18.000. Психиатрическ</w:t>
      </w:r>
      <w:r>
        <w:rPr>
          <w:rStyle w:val="Style13"/>
          <w:rFonts w:eastAsia="Calibri"/>
          <w:b w:val="false"/>
          <w:i w:val="false"/>
          <w:color w:val="000000"/>
          <w:sz w:val="26"/>
          <w:szCs w:val="26"/>
          <w:shd w:fill="auto" w:val="clear"/>
        </w:rPr>
        <w:t>ое</w:t>
      </w:r>
      <w:r>
        <w:rPr>
          <w:rStyle w:val="Style13"/>
          <w:rFonts w:eastAsia="Calibri"/>
          <w:b w:val="false"/>
          <w:i w:val="false"/>
          <w:color w:val="000000"/>
          <w:sz w:val="26"/>
          <w:szCs w:val="26"/>
          <w:shd w:fill="auto" w:val="clear"/>
        </w:rPr>
        <w:t xml:space="preserve"> освидетельствовани</w:t>
      </w:r>
      <w:r>
        <w:rPr>
          <w:rStyle w:val="Style13"/>
          <w:rFonts w:eastAsia="Calibri"/>
          <w:b w:val="false"/>
          <w:i w:val="false"/>
          <w:color w:val="000000"/>
          <w:sz w:val="26"/>
          <w:szCs w:val="26"/>
          <w:shd w:fill="auto" w:val="clear"/>
        </w:rPr>
        <w:t>е</w:t>
      </w:r>
      <w:r>
        <w:rPr>
          <w:rStyle w:val="Style13"/>
          <w:rFonts w:eastAsia="Calibri"/>
          <w:b w:val="false"/>
          <w:i w:val="false"/>
          <w:color w:val="000000"/>
          <w:sz w:val="26"/>
          <w:szCs w:val="26"/>
          <w:shd w:fill="auto" w:val="clear"/>
        </w:rPr>
        <w:t xml:space="preserve"> работников АО «Сахаэнерго»  </w:t>
      </w:r>
    </w:p>
    <w:p>
      <w:pPr>
        <w:sectPr>
          <w:footerReference w:type="default" r:id="rId2"/>
          <w:type w:val="nextPage"/>
          <w:pgSz w:w="11906" w:h="16838"/>
          <w:pgMar w:left="1134" w:right="850" w:gutter="0" w:header="0" w:top="1135" w:footer="1134" w:bottom="1739"/>
          <w:pgNumType w:start="1" w:fmt="decimal"/>
          <w:formProt w:val="false"/>
          <w:textDirection w:val="lrTb"/>
          <w:docGrid w:type="default" w:linePitch="360" w:charSpace="0"/>
        </w:sectPr>
        <w:pStyle w:val="Normal"/>
        <w:keepNext w:val="true"/>
        <w:keepLines/>
        <w:jc w:val="center"/>
        <w:rPr>
          <w:sz w:val="26"/>
          <w:szCs w:val="26"/>
        </w:rPr>
      </w:pPr>
      <w:bookmarkStart w:id="0" w:name="_GoBack"/>
      <w:r>
        <w:rPr>
          <w:rFonts w:eastAsia="Calibri"/>
          <w:b/>
          <w:bCs/>
          <w:color w:val="000000" w:themeColor="text1"/>
          <w:sz w:val="26"/>
          <w:szCs w:val="26"/>
        </w:rPr>
        <w:t xml:space="preserve">Лот </w:t>
      </w:r>
      <w:bookmarkEnd w:id="0"/>
      <w:r>
        <w:rPr>
          <w:rFonts w:eastAsia="Calibri"/>
          <w:b/>
          <w:bCs/>
          <w:color w:val="000000" w:themeColor="text1"/>
          <w:sz w:val="26"/>
          <w:szCs w:val="26"/>
        </w:rPr>
        <w:t>№</w:t>
      </w:r>
    </w:p>
    <w:p>
      <w:pPr>
        <w:pStyle w:val="ListParagraph"/>
        <w:ind w:left="0" w:hanging="0"/>
        <w:rPr>
          <w:sz w:val="24"/>
          <w:szCs w:val="24"/>
        </w:rPr>
      </w:pPr>
      <w:r>
        <w:rPr>
          <w:b/>
          <w:bCs/>
          <w:sz w:val="24"/>
          <w:szCs w:val="24"/>
        </w:rPr>
        <w:t>1. Общие сведения</w:t>
      </w:r>
    </w:p>
    <w:p>
      <w:pPr>
        <w:pStyle w:val="ListParagrap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ind w:left="0" w:hanging="0"/>
        <w:rPr>
          <w:sz w:val="24"/>
          <w:szCs w:val="24"/>
        </w:rPr>
      </w:pPr>
      <w:r>
        <w:rPr>
          <w:b/>
          <w:bCs/>
          <w:sz w:val="24"/>
          <w:szCs w:val="24"/>
        </w:rPr>
        <w:t>1.1 Наименование закупаемой продукции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Fonts w:eastAsia="Calibri"/>
          <w:color w:val="000000"/>
          <w:sz w:val="24"/>
          <w:szCs w:val="24"/>
        </w:rPr>
        <w:t>«</w:t>
      </w:r>
      <w:r>
        <w:rPr>
          <w:rStyle w:val="Style13"/>
          <w:rFonts w:eastAsia="Calibri"/>
          <w:b w:val="false"/>
          <w:i w:val="false"/>
          <w:color w:val="000000"/>
          <w:sz w:val="24"/>
          <w:szCs w:val="24"/>
          <w:shd w:fill="auto" w:val="clear"/>
        </w:rPr>
        <w:t>ОКПД2 - 86.90.18.000. Психиатрическ</w:t>
      </w:r>
      <w:r>
        <w:rPr>
          <w:rStyle w:val="Style13"/>
          <w:rFonts w:eastAsia="Calibri"/>
          <w:b w:val="false"/>
          <w:i w:val="false"/>
          <w:color w:val="000000"/>
          <w:sz w:val="24"/>
          <w:szCs w:val="24"/>
          <w:shd w:fill="auto" w:val="clear"/>
        </w:rPr>
        <w:t>ое</w:t>
      </w:r>
      <w:r>
        <w:rPr>
          <w:rStyle w:val="Style13"/>
          <w:rFonts w:eastAsia="Calibri"/>
          <w:b w:val="false"/>
          <w:i w:val="false"/>
          <w:color w:val="000000"/>
          <w:sz w:val="24"/>
          <w:szCs w:val="24"/>
          <w:shd w:fill="auto" w:val="clear"/>
        </w:rPr>
        <w:t xml:space="preserve"> освидетельствовани</w:t>
      </w:r>
      <w:r>
        <w:rPr>
          <w:rStyle w:val="Style13"/>
          <w:rFonts w:eastAsia="Calibri"/>
          <w:b w:val="false"/>
          <w:i w:val="false"/>
          <w:color w:val="000000"/>
          <w:sz w:val="24"/>
          <w:szCs w:val="24"/>
          <w:shd w:fill="auto" w:val="clear"/>
        </w:rPr>
        <w:t>е</w:t>
      </w:r>
      <w:r>
        <w:rPr>
          <w:rStyle w:val="Style13"/>
          <w:rFonts w:eastAsia="Calibri"/>
          <w:b w:val="false"/>
          <w:i w:val="false"/>
          <w:color w:val="000000"/>
          <w:sz w:val="24"/>
          <w:szCs w:val="24"/>
          <w:shd w:fill="auto" w:val="clear"/>
        </w:rPr>
        <w:t xml:space="preserve"> работников АО «Сахаэнерго» </w:t>
      </w:r>
    </w:p>
    <w:p>
      <w:pPr>
        <w:pStyle w:val="ListParagraph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ind w:left="0" w:hanging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1.2. Цель оказания услуг</w:t>
      </w:r>
    </w:p>
    <w:p>
      <w:pPr>
        <w:pStyle w:val="ListParagraph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>Цель проведения психиатрического освидетельствования – определить пригодность работника по состоянию психического здоровья к осуществлению отдельных видов деятельности, а также к работе в условиях повышенной опасности, предусмотренных приложением № 2 к приказу Министерства здравоохранения РФ от 20.05.2022 № 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освидетельствование».</w:t>
      </w:r>
      <w:r>
        <w:br w:type="page"/>
      </w:r>
    </w:p>
    <w:p>
      <w:pPr>
        <w:pStyle w:val="Normal"/>
        <w:tabs>
          <w:tab w:val="clear" w:pos="708"/>
          <w:tab w:val="left" w:pos="142" w:leader="none"/>
        </w:tabs>
        <w:spacing w:lineRule="auto" w:line="360"/>
        <w:ind w:left="709" w:hanging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2. Требования к продукции</w:t>
      </w:r>
    </w:p>
    <w:p>
      <w:pPr>
        <w:pStyle w:val="Normal"/>
        <w:tabs>
          <w:tab w:val="clear" w:pos="708"/>
          <w:tab w:val="left" w:pos="142" w:leader="none"/>
        </w:tabs>
        <w:spacing w:lineRule="auto" w: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2.1. Требования к объемам и срокам оказания услуг</w:t>
      </w:r>
    </w:p>
    <w:p>
      <w:pPr>
        <w:pStyle w:val="Normal"/>
        <w:tabs>
          <w:tab w:val="clear" w:pos="708"/>
          <w:tab w:val="left" w:pos="142" w:leader="none"/>
        </w:tabs>
        <w:spacing w:lineRule="auto" w: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2.1.1. Требования к перечню и объему услуг</w:t>
      </w:r>
    </w:p>
    <w:p>
      <w:pPr>
        <w:pStyle w:val="Normal"/>
        <w:tabs>
          <w:tab w:val="clear" w:pos="708"/>
          <w:tab w:val="left" w:pos="142" w:leader="none"/>
        </w:tabs>
        <w:spacing w:lineRule="auto" w: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Таблица 1. Перечень и объем оказываемых услуг</w:t>
      </w:r>
    </w:p>
    <w:tbl>
      <w:tblPr>
        <w:tblW w:w="962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45"/>
        <w:gridCol w:w="3125"/>
        <w:gridCol w:w="1413"/>
        <w:gridCol w:w="4245"/>
      </w:tblGrid>
      <w:tr>
        <w:trPr/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322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rStyle w:val="Style13"/>
                <w:rFonts w:eastAsia="Calibri"/>
                <w:b w:val="false"/>
                <w:i w:val="false"/>
                <w:i w:val="false"/>
                <w:color w:val="000000"/>
                <w:sz w:val="26"/>
                <w:szCs w:val="26"/>
                <w:shd w:fill="auto" w:val="clear"/>
              </w:rPr>
            </w:pPr>
            <w:r>
              <w:rPr>
                <w:rStyle w:val="Style13"/>
                <w:rFonts w:eastAsia="Calibri"/>
                <w:b w:val="false"/>
                <w:i w:val="false"/>
                <w:color w:val="000000"/>
                <w:sz w:val="24"/>
                <w:szCs w:val="24"/>
                <w:shd w:fill="auto" w:val="clear"/>
              </w:rPr>
              <w:t>Психиатрическое освидетельствование работников АО «Сахаэнерго»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2066</w:t>
            </w:r>
          </w:p>
        </w:tc>
      </w:tr>
    </w:tbl>
    <w:p>
      <w:pPr>
        <w:pStyle w:val="Normal"/>
        <w:tabs>
          <w:tab w:val="clear" w:pos="708"/>
          <w:tab w:val="left" w:pos="142" w:leader="none"/>
        </w:tabs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142" w:leader="none"/>
        </w:tabs>
        <w:spacing w:lineRule="auto" w: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2.1.2. Требования к срокам оказания услуг</w:t>
      </w:r>
    </w:p>
    <w:p>
      <w:pPr>
        <w:pStyle w:val="Normal"/>
        <w:tabs>
          <w:tab w:val="clear" w:pos="708"/>
          <w:tab w:val="left" w:pos="142" w:leader="none"/>
        </w:tabs>
        <w:spacing w:lineRule="auto" w: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Таблица 2. Требования к срокам оказания услуг</w:t>
      </w:r>
    </w:p>
    <w:tbl>
      <w:tblPr>
        <w:tblW w:w="949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30"/>
        <w:gridCol w:w="2550"/>
        <w:gridCol w:w="1812"/>
        <w:gridCol w:w="2491"/>
        <w:gridCol w:w="1910"/>
      </w:tblGrid>
      <w:tr>
        <w:trPr/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>
        <w:trPr/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keepNext w:val="false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keepNext w:val="false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keepNext w:val="false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322" w:hRule="atLeast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rStyle w:val="Style13"/>
                <w:rFonts w:eastAsia="Calibri"/>
                <w:b w:val="false"/>
                <w:i w:val="false"/>
                <w:i w:val="false"/>
                <w:color w:val="000000"/>
                <w:sz w:val="26"/>
                <w:szCs w:val="26"/>
                <w:shd w:fill="auto" w:val="clear"/>
              </w:rPr>
            </w:pPr>
            <w:r>
              <w:rPr>
                <w:rStyle w:val="Style13"/>
                <w:rFonts w:eastAsia="Calibri"/>
                <w:b w:val="false"/>
                <w:i w:val="false"/>
                <w:color w:val="000000"/>
                <w:sz w:val="24"/>
                <w:szCs w:val="24"/>
                <w:shd w:fill="auto" w:val="clear"/>
              </w:rPr>
              <w:t>Психиатрическое освидетельствование работников АО «Сахаэнерго»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С даты заключения договора.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Cs/>
                <w:sz w:val="24"/>
                <w:szCs w:val="24"/>
              </w:rPr>
              <w:t>До полного прохождения всеми работниками психиатрического освидетельствования осмотра, но не позднее 12 месяцев после заключения договора.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По заявке Заказчика</w:t>
            </w:r>
          </w:p>
        </w:tc>
      </w:tr>
    </w:tbl>
    <w:p>
      <w:pPr>
        <w:pStyle w:val="Normal"/>
        <w:tabs>
          <w:tab w:val="clear" w:pos="708"/>
          <w:tab w:val="left" w:pos="142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142" w:leader="none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rFonts w:eastAsia="PT Serif"/>
          <w:b/>
          <w:sz w:val="24"/>
          <w:szCs w:val="24"/>
        </w:rPr>
        <w:t>2.1.3. Требования к месту оказания услуг</w:t>
      </w:r>
    </w:p>
    <w:p>
      <w:pPr>
        <w:pStyle w:val="Normal"/>
        <w:rPr>
          <w:rFonts w:eastAsia="PT Serif"/>
          <w:b/>
          <w:sz w:val="24"/>
          <w:szCs w:val="24"/>
        </w:rPr>
      </w:pPr>
      <w:r>
        <w:rPr>
          <w:rFonts w:eastAsia="PT Serif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142" w:leader="none"/>
        </w:tabs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 xml:space="preserve">Услуги должны оказываться: Республика Саха (Якутия), по месту расположению объектов: </w:t>
      </w:r>
    </w:p>
    <w:p>
      <w:pPr>
        <w:pStyle w:val="Normal"/>
        <w:tabs>
          <w:tab w:val="clear" w:pos="708"/>
          <w:tab w:val="left" w:pos="142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573" w:type="dxa"/>
        <w:jc w:val="left"/>
        <w:tblInd w:w="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05"/>
        <w:gridCol w:w="3352"/>
        <w:gridCol w:w="1584"/>
        <w:gridCol w:w="4131"/>
      </w:tblGrid>
      <w:tr>
        <w:trPr>
          <w:tblHeader w:val="true"/>
          <w:trHeight w:val="314" w:hRule="atLeast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Arial"/>
                <w:b w:val="false"/>
                <w:bCs w:val="false"/>
                <w:sz w:val="24"/>
                <w:szCs w:val="24"/>
              </w:rPr>
              <w:t>№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персонала: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Расположение объекта (место оказание услуг)</w:t>
            </w:r>
          </w:p>
        </w:tc>
      </w:tr>
      <w:tr>
        <w:trPr>
          <w:trHeight w:val="256" w:hRule="atLeast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Анабарский РЭС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Анабарский район, п. Саскылах</w:t>
            </w:r>
          </w:p>
        </w:tc>
      </w:tr>
      <w:tr>
        <w:trPr>
          <w:trHeight w:val="256" w:hRule="atLeast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Белогорский РЭС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4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Абыйский район, п. Белая Гора</w:t>
            </w:r>
          </w:p>
        </w:tc>
      </w:tr>
      <w:tr>
        <w:trPr>
          <w:trHeight w:val="256" w:hRule="atLeast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Булунские ЭС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</w:p>
        </w:tc>
        <w:tc>
          <w:tcPr>
            <w:tcW w:w="4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Булунский район, п. Тикси</w:t>
            </w:r>
          </w:p>
        </w:tc>
      </w:tr>
      <w:tr>
        <w:trPr>
          <w:trHeight w:val="256" w:hRule="atLeast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Верхоянские ЭС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4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Верхоянский район, п. Батагай</w:t>
            </w:r>
          </w:p>
        </w:tc>
      </w:tr>
      <w:tr>
        <w:trPr>
          <w:trHeight w:val="256" w:hRule="atLeast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Жиганский РЭС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4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Жиганский район, п. Жиганск</w:t>
            </w:r>
          </w:p>
        </w:tc>
      </w:tr>
      <w:tr>
        <w:trPr>
          <w:trHeight w:val="256" w:hRule="atLeast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Зырянский РЭС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4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Верхнеколымский район, п.Зырянка</w:t>
            </w:r>
          </w:p>
        </w:tc>
      </w:tr>
      <w:tr>
        <w:trPr>
          <w:trHeight w:val="256" w:hRule="atLeast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Исполнительная дирекция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4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Якутск</w:t>
            </w:r>
          </w:p>
        </w:tc>
      </w:tr>
      <w:tr>
        <w:trPr>
          <w:trHeight w:val="256" w:hRule="atLeast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Кобяйские ЭС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</w:p>
        </w:tc>
        <w:tc>
          <w:tcPr>
            <w:tcW w:w="4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Кобяйский район, п. Сангары</w:t>
            </w:r>
          </w:p>
        </w:tc>
      </w:tr>
      <w:tr>
        <w:trPr>
          <w:trHeight w:val="256" w:hRule="atLeast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Момский РЭС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4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Момский район, п. Хонуу</w:t>
            </w:r>
          </w:p>
        </w:tc>
      </w:tr>
      <w:tr>
        <w:trPr>
          <w:trHeight w:val="256" w:hRule="atLeast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3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Нижнеколымский РЭС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4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Нижнеколымский район, п. Черский</w:t>
            </w:r>
          </w:p>
        </w:tc>
      </w:tr>
      <w:tr>
        <w:trPr>
          <w:trHeight w:val="256" w:hRule="atLeast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3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Оймяконский РЭС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4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Оймяконский район, п. Томтор</w:t>
            </w:r>
          </w:p>
        </w:tc>
      </w:tr>
      <w:tr>
        <w:trPr>
          <w:trHeight w:val="256" w:hRule="atLeast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3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Олекминский РЭС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</w:p>
        </w:tc>
        <w:tc>
          <w:tcPr>
            <w:tcW w:w="4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Олекминский район, г. Олекминск</w:t>
            </w:r>
          </w:p>
        </w:tc>
      </w:tr>
      <w:tr>
        <w:trPr>
          <w:trHeight w:val="256" w:hRule="atLeast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3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Оленекский РЭС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4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Оленекский район, п. Оленек</w:t>
            </w:r>
          </w:p>
        </w:tc>
      </w:tr>
      <w:tr>
        <w:trPr>
          <w:trHeight w:val="256" w:hRule="atLeast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3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Производственный центр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212</w:t>
            </w:r>
          </w:p>
        </w:tc>
        <w:tc>
          <w:tcPr>
            <w:tcW w:w="4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Якутск</w:t>
            </w:r>
          </w:p>
        </w:tc>
      </w:tr>
      <w:tr>
        <w:trPr>
          <w:trHeight w:val="256" w:hRule="atLeast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3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Среднеколымский РЭС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4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Среднеколымский район, г. Среднеколымск</w:t>
            </w:r>
          </w:p>
        </w:tc>
      </w:tr>
      <w:tr>
        <w:trPr>
          <w:trHeight w:val="256" w:hRule="atLeast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3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Чокурдахский РЭС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4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Аллайховский район, п. Чокурдах</w:t>
            </w:r>
          </w:p>
        </w:tc>
      </w:tr>
      <w:tr>
        <w:trPr>
          <w:trHeight w:val="256" w:hRule="atLeast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3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Эвено-Бытантайский РЭС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4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Эвено-Бытантайский район, п. Батагай-Алыта</w:t>
            </w:r>
          </w:p>
        </w:tc>
      </w:tr>
      <w:tr>
        <w:trPr>
          <w:trHeight w:val="256" w:hRule="atLeast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3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Янские ЭС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4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Усть-Янский район, п. Депутатский</w:t>
            </w:r>
          </w:p>
        </w:tc>
      </w:tr>
      <w:tr>
        <w:trPr>
          <w:trHeight w:val="256" w:hRule="atLeast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Общее количество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2066</w:t>
            </w:r>
          </w:p>
        </w:tc>
        <w:tc>
          <w:tcPr>
            <w:tcW w:w="4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footerReference w:type="default" r:id="rId3"/>
          <w:footerReference w:type="first" r:id="rId4"/>
          <w:type w:val="nextPage"/>
          <w:pgSz w:w="11906" w:h="16838"/>
          <w:pgMar w:left="1701" w:right="850" w:gutter="0" w:header="0" w:top="1134" w:footer="708" w:bottom="1134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4"/>
        <w:rPr>
          <w:rFonts w:ascii="Times New Roman" w:hAnsi="Times New Roman"/>
          <w:sz w:val="24"/>
          <w:szCs w:val="24"/>
        </w:rPr>
      </w:pPr>
      <w:r>
        <w:rPr>
          <w:rFonts w:eastAsia="PT Serif" w:cs="PT Serif" w:ascii="Times New Roman" w:hAnsi="Times New Roman"/>
          <w:sz w:val="24"/>
          <w:szCs w:val="24"/>
        </w:rPr>
        <w:t>2.2. Требования к качеству услуг</w:t>
      </w:r>
    </w:p>
    <w:p>
      <w:pPr>
        <w:pStyle w:val="Normal"/>
        <w:rPr>
          <w:sz w:val="24"/>
          <w:szCs w:val="24"/>
        </w:rPr>
      </w:pPr>
      <w:r>
        <w:rPr>
          <w:b/>
          <w:bCs/>
          <w:sz w:val="24"/>
          <w:szCs w:val="24"/>
        </w:rPr>
        <w:t>Таблица 3. Требования к качеству услуг</w:t>
      </w:r>
    </w:p>
    <w:p>
      <w:pPr>
        <w:pStyle w:val="Normal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услуг (позиции №1 Таблицы 1 «Перечень и объем оказываемых услуг»): </w:t>
      </w:r>
      <w:r>
        <w:rPr>
          <w:rFonts w:eastAsia="Calibri"/>
          <w:b/>
          <w:bCs/>
          <w:color w:val="000000"/>
          <w:sz w:val="24"/>
          <w:szCs w:val="24"/>
        </w:rPr>
        <w:t>«</w:t>
      </w:r>
      <w:r>
        <w:rPr>
          <w:rStyle w:val="Style13"/>
          <w:rFonts w:eastAsia="Calibri"/>
          <w:b w:val="false"/>
          <w:bCs/>
          <w:i w:val="false"/>
          <w:color w:val="000000"/>
          <w:sz w:val="24"/>
          <w:szCs w:val="24"/>
          <w:shd w:fill="auto" w:val="clear"/>
        </w:rPr>
        <w:t>ОКПД2 - 86.90.18.000.</w:t>
      </w:r>
      <w:r>
        <w:rPr>
          <w:sz w:val="24"/>
          <w:szCs w:val="24"/>
        </w:rPr>
        <w:t xml:space="preserve"> Психиатрическ</w:t>
      </w:r>
      <w:r>
        <w:rPr>
          <w:sz w:val="24"/>
          <w:szCs w:val="24"/>
        </w:rPr>
        <w:t>о</w:t>
      </w:r>
      <w:r>
        <w:rPr>
          <w:sz w:val="24"/>
          <w:szCs w:val="24"/>
        </w:rPr>
        <w:t>е освидетельствовани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 работников АО «Сахаэнерго».</w:t>
      </w:r>
    </w:p>
    <w:p>
      <w:pPr>
        <w:pStyle w:val="Normal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W w:w="14885" w:type="dxa"/>
        <w:jc w:val="left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51"/>
        <w:gridCol w:w="2267"/>
        <w:gridCol w:w="3404"/>
        <w:gridCol w:w="2690"/>
        <w:gridCol w:w="2929"/>
        <w:gridCol w:w="2743"/>
      </w:tblGrid>
      <w:tr>
        <w:trPr/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4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7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bookmarkStart w:id="1" w:name="_Toc53499667"/>
            <w:r>
              <w:rPr>
                <w:b/>
                <w:bCs/>
                <w:sz w:val="24"/>
                <w:szCs w:val="24"/>
              </w:rPr>
              <w:t>1</w:t>
            </w:r>
            <w:bookmarkEnd w:id="1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оказанию услуг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before="0" w:after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требования к оказанию услуг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before="0" w:after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1134" w:leader="none"/>
              </w:tabs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Организация и проведение психиатрического освидетельствования осуществляется в соответствии с частью 4 статьи 65 Федерального закона от 21.11.2011 № 323-ФЗ «Об основах охраны здоровья граждан в Российской Федерации», частью 8 статьи 220 Трудового кодекса Российской Федерации, </w:t>
            </w:r>
            <w:r>
              <w:rPr>
                <w:bCs/>
                <w:spacing w:val="-8"/>
                <w:kern w:val="2"/>
                <w:sz w:val="24"/>
                <w:szCs w:val="24"/>
              </w:rPr>
              <w:t>приказом Министерства здравоохранения Российской Федерации от 20.05.2022 № 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освидетельствование».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Согласие с требованием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before="0" w:after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PT Serif"/>
                <w:bCs/>
                <w:sz w:val="24"/>
                <w:szCs w:val="24"/>
              </w:rPr>
              <w:t>Психиатрическое освидетельствование работника проводится на основании направления выданного Заказчиком.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Согласие с требованием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before="0" w:after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прохождения периодического психиатрического освидетельствования представитель Заказчика составляет поименный список работников на основании утвержденного списка контингентов работников, с указанием вида деятельности, при осуществлении которых проводится  психиатрическое освидетельствование.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Согласие с требованием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before="0" w:after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  <w:lang w:eastAsia="en-US"/>
              </w:rPr>
              <w:t>Освидетельствование работника проводится комиссией врачей-психиатров, создаваемой в соответствии со статьей 6 Закона Российской Федерации от 2 июля 1992 г. N 3185-1 "О психиатрической помощи и гарантиях прав граждан при ее оказании" (далее - Закон) &lt;2&gt; для проведения психиатрического освидетельствования в медицинской организации, имеющей лицензию на осуществление медицинской деятельности с указанием работ (услуг) по психиатрическому освидетельствованию (далее - врачебная комиссия)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Согласие с требованием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before="0" w:after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порядку проведения работ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before="0" w:after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оказываются на территории Исполнителя. Все врачи – специалисты, а также оборудование, процедурные кабинеты, кабинеты функциональной диагностики необходимые для прохождения психиатрического освидетельствования, должны находиться на одной территории Исполнителя.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before="0" w:after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426" w:leader="none"/>
                <w:tab w:val="left" w:pos="993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должны быть оказаны в рабочие дни с понедельника по пятницу с 8-00 до 17-00.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before="0" w:after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  <w:lang w:eastAsia="en-US"/>
              </w:rPr>
              <w:t>Психиатрическое освидетельствование включает: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  <w:lang w:eastAsia="en-US"/>
              </w:rPr>
              <w:t>- прием (осмотр, консультация) врача-психиатра;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  <w:lang w:eastAsia="en-US"/>
              </w:rPr>
              <w:t>- сбор жалоб и анамнеза (объективный и субъективный) в психиатрии;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  <w:lang w:eastAsia="en-US"/>
              </w:rPr>
              <w:t>- психопатологическое обследование.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before="0" w:after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before="0" w:after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3.1.1</w:t>
            </w:r>
          </w:p>
          <w:p>
            <w:pPr>
              <w:pStyle w:val="BodyText"/>
              <w:widowControl w:val="false"/>
              <w:spacing w:before="0" w:after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на каждого работника заключения по его результатам в соответствии с требованиями П</w:t>
            </w:r>
            <w:r>
              <w:rPr>
                <w:bCs/>
                <w:spacing w:val="-8"/>
                <w:kern w:val="2"/>
                <w:sz w:val="24"/>
                <w:szCs w:val="24"/>
              </w:rPr>
              <w:t>риказа Министерства здравоохранения Российской Федерации от 20.05.2022 № 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Согласие с требованием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</w:rPr>
            </w:pPr>
            <w:r>
              <w:rPr>
                <w:rFonts w:eastAsia="Times New Roman"/>
                <w:b w:val="false"/>
              </w:rPr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before="0" w:after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приемке результата оказания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before="0" w:after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3.2.1</w:t>
            </w: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акту об оказании Услуг должен прикладываться Реестр работников АО «Сахаэнерго», прошедших психиатрическое освидетельствование медицинский осмотр.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Согласие с требованием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/>
            </w:pPr>
            <w:r>
              <w:rPr/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before="0" w:after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76" w:before="0" w:after="200"/>
              <w:contextualSpacing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before="0" w:after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должен гарантировать Заказчику проведение медицинского осмотра работников в сроки, определенные настоящим техническим требованием, а также проведение психиатрического освидетельствования персонала, не прошедшего освидетельствование в установленные сроки по уважительной причине (нахождение на листе нетрудоспособности или в отпуске).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Согласие с требованием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/>
            </w:pPr>
            <w:r>
              <w:rPr/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before="0" w:after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Психиатрическое освидетельствование является завершенным в случае осмотра работника всеми врачами-специалистами, а также выполнения полного объема лабораторных и функциональных исследований, предусмотренных  П</w:t>
            </w:r>
            <w:r>
              <w:rPr>
                <w:bCs/>
                <w:spacing w:val="-8"/>
                <w:kern w:val="2"/>
                <w:sz w:val="24"/>
                <w:szCs w:val="24"/>
              </w:rPr>
              <w:t>риказом Министерства здравоохранения Российской Федерации от 20.05.2022 № 342н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Согласие с требованием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/>
            </w:pPr>
            <w:r>
              <w:rPr/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</w:tr>
    </w:tbl>
    <w:p>
      <w:pPr>
        <w:sectPr>
          <w:footerReference w:type="default" r:id="rId5"/>
          <w:footerReference w:type="first" r:id="rId6"/>
          <w:type w:val="nextPage"/>
          <w:pgSz w:orient="landscape" w:w="16838" w:h="11906"/>
          <w:pgMar w:left="1134" w:right="1134" w:gutter="0" w:header="0" w:top="1135" w:footer="708" w:bottom="850"/>
          <w:pgNumType w:start="5" w:fmt="decimal"/>
          <w:formProt w:val="false"/>
          <w:textDirection w:val="lrTb"/>
          <w:docGrid w:type="default" w:linePitch="360" w:charSpace="0"/>
        </w:sectPr>
      </w:pPr>
      <w:r>
        <w:br w:type="page"/>
      </w:r>
    </w:p>
    <w:p>
      <w:pPr>
        <w:pStyle w:val="Heading1"/>
        <w:jc w:val="center"/>
        <w:rPr>
          <w:sz w:val="24"/>
          <w:szCs w:val="24"/>
        </w:rPr>
      </w:pPr>
      <w:r>
        <w:rPr>
          <w:rFonts w:eastAsia="PT Serif" w:cs="Times New Roman" w:ascii="Times New Roman" w:hAnsi="Times New Roman"/>
          <w:b/>
          <w:bCs/>
          <w:sz w:val="24"/>
          <w:szCs w:val="24"/>
        </w:rPr>
        <w:t xml:space="preserve">3. </w:t>
      </w:r>
      <w:bookmarkStart w:id="2" w:name="undefined_Копия_1"/>
      <w:r>
        <w:rPr>
          <w:rFonts w:eastAsia="PT Serif" w:cs="Times New Roman" w:ascii="Times New Roman" w:hAnsi="Times New Roman"/>
          <w:b/>
          <w:bCs/>
          <w:sz w:val="24"/>
          <w:szCs w:val="24"/>
        </w:rPr>
        <w:t>Требования к документации по ценообразованию на этапе закупки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227" w:after="0"/>
        <w:jc w:val="both"/>
        <w:rPr/>
      </w:pPr>
      <w:r>
        <w:rPr>
          <w:rStyle w:val="Style13"/>
          <w:rFonts w:eastAsia="PT Serif"/>
          <w:b w:val="false"/>
          <w:bCs/>
          <w:i w:val="false"/>
          <w:iCs/>
          <w:color w:val="000000"/>
          <w:sz w:val="24"/>
          <w:szCs w:val="24"/>
          <w:shd w:fill="FFFFFF" w:val="clear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  <w:bookmarkEnd w:id="2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227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>
        <w:rPr>
          <w:color w:val="000000"/>
          <w:sz w:val="24"/>
          <w:szCs w:val="24"/>
        </w:rPr>
        <w:t>Дополнительные документы по ценообразованию в состав заявки не включаются.</w:t>
      </w:r>
    </w:p>
    <w:p>
      <w:pPr>
        <w:pStyle w:val="Normal"/>
        <w:jc w:val="center"/>
        <w:rPr>
          <w:sz w:val="26"/>
          <w:szCs w:val="26"/>
        </w:rPr>
      </w:pPr>
      <w:r>
        <w:rPr/>
      </w:r>
    </w:p>
    <w:sectPr>
      <w:footerReference w:type="default" r:id="rId7"/>
      <w:footerReference w:type="first" r:id="rId8"/>
      <w:type w:val="nextPage"/>
      <w:pgSz w:w="11906" w:h="16838"/>
      <w:pgMar w:left="1701" w:right="850" w:gutter="0" w:header="0" w:top="1134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215701951"/>
    </w:sdtPr>
    <w:sdtContent>
      <w:p>
        <w:pPr>
          <w:pStyle w:val="Footer"/>
          <w:jc w:val="center"/>
          <w:rPr/>
        </w:pPr>
        <w:r>
          <w:rPr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713490478"/>
    </w:sdtPr>
    <w:sdtContent>
      <w:p>
        <w:pPr>
          <w:pStyle w:val="Footer"/>
          <w:jc w:val="center"/>
          <w:rPr/>
        </w:pPr>
        <w:r>
          <w:rPr/>
        </w:r>
      </w:p>
      <w:p>
        <w:pPr>
          <w:pStyle w:val="Normal"/>
          <w:rPr/>
        </w:pPr>
        <w:r>
          <w:rPr/>
        </w:r>
      </w:p>
    </w:sdtContent>
  </w:sdt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373322959"/>
    </w:sdtPr>
    <w:sdtContent>
      <w:p>
        <w:pPr>
          <w:pStyle w:val="Footer"/>
          <w:jc w:val="right"/>
          <w:rPr/>
        </w:pPr>
        <w:r>
          <w:rPr/>
        </w:r>
      </w:p>
    </w:sdtContent>
  </w:sdt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1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2" w:customStyle="1">
    <w:name w:val="Выделенная цитата Знак"/>
    <w:link w:val="IntenseQuote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Hyperlink" w:customStyle="1">
    <w:name w:val="Hyperlink"/>
    <w:uiPriority w:val="99"/>
    <w:unhideWhenUsed/>
    <w:rPr>
      <w:color w:val="0000FF" w:themeColor="hyperlink"/>
      <w:u w:val="single"/>
    </w:rPr>
  </w:style>
  <w:style w:type="character" w:styleId="Style3" w:customStyle="1">
    <w:name w:val="Текст сноски Знак"/>
    <w:uiPriority w:val="99"/>
    <w:qFormat/>
    <w:rPr>
      <w:sz w:val="18"/>
    </w:rPr>
  </w:style>
  <w:style w:type="character" w:styleId="Style4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Style5" w:customStyle="1">
    <w:name w:val="Текст концевой сноски Знак"/>
    <w:uiPriority w:val="99"/>
    <w:qFormat/>
    <w:rPr>
      <w:sz w:val="20"/>
    </w:rPr>
  </w:style>
  <w:style w:type="character" w:styleId="Style6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Style7" w:customStyle="1">
    <w:name w:val="Верх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8" w:customStyle="1">
    <w:name w:val="Ниж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9" w:customStyle="1">
    <w:name w:val="Текст примечания Знак"/>
    <w:basedOn w:val="DefaultParagraphFont"/>
    <w:link w:val="Annotationtext"/>
    <w:uiPriority w:val="99"/>
    <w:semiHidden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Style11" w:customStyle="1">
    <w:name w:val="Тема примечания Знак"/>
    <w:basedOn w:val="Style9"/>
    <w:link w:val="Annotationsubject"/>
    <w:uiPriority w:val="99"/>
    <w:semiHidden/>
    <w:qFormat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yle12" w:customStyle="1">
    <w:name w:val="Ссылка указателя"/>
    <w:qFormat/>
    <w:rPr/>
  </w:style>
  <w:style w:type="character" w:styleId="Style13" w:customStyle="1">
    <w:name w:val="комментарий"/>
    <w:qFormat/>
    <w:rPr>
      <w:b/>
      <w:i/>
      <w:shd w:fill="FFFF99" w:val="clear"/>
    </w:rPr>
  </w:style>
  <w:style w:type="character" w:styleId="Style14" w:customStyle="1">
    <w:name w:val="Символ нумерации"/>
    <w:qFormat/>
    <w:rPr/>
  </w:style>
  <w:style w:type="paragraph" w:styleId="Style15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Lohit Devanagari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">
    <w:name w:val="index heading1"/>
    <w:basedOn w:val="Style15"/>
    <w:qFormat/>
    <w:pPr/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next w:val="Normal"/>
    <w:link w:val="Style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1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next w:val="Normal"/>
    <w:link w:val="Style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Caption11" w:customStyle="1">
    <w:name w:val="caption11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val="4F81BD" w:themeColor="accent1"/>
      <w:sz w:val="18"/>
      <w:szCs w:val="18"/>
    </w:rPr>
  </w:style>
  <w:style w:type="paragraph" w:styleId="FootnoteText">
    <w:name w:val="Footnote Text"/>
    <w:basedOn w:val="Normal"/>
    <w:link w:val="Style3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5"/>
    <w:uiPriority w:val="99"/>
    <w:semiHidden/>
    <w:unhideWhenUsed/>
    <w:pPr/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 w:hanging="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 w:hanging="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 w:hanging="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 w:hanging="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 w:hanging="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 w:hanging="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 w:hanging="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 w:hanging="0"/>
    </w:pPr>
    <w:rPr/>
  </w:style>
  <w:style w:type="paragraph" w:styleId="IndexHeading">
    <w:name w:val="Index Heading"/>
    <w:basedOn w:val="Style15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/>
    <w:rPr/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 w:cstheme="minorBidi"/>
      <w:color w:val="auto"/>
      <w:kern w:val="0"/>
      <w:sz w:val="20"/>
      <w:szCs w:val="20"/>
      <w:lang w:val="ru-RU" w:eastAsia="ru-RU" w:bidi="ar-SA"/>
    </w:rPr>
  </w:style>
  <w:style w:type="paragraph" w:styleId="Style71" w:customStyle="1">
    <w:name w:val="Style7"/>
    <w:basedOn w:val="Normal"/>
    <w:uiPriority w:val="99"/>
    <w:qFormat/>
    <w:pPr>
      <w:widowControl w:val="false"/>
    </w:pPr>
    <w:rPr>
      <w:sz w:val="24"/>
      <w:szCs w:val="24"/>
    </w:rPr>
  </w:style>
  <w:style w:type="paragraph" w:styleId="Style17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7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8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Annotationtext">
    <w:name w:val="annotation text"/>
    <w:basedOn w:val="Normal"/>
    <w:link w:val="Style9"/>
    <w:uiPriority w:val="99"/>
    <w:semiHidden/>
    <w:unhideWhenUsed/>
    <w:qFormat/>
    <w:pPr/>
    <w:rPr>
      <w:sz w:val="20"/>
      <w:szCs w:val="20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ConsPlusTitle" w:customStyle="1">
    <w:name w:val="ConsPlusTitle"/>
    <w:uiPriority w:val="99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b/>
      <w:bCs/>
      <w:color w:val="auto"/>
      <w:kern w:val="0"/>
      <w:sz w:val="22"/>
      <w:szCs w:val="22"/>
      <w:lang w:val="ru-RU" w:eastAsia="ru-RU" w:bidi="ar-SA"/>
    </w:rPr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Annotationsubject">
    <w:name w:val="annotation subject"/>
    <w:basedOn w:val="Annotationtext"/>
    <w:next w:val="Annotationtext"/>
    <w:link w:val="Style11"/>
    <w:uiPriority w:val="99"/>
    <w:semiHidden/>
    <w:unhideWhenUsed/>
    <w:qFormat/>
    <w:pPr/>
    <w:rPr>
      <w:b/>
      <w:bCs/>
    </w:rPr>
  </w:style>
  <w:style w:type="paragraph" w:styleId="Style19" w:customStyle="1">
    <w:name w:val="Таблица шапка"/>
    <w:qFormat/>
    <w:pPr>
      <w:keepNext w:val="true"/>
      <w:widowControl/>
      <w:suppressAutoHyphens w:val="true"/>
      <w:bidi w:val="0"/>
      <w:spacing w:before="40" w:after="40"/>
      <w:ind w:left="57" w:right="57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6"/>
      <w:lang w:val="ru-RU" w:eastAsia="ru-RU" w:bidi="ar-SA"/>
    </w:rPr>
  </w:style>
  <w:style w:type="paragraph" w:styleId="11" w:customStyle="1">
    <w:name w:val="Основной текст1"/>
    <w:qFormat/>
    <w:pPr>
      <w:widowControl w:val="false"/>
      <w:shd w:val="clear" w:color="auto" w:fill="FFFFFF"/>
      <w:suppressAutoHyphens w:val="true"/>
      <w:bidi w:val="0"/>
      <w:spacing w:lineRule="auto" w:line="259" w:before="0" w:after="160"/>
      <w:ind w:firstLine="40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0" w:customStyle="1">
    <w:name w:val="Таблица"/>
    <w:qFormat/>
    <w:pPr>
      <w:keepNext w:val="true"/>
      <w:widowControl/>
      <w:suppressAutoHyphens w:val="true"/>
      <w:bidi w:val="0"/>
      <w:spacing w:before="60" w:after="60"/>
      <w:jc w:val="center"/>
    </w:pPr>
    <w:rPr>
      <w:rFonts w:ascii="Times New Roman" w:hAnsi="Times New Roman" w:eastAsia="Calibri" w:cs="Times New Roman" w:eastAsiaTheme="minorHAnsi"/>
      <w:b/>
      <w:color w:val="auto"/>
      <w:kern w:val="0"/>
      <w:sz w:val="24"/>
      <w:szCs w:val="24"/>
      <w:lang w:val="ru-RU" w:eastAsia="ru-RU" w:bidi="ar-SA"/>
    </w:rPr>
  </w:style>
  <w:style w:type="paragraph" w:styleId="Style21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 w:customStyle="1">
    <w:name w:val="Заголовок таблицы"/>
    <w:basedOn w:val="Style21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8392473781" w:customStyle="1">
    <w:name w:val="1839247378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e">
    <w:name w:val="Table Grid"/>
    <w:basedOn w:val="a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Заголовок 1 Знак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">
    <w:name w:val="Заголовок 3 Знак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Заголовок 4 Знак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Заголовок 5 Знак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C0504D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9BBB59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8064A2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b/>
        <w:color w:val="A6BFDD" w:themeColor="accent1" w:themeTint="80" w:themeShade="95"/>
      </w:rPr>
      <w:tblPr/>
    </w:tblStylePr>
    <w:tblStylePr w:type="firstCol">
      <w:rPr>
        <w:b/>
        <w:color w:val="A6BFDD" w:themeColor="accent1" w:themeTint="80" w:themeShade="95"/>
      </w:rPr>
      <w:tblPr/>
    </w:tblStylePr>
    <w:tblStylePr w:type="lastCol">
      <w:rPr>
        <w:b/>
        <w:color w:val="A6BFDD"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C0504D" w:themeColor="accent2" w:sz="12" w:space="0"/>
        </w:tcBorders>
      </w:tcPr>
    </w:tblStylePr>
    <w:tblStylePr w:type="lastRow">
      <w:rPr>
        <w:b/>
        <w:color w:val="D99695" w:themeColor="accent2" w:themeTint="97" w:themeShade="95"/>
      </w:rPr>
      <w:tblPr/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color="9BBB59" w:themeColor="accent3" w:sz="12" w:space="0"/>
        </w:tcBorders>
      </w:tcPr>
    </w:tblStylePr>
    <w:tblStylePr w:type="lastRow">
      <w:rPr>
        <w:b/>
        <w:color w:val="9ABB59" w:themeColor="accent3" w:themeTint="fe" w:themeShade="95"/>
      </w:rPr>
      <w:tblPr/>
    </w:tblStylePr>
    <w:tblStylePr w:type="firstCol">
      <w:rPr>
        <w:b/>
        <w:color w:val="9ABB59" w:themeColor="accent3" w:themeTint="fe" w:themeShade="95"/>
      </w:rPr>
      <w:tblPr/>
    </w:tblStylePr>
    <w:tblStylePr w:type="lastCol">
      <w:rPr>
        <w:b/>
        <w:color w:val="9ABB59"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8064A2" w:themeColor="accent4" w:sz="12" w:space="0"/>
        </w:tcBorders>
      </w:tcPr>
    </w:tblStylePr>
    <w:tblStylePr w:type="lastRow">
      <w:rPr>
        <w:b/>
        <w:color w:val="B2A1C6" w:themeColor="accent4" w:themeTint="9a" w:themeShade="95"/>
      </w:rPr>
      <w:tblPr/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0504D" w:themeColor="accent2" w:sz="4" w:space="0"/>
          <w:bottom w:val="single" w:color="C0504D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9BBB59" w:themeColor="accent3" w:sz="4" w:space="0"/>
          <w:bottom w:val="single" w:color="9BBB59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8064A2" w:themeColor="accent4" w:sz="4" w:space="0"/>
          <w:bottom w:val="single" w:color="8064A2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BACC6" w:themeColor="accent5" w:sz="4" w:space="0"/>
          <w:bottom w:val="single" w:color="4BACC6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79646" w:themeColor="accent6" w:sz="4" w:space="0"/>
          <w:bottom w:val="single" w:color="F79646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C0504D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0504D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0504D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9BBB59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9BBB59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BB59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8064A2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8064A2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8064A2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4BACC6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BACC6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BACC6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F79646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79646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79646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A71" w:themeColor="accent1" w:themeShade="95"/>
      </w:rPr>
      <w:tblPr/>
    </w:tblStylePr>
    <w:tblStylePr w:type="lastCol">
      <w:rPr>
        <w:b/>
        <w:color w:val="2A4A71"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C0504D" w:themeColor="accent2" w:sz="4" w:space="0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color="C0504D" w:themeColor="accent2" w:sz="4" w:space="0"/>
        </w:tcBorders>
      </w:tcPr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color="9BBB59" w:themeColor="accent3" w:sz="4" w:space="0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color="9BBB59" w:themeColor="accent3" w:sz="4" w:space="0"/>
        </w:tcBorders>
      </w:tcPr>
    </w:tblStylePr>
    <w:tblStylePr w:type="firstCol">
      <w:rPr>
        <w:b/>
        <w:color w:val="C3D69B" w:themeColor="accent3" w:themeTint="98" w:themeShade="95"/>
      </w:rPr>
      <w:tblPr/>
    </w:tblStylePr>
    <w:tblStylePr w:type="lastCol">
      <w:rPr>
        <w:b/>
        <w:color w:val="C3D69B"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8064A2" w:themeColor="accent4" w:sz="4" w:space="0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color="8064A2" w:themeColor="accent4" w:sz="4" w:space="0"/>
        </w:tcBorders>
      </w:tcPr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color="4BACC6" w:themeColor="accent5" w:sz="4" w:space="0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92CCDC" w:themeColor="accent5" w:themeTint="9a" w:themeShade="95"/>
      </w:rPr>
      <w:tblPr/>
    </w:tblStylePr>
    <w:tblStylePr w:type="lastCol">
      <w:rPr>
        <w:b/>
        <w:color w:val="92CCDC"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color="F79646" w:themeColor="accent6" w:sz="4" w:space="0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FAC090" w:themeColor="accent6" w:themeTint="98" w:themeShade="95"/>
      </w:rPr>
      <w:tblPr/>
    </w:tblStylePr>
    <w:tblStylePr w:type="lastCol">
      <w:rPr>
        <w:b/>
        <w:color w:val="FAC090"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C0504D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C0504D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C0504D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9BBB59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9BBB59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9BBB59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8064A2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8064A2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8064A2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BACC6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BACC6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79646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79646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56C97-B28E-448A-BB5D-412EC3697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Application>AlterOffice/3.4.0.8$Linux_X86_64 LibreOffice_project/8f3f3c847f0b8d6fea24e251d3d8ed4f23cbe23c</Application>
  <AppVersion>15.0000</AppVersion>
  <Pages>9</Pages>
  <Words>941</Words>
  <Characters>6681</Characters>
  <CharactersWithSpaces>7421</CharactersWithSpaces>
  <Paragraphs>209</Paragraphs>
  <Company>Geotherm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2024-11-05T23:12:00Z</dcterms:created>
  <dc:creator>Бударгина Ольга Валерьевна</dc:creator>
  <dc:description/>
  <dc:language>ru-RU</dc:language>
  <cp:lastModifiedBy/>
  <dcterms:modified xsi:type="dcterms:W3CDTF">2026-09-03T09:37:06Z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