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Cs/>
          <w:sz w:val="24"/>
          <w:szCs w:val="26"/>
        </w:rPr>
      </w:pPr>
      <w:r>
        <w:rPr/>
      </w:r>
      <w:bookmarkStart w:id="0" w:name="_Toc50125131"/>
      <w:bookmarkStart w:id="1" w:name="_Toc50125131"/>
      <w:bookmarkEnd w:id="1"/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eastAsia="Calibri"/>
          <w:b/>
          <w:sz w:val="32"/>
          <w:szCs w:val="24"/>
        </w:rPr>
      </w:pPr>
      <w:r>
        <w:rPr>
          <w:rFonts w:eastAsia="Calibri"/>
          <w:b/>
          <w:szCs w:val="24"/>
        </w:rPr>
        <w:t>Технические требования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на поставку Комплектных трансформаторных подстанций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eastAsia="Calibri"/>
          <w:b/>
          <w:sz w:val="28"/>
          <w:szCs w:val="24"/>
        </w:rPr>
      </w:pPr>
      <w:r>
        <w:rPr>
          <w:rFonts w:eastAsia="Calibri"/>
          <w:b/>
          <w:sz w:val="28"/>
          <w:szCs w:val="24"/>
        </w:rPr>
        <w:t>«ОКПД2 27.11.43.000. Поставка комплектных трансформаторных подстанций для Центральных электрических сетей в части исполнения обязательств по технологическому присоединению к электрическим сетям в рамках реализации инвестиционных проектов Г3»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eastAsia="Calibri"/>
          <w:b/>
          <w:szCs w:val="24"/>
        </w:rPr>
      </w:pPr>
      <w:r>
        <w:rPr/>
      </w:r>
    </w:p>
    <w:p>
      <w:pPr>
        <w:pStyle w:val="Normal"/>
        <w:keepNext w:val="true"/>
        <w:keepLines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tabs>
          <w:tab w:val="clear" w:pos="708"/>
          <w:tab w:val="left" w:pos="560" w:leader="none"/>
          <w:tab w:val="right" w:pos="9911" w:leader="dot"/>
        </w:tabs>
        <w:spacing w:before="120" w:after="0"/>
        <w:rPr>
          <w:bCs/>
          <w:sz w:val="24"/>
          <w:szCs w:val="24"/>
        </w:rPr>
      </w:pPr>
      <w:r>
        <w:rPr>
          <w:bCs/>
          <w:sz w:val="24"/>
          <w:szCs w:val="24"/>
        </w:rPr>
        <w:t>1.</w:t>
        <w:tab/>
      </w:r>
      <w:r>
        <w:rPr>
          <w:b/>
          <w:bCs/>
          <w:sz w:val="24"/>
          <w:szCs w:val="24"/>
        </w:rPr>
        <w:t>Общие сведения</w:t>
      </w:r>
      <w:r>
        <w:rPr>
          <w:bCs/>
          <w:sz w:val="24"/>
          <w:szCs w:val="24"/>
        </w:rPr>
        <w:tab/>
        <w:t>3</w:t>
      </w:r>
    </w:p>
    <w:p>
      <w:pPr>
        <w:pStyle w:val="Normal"/>
        <w:tabs>
          <w:tab w:val="clear" w:pos="708"/>
          <w:tab w:val="left" w:pos="560" w:leader="none"/>
          <w:tab w:val="right" w:pos="9911" w:leader="dot"/>
        </w:tabs>
        <w:spacing w:before="120" w:after="0"/>
        <w:rPr>
          <w:bCs/>
          <w:sz w:val="24"/>
          <w:szCs w:val="24"/>
        </w:rPr>
      </w:pPr>
      <w:r>
        <w:rPr>
          <w:bCs/>
          <w:sz w:val="24"/>
          <w:szCs w:val="24"/>
        </w:rPr>
        <w:t>1.1.</w:t>
        <w:tab/>
        <w:t>Обозначения и сокращения</w:t>
        <w:tab/>
        <w:t>3</w:t>
      </w:r>
    </w:p>
    <w:p>
      <w:pPr>
        <w:pStyle w:val="Normal"/>
        <w:tabs>
          <w:tab w:val="clear" w:pos="708"/>
          <w:tab w:val="left" w:pos="560" w:leader="none"/>
          <w:tab w:val="right" w:pos="9911" w:leader="dot"/>
        </w:tabs>
        <w:spacing w:before="120" w:after="0"/>
        <w:rPr>
          <w:bCs/>
          <w:sz w:val="24"/>
          <w:szCs w:val="24"/>
        </w:rPr>
      </w:pPr>
      <w:r>
        <w:rPr>
          <w:bCs/>
          <w:sz w:val="24"/>
          <w:szCs w:val="24"/>
        </w:rPr>
        <w:t>1.2.</w:t>
        <w:tab/>
        <w:t>Наименование закупаемой продукции</w:t>
        <w:tab/>
        <w:t>4</w:t>
      </w:r>
    </w:p>
    <w:p>
      <w:pPr>
        <w:pStyle w:val="Normal"/>
        <w:tabs>
          <w:tab w:val="clear" w:pos="708"/>
          <w:tab w:val="left" w:pos="560" w:leader="none"/>
          <w:tab w:val="right" w:pos="9911" w:leader="dot"/>
        </w:tabs>
        <w:spacing w:before="120" w:after="0"/>
        <w:rPr>
          <w:bCs/>
          <w:sz w:val="24"/>
          <w:szCs w:val="24"/>
        </w:rPr>
      </w:pPr>
      <w:r>
        <w:rPr>
          <w:bCs/>
          <w:sz w:val="24"/>
          <w:szCs w:val="24"/>
        </w:rPr>
        <w:t>1.3.</w:t>
        <w:tab/>
        <w:t>Цель использования закупаемой продукции</w:t>
        <w:tab/>
        <w:t>4</w:t>
      </w:r>
    </w:p>
    <w:p>
      <w:pPr>
        <w:pStyle w:val="Normal"/>
        <w:tabs>
          <w:tab w:val="clear" w:pos="708"/>
          <w:tab w:val="left" w:pos="560" w:leader="none"/>
          <w:tab w:val="right" w:pos="9911" w:leader="dot"/>
        </w:tabs>
        <w:spacing w:before="120" w:after="0"/>
        <w:rPr>
          <w:bCs/>
          <w:sz w:val="24"/>
          <w:szCs w:val="24"/>
        </w:rPr>
      </w:pPr>
      <w:r>
        <w:rPr>
          <w:bCs/>
          <w:sz w:val="24"/>
          <w:szCs w:val="24"/>
        </w:rPr>
        <w:t>2.</w:t>
        <w:tab/>
      </w:r>
      <w:r>
        <w:rPr>
          <w:b/>
          <w:bCs/>
          <w:sz w:val="24"/>
          <w:szCs w:val="24"/>
        </w:rPr>
        <w:t>Требования к продукции</w:t>
      </w:r>
      <w:r>
        <w:rPr>
          <w:bCs/>
          <w:sz w:val="24"/>
          <w:szCs w:val="24"/>
        </w:rPr>
        <w:tab/>
        <w:t>4</w:t>
      </w:r>
    </w:p>
    <w:p>
      <w:pPr>
        <w:pStyle w:val="Normal"/>
        <w:tabs>
          <w:tab w:val="clear" w:pos="708"/>
          <w:tab w:val="left" w:pos="560" w:leader="none"/>
          <w:tab w:val="right" w:pos="9911" w:leader="dot"/>
        </w:tabs>
        <w:spacing w:before="120" w:after="0"/>
        <w:rPr>
          <w:bCs/>
          <w:sz w:val="24"/>
          <w:szCs w:val="24"/>
        </w:rPr>
      </w:pPr>
      <w:r>
        <w:rPr>
          <w:bCs/>
          <w:sz w:val="24"/>
          <w:szCs w:val="24"/>
        </w:rPr>
        <w:t>2.1.</w:t>
        <w:tab/>
        <w:t>Требования к объемам и срокам поставки</w:t>
        <w:tab/>
        <w:t>4</w:t>
      </w:r>
    </w:p>
    <w:p>
      <w:pPr>
        <w:pStyle w:val="Normal"/>
        <w:tabs>
          <w:tab w:val="clear" w:pos="708"/>
          <w:tab w:val="left" w:pos="560" w:leader="none"/>
          <w:tab w:val="right" w:pos="9911" w:leader="dot"/>
        </w:tabs>
        <w:spacing w:before="120" w:after="0"/>
        <w:rPr>
          <w:bCs/>
          <w:sz w:val="24"/>
          <w:szCs w:val="24"/>
        </w:rPr>
      </w:pPr>
      <w:r>
        <w:rPr>
          <w:bCs/>
          <w:sz w:val="24"/>
          <w:szCs w:val="24"/>
        </w:rPr>
        <w:t>2.1.1.</w:t>
        <w:tab/>
        <w:t>Перечень и объем закупаемой продукции</w:t>
        <w:tab/>
        <w:t>4</w:t>
      </w:r>
    </w:p>
    <w:p>
      <w:pPr>
        <w:pStyle w:val="Normal"/>
        <w:tabs>
          <w:tab w:val="clear" w:pos="708"/>
          <w:tab w:val="left" w:pos="560" w:leader="none"/>
          <w:tab w:val="right" w:pos="9911" w:leader="dot"/>
        </w:tabs>
        <w:spacing w:before="120" w:after="0"/>
        <w:rPr>
          <w:bCs/>
          <w:sz w:val="24"/>
          <w:szCs w:val="24"/>
        </w:rPr>
      </w:pPr>
      <w:r>
        <w:rPr>
          <w:bCs/>
          <w:sz w:val="24"/>
          <w:szCs w:val="24"/>
        </w:rPr>
        <w:t>Таблица 1. Перечень и объем закупаемой продукции</w:t>
        <w:tab/>
        <w:t>4</w:t>
      </w:r>
    </w:p>
    <w:p>
      <w:pPr>
        <w:pStyle w:val="Normal"/>
        <w:tabs>
          <w:tab w:val="clear" w:pos="708"/>
          <w:tab w:val="left" w:pos="560" w:leader="none"/>
          <w:tab w:val="right" w:pos="9911" w:leader="dot"/>
        </w:tabs>
        <w:spacing w:before="120" w:after="0"/>
        <w:rPr>
          <w:bCs/>
          <w:sz w:val="24"/>
          <w:szCs w:val="24"/>
        </w:rPr>
      </w:pPr>
      <w:r>
        <w:rPr>
          <w:bCs/>
          <w:sz w:val="24"/>
          <w:szCs w:val="24"/>
        </w:rPr>
        <w:t>2.1.2.</w:t>
        <w:tab/>
        <w:t xml:space="preserve">Требования к срокам поставки продукции </w:t>
        <w:tab/>
        <w:t>5</w:t>
      </w:r>
    </w:p>
    <w:p>
      <w:pPr>
        <w:pStyle w:val="Normal"/>
        <w:tabs>
          <w:tab w:val="clear" w:pos="708"/>
          <w:tab w:val="left" w:pos="560" w:leader="none"/>
          <w:tab w:val="right" w:pos="9911" w:leader="dot"/>
        </w:tabs>
        <w:spacing w:before="120" w:after="0"/>
        <w:rPr>
          <w:bCs/>
          <w:sz w:val="24"/>
          <w:szCs w:val="24"/>
        </w:rPr>
      </w:pPr>
      <w:r>
        <w:rPr>
          <w:bCs/>
          <w:sz w:val="24"/>
          <w:szCs w:val="24"/>
        </w:rPr>
        <w:t>Таблица 2. Требования по срокам поставки продукции</w:t>
        <w:tab/>
        <w:t>5</w:t>
      </w:r>
    </w:p>
    <w:p>
      <w:pPr>
        <w:pStyle w:val="Normal"/>
        <w:tabs>
          <w:tab w:val="clear" w:pos="708"/>
          <w:tab w:val="left" w:pos="560" w:leader="none"/>
          <w:tab w:val="right" w:pos="9911" w:leader="dot"/>
        </w:tabs>
        <w:spacing w:before="120" w:after="0"/>
        <w:rPr>
          <w:bCs/>
          <w:sz w:val="24"/>
          <w:szCs w:val="24"/>
        </w:rPr>
      </w:pPr>
      <w:r>
        <w:rPr>
          <w:bCs/>
          <w:sz w:val="24"/>
          <w:szCs w:val="24"/>
        </w:rPr>
        <w:t>2.2.</w:t>
        <w:tab/>
        <w:t>Требования к качеству продукции</w:t>
        <w:tab/>
        <w:t>7</w:t>
      </w:r>
    </w:p>
    <w:p>
      <w:pPr>
        <w:pStyle w:val="Normal"/>
        <w:tabs>
          <w:tab w:val="clear" w:pos="708"/>
          <w:tab w:val="left" w:pos="560" w:leader="none"/>
          <w:tab w:val="right" w:pos="9911" w:leader="dot"/>
        </w:tabs>
        <w:spacing w:before="120" w:after="0"/>
        <w:rPr>
          <w:bCs/>
          <w:sz w:val="24"/>
          <w:szCs w:val="24"/>
        </w:rPr>
      </w:pPr>
      <w:r>
        <w:rPr>
          <w:bCs/>
          <w:sz w:val="24"/>
          <w:szCs w:val="24"/>
        </w:rPr>
        <w:t>Таблица 3. Требования к продукции…………………………………………………………….</w:t>
        <w:tab/>
        <w:t>7</w:t>
      </w:r>
    </w:p>
    <w:p>
      <w:pPr>
        <w:pStyle w:val="Normal"/>
        <w:tabs>
          <w:tab w:val="clear" w:pos="708"/>
          <w:tab w:val="left" w:pos="560" w:leader="none"/>
          <w:tab w:val="right" w:pos="9911" w:leader="dot"/>
        </w:tabs>
        <w:spacing w:before="120" w:after="0"/>
        <w:rPr>
          <w:bCs/>
          <w:sz w:val="24"/>
          <w:szCs w:val="24"/>
        </w:rPr>
      </w:pPr>
      <w:r>
        <w:rPr>
          <w:bCs/>
          <w:sz w:val="24"/>
          <w:szCs w:val="24"/>
        </w:rPr>
        <w:t>3.</w:t>
        <w:tab/>
      </w:r>
      <w:r>
        <w:rPr>
          <w:b/>
          <w:bCs/>
          <w:sz w:val="24"/>
          <w:szCs w:val="24"/>
        </w:rPr>
        <w:t>Требования к документам, предоставляемым в составе заявки участника</w:t>
      </w:r>
      <w:r>
        <w:rPr>
          <w:bCs/>
          <w:sz w:val="24"/>
          <w:szCs w:val="24"/>
        </w:rPr>
        <w:tab/>
        <w:t>11</w:t>
      </w:r>
    </w:p>
    <w:p>
      <w:pPr>
        <w:pStyle w:val="Normal"/>
        <w:tabs>
          <w:tab w:val="clear" w:pos="708"/>
          <w:tab w:val="left" w:pos="560" w:leader="none"/>
          <w:tab w:val="right" w:pos="9911" w:leader="dot"/>
        </w:tabs>
        <w:spacing w:before="120" w:after="0"/>
        <w:rPr>
          <w:bCs/>
          <w:sz w:val="24"/>
          <w:szCs w:val="24"/>
        </w:rPr>
      </w:pPr>
      <w:r>
        <w:rPr>
          <w:bCs/>
          <w:sz w:val="24"/>
          <w:szCs w:val="24"/>
        </w:rPr>
        <w:t>4.</w:t>
        <w:tab/>
      </w:r>
      <w:r>
        <w:rPr>
          <w:b/>
          <w:bCs/>
          <w:sz w:val="24"/>
          <w:szCs w:val="24"/>
        </w:rPr>
        <w:t>Требования к документации по ценообразованию на этапе закупки</w:t>
      </w:r>
      <w:r>
        <w:rPr>
          <w:bCs/>
          <w:sz w:val="24"/>
          <w:szCs w:val="24"/>
        </w:rPr>
        <w:tab/>
        <w:t>13</w:t>
      </w:r>
    </w:p>
    <w:p>
      <w:pPr>
        <w:pStyle w:val="Normal"/>
        <w:tabs>
          <w:tab w:val="clear" w:pos="708"/>
          <w:tab w:val="left" w:pos="560" w:leader="none"/>
          <w:tab w:val="right" w:pos="9911" w:leader="dot"/>
        </w:tabs>
        <w:spacing w:before="120" w:after="0"/>
        <w:rPr>
          <w:bCs/>
          <w:sz w:val="24"/>
          <w:szCs w:val="24"/>
        </w:rPr>
      </w:pPr>
      <w:r>
        <w:rPr>
          <w:bCs/>
          <w:sz w:val="24"/>
          <w:szCs w:val="24"/>
          <w:lang w:val="en-US"/>
        </w:rPr>
        <w:t>5</w:t>
      </w:r>
      <w:r>
        <w:rPr>
          <w:bCs/>
          <w:sz w:val="24"/>
          <w:szCs w:val="24"/>
        </w:rPr>
        <w:t>.</w:t>
        <w:tab/>
      </w:r>
      <w:r>
        <w:rPr>
          <w:b/>
          <w:bCs/>
          <w:sz w:val="24"/>
          <w:szCs w:val="24"/>
        </w:rPr>
        <w:t>Приложения</w:t>
      </w:r>
      <w:r>
        <w:rPr>
          <w:bCs/>
          <w:sz w:val="24"/>
          <w:szCs w:val="24"/>
        </w:rPr>
        <w:tab/>
        <w:t>13</w:t>
      </w:r>
    </w:p>
    <w:p>
      <w:pPr>
        <w:pStyle w:val="Normal"/>
        <w:tabs>
          <w:tab w:val="clear" w:pos="708"/>
          <w:tab w:val="left" w:pos="560" w:leader="none"/>
          <w:tab w:val="right" w:pos="9911" w:leader="dot"/>
        </w:tabs>
        <w:spacing w:before="120" w:after="0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Heading2"/>
        <w:numPr>
          <w:ilvl w:val="0"/>
          <w:numId w:val="0"/>
        </w:numPr>
        <w:ind w:left="0" w:hanging="0"/>
        <w:rPr>
          <w:b w:val="false"/>
          <w:lang w:val="ru-RU"/>
        </w:rPr>
      </w:pPr>
      <w:r>
        <w:rPr>
          <w:b w:val="false"/>
          <w:lang w:val="ru-RU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  <w:r>
        <w:br w:type="page"/>
      </w:r>
    </w:p>
    <w:p>
      <w:pPr>
        <w:pStyle w:val="Normal"/>
        <w:keepNext w:val="true"/>
        <w:keepLines/>
        <w:numPr>
          <w:ilvl w:val="0"/>
          <w:numId w:val="7"/>
        </w:numPr>
        <w:suppressAutoHyphens w:val="true"/>
        <w:spacing w:before="120" w:after="60"/>
        <w:ind w:left="357" w:hanging="357"/>
        <w:jc w:val="center"/>
        <w:outlineLvl w:val="0"/>
        <w:rPr>
          <w:rFonts w:eastAsia="Calibri"/>
          <w:b/>
          <w:caps/>
          <w:sz w:val="24"/>
          <w:szCs w:val="24"/>
          <w:lang w:eastAsia="x-none"/>
        </w:rPr>
      </w:pPr>
      <w:bookmarkStart w:id="2" w:name="_Toc135474668"/>
      <w:r>
        <w:rPr>
          <w:rFonts w:eastAsia="Calibri"/>
          <w:b/>
          <w:sz w:val="24"/>
          <w:szCs w:val="24"/>
          <w:lang w:eastAsia="x-none"/>
        </w:rPr>
        <w:t>Общие сведения</w:t>
      </w:r>
      <w:bookmarkEnd w:id="2"/>
    </w:p>
    <w:p>
      <w:pPr>
        <w:pStyle w:val="Normal"/>
        <w:keepNext w:val="true"/>
        <w:numPr>
          <w:ilvl w:val="1"/>
          <w:numId w:val="7"/>
        </w:numPr>
        <w:suppressAutoHyphens w:val="true"/>
        <w:spacing w:before="120" w:after="60"/>
        <w:outlineLvl w:val="3"/>
        <w:rPr>
          <w:rFonts w:eastAsia="Calibri"/>
          <w:b/>
          <w:bCs/>
          <w:sz w:val="24"/>
          <w:szCs w:val="24"/>
          <w:lang w:val="x-none" w:eastAsia="x-none"/>
        </w:rPr>
      </w:pPr>
      <w:bookmarkStart w:id="3" w:name="_Toc135474669"/>
      <w:bookmarkStart w:id="4" w:name="_Toc46743505"/>
      <w:bookmarkStart w:id="5" w:name="_Toc75446567"/>
      <w:bookmarkStart w:id="6" w:name="_Toc133243565"/>
      <w:bookmarkStart w:id="7" w:name="_Toc133498440"/>
      <w:bookmarkStart w:id="8" w:name="_Toc133498693"/>
      <w:bookmarkStart w:id="9" w:name="_Toc133499033"/>
      <w:bookmarkStart w:id="10" w:name="_Toc133586901"/>
      <w:r>
        <w:rPr>
          <w:rFonts w:eastAsia="Calibri"/>
          <w:b/>
          <w:bCs/>
          <w:sz w:val="24"/>
          <w:szCs w:val="24"/>
          <w:lang w:val="x-none" w:eastAsia="x-none"/>
        </w:rPr>
        <w:t>Обозначения и сокращения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</w:p>
    <w:p>
      <w:pPr>
        <w:pStyle w:val="Normal"/>
        <w:suppressAutoHyphens w:val="true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БКТП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bCs/>
                <w:iCs/>
                <w:sz w:val="24"/>
                <w:szCs w:val="24"/>
              </w:rPr>
            </w:pPr>
            <w:r>
              <w:rPr>
                <w:iCs/>
                <w:color w:val="111111"/>
                <w:sz w:val="24"/>
                <w:szCs w:val="24"/>
              </w:rPr>
              <w:t>блочная комплектная трансформаторная подстанция;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ВН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bCs/>
                <w:iCs/>
                <w:sz w:val="24"/>
                <w:szCs w:val="24"/>
              </w:rPr>
            </w:pPr>
            <w:r>
              <w:rPr>
                <w:iCs/>
                <w:color w:val="111111"/>
                <w:sz w:val="24"/>
                <w:szCs w:val="24"/>
              </w:rPr>
              <w:t>высокое напряжение;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bCs/>
                <w:sz w:val="24"/>
                <w:szCs w:val="24"/>
                <w:shd w:fill="FFFFFF" w:val="clear"/>
                <w:lang w:val="en-US"/>
              </w:rPr>
            </w:pPr>
            <w:r>
              <w:rPr>
                <w:iCs/>
                <w:sz w:val="24"/>
                <w:szCs w:val="24"/>
              </w:rPr>
              <w:t>ГКПЗ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bCs/>
                <w:iCs/>
                <w:sz w:val="24"/>
                <w:szCs w:val="24"/>
                <w:shd w:fill="FFFFFF" w:val="clear"/>
                <w:lang w:val="en-US"/>
              </w:rPr>
            </w:pPr>
            <w:r>
              <w:rPr>
                <w:iCs/>
                <w:sz w:val="24"/>
                <w:szCs w:val="24"/>
              </w:rPr>
              <w:t xml:space="preserve">годовая комплексная программа закупок; 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bCs/>
                <w:sz w:val="24"/>
                <w:szCs w:val="24"/>
                <w:shd w:fill="FFFFFF" w:val="clear"/>
              </w:rPr>
            </w:pPr>
            <w:r>
              <w:rPr>
                <w:iCs/>
                <w:sz w:val="24"/>
                <w:szCs w:val="24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bCs/>
                <w:iCs/>
                <w:sz w:val="24"/>
                <w:szCs w:val="24"/>
                <w:shd w:fill="FFFFFF" w:val="clear"/>
              </w:rPr>
            </w:pPr>
            <w:r>
              <w:rPr>
                <w:iCs/>
                <w:sz w:val="24"/>
                <w:szCs w:val="24"/>
              </w:rPr>
              <w:t>государственный стандарт;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60"/>
              <w:rPr>
                <w:rFonts w:eastAsia="Calibri"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ЗИП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60"/>
              <w:rPr>
                <w:iCs/>
                <w:color w:val="111111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запасные части, инструмент и принадлежности;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bCs/>
                <w:sz w:val="24"/>
                <w:szCs w:val="24"/>
                <w:shd w:fill="FFFFFF" w:val="clear"/>
              </w:rPr>
            </w:pPr>
            <w:r>
              <w:rPr>
                <w:iCs/>
                <w:sz w:val="24"/>
                <w:szCs w:val="24"/>
              </w:rPr>
              <w:t>КЗ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bCs/>
                <w:iCs/>
                <w:sz w:val="24"/>
                <w:szCs w:val="24"/>
                <w:shd w:fill="FFFFFF" w:val="clear"/>
              </w:rPr>
            </w:pPr>
            <w:r>
              <w:rPr>
                <w:iCs/>
                <w:sz w:val="24"/>
                <w:szCs w:val="24"/>
              </w:rPr>
              <w:t>короткое замыкание;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60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КРУ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60"/>
              <w:rPr>
                <w:iCs/>
                <w:color w:val="111111"/>
                <w:sz w:val="24"/>
                <w:szCs w:val="24"/>
              </w:rPr>
            </w:pPr>
            <w:r>
              <w:rPr>
                <w:iCs/>
                <w:color w:val="111111"/>
                <w:sz w:val="24"/>
                <w:szCs w:val="24"/>
              </w:rPr>
              <w:t>комплектное распределительное устройство;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КСО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iCs/>
                <w:color w:val="111111"/>
                <w:sz w:val="24"/>
                <w:szCs w:val="24"/>
              </w:rPr>
            </w:pPr>
            <w:r>
              <w:rPr>
                <w:iCs/>
                <w:color w:val="111111"/>
                <w:sz w:val="24"/>
                <w:szCs w:val="24"/>
              </w:rPr>
              <w:t>камеры сборные одностороннего обслуживания;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КТП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iCs/>
                <w:color w:val="111111"/>
                <w:sz w:val="24"/>
                <w:szCs w:val="24"/>
              </w:rPr>
            </w:pPr>
            <w:r>
              <w:rPr>
                <w:iCs/>
                <w:color w:val="111111"/>
                <w:sz w:val="24"/>
                <w:szCs w:val="24"/>
              </w:rPr>
              <w:t>комплектная трансформаторная подстанция/ столбовая трансформаторная подстанция;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КТПМ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iCs/>
                <w:color w:val="111111"/>
                <w:sz w:val="24"/>
                <w:szCs w:val="24"/>
              </w:rPr>
            </w:pPr>
            <w:r>
              <w:rPr>
                <w:iCs/>
                <w:color w:val="111111"/>
                <w:sz w:val="24"/>
                <w:szCs w:val="24"/>
              </w:rPr>
              <w:t>мачтовые комплектные трансформаторные подстанции;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iCs/>
                <w:sz w:val="24"/>
                <w:szCs w:val="24"/>
              </w:rPr>
            </w:pPr>
            <w:r>
              <w:rPr>
                <w:iCs/>
                <w:color w:val="111111"/>
                <w:sz w:val="24"/>
                <w:szCs w:val="24"/>
              </w:rPr>
              <w:t>КТПН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iCs/>
                <w:sz w:val="24"/>
                <w:szCs w:val="24"/>
              </w:rPr>
            </w:pPr>
            <w:r>
              <w:rPr>
                <w:iCs/>
                <w:color w:val="111111"/>
                <w:sz w:val="24"/>
                <w:szCs w:val="24"/>
              </w:rPr>
              <w:t>комплектная подстанция наружной установки;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КТПС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iCs/>
                <w:sz w:val="24"/>
                <w:szCs w:val="24"/>
              </w:rPr>
            </w:pPr>
            <w:r>
              <w:rPr>
                <w:iCs/>
                <w:color w:val="111111"/>
                <w:sz w:val="24"/>
                <w:szCs w:val="24"/>
              </w:rPr>
              <w:t>столбовые комплектные трансформаторные подстанции;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ЛЭП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iCs/>
                <w:sz w:val="24"/>
                <w:szCs w:val="24"/>
              </w:rPr>
            </w:pPr>
            <w:r>
              <w:rPr>
                <w:iCs/>
                <w:color w:val="111111"/>
                <w:sz w:val="24"/>
                <w:szCs w:val="24"/>
              </w:rPr>
              <w:t>линии электропередач;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iCs/>
                <w:sz w:val="24"/>
                <w:szCs w:val="24"/>
                <w:lang w:val="en-US"/>
              </w:rPr>
            </w:pPr>
            <w:r>
              <w:rPr>
                <w:rFonts w:eastAsia="Calibri"/>
                <w:iCs/>
                <w:sz w:val="24"/>
                <w:szCs w:val="24"/>
              </w:rPr>
              <w:t>НН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rStyle w:val="Style8"/>
                <w:b w:val="false"/>
                <w:i w:val="false"/>
                <w:i w:val="false"/>
                <w:iCs/>
                <w:sz w:val="24"/>
                <w:szCs w:val="24"/>
                <w:shd w:fill="auto" w:val="clear"/>
              </w:rPr>
            </w:pPr>
            <w:r>
              <w:rPr>
                <w:iCs/>
                <w:color w:val="111111"/>
                <w:sz w:val="24"/>
                <w:szCs w:val="24"/>
              </w:rPr>
              <w:t>низкое напряжение;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</w:rPr>
              <w:t>НКУ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rStyle w:val="Style8"/>
                <w:b w:val="false"/>
                <w:i w:val="false"/>
                <w:i w:val="false"/>
                <w:iCs/>
                <w:sz w:val="24"/>
                <w:szCs w:val="24"/>
                <w:shd w:fill="auto" w:val="clear"/>
              </w:rPr>
            </w:pPr>
            <w:r>
              <w:rPr>
                <w:iCs/>
                <w:sz w:val="24"/>
                <w:szCs w:val="24"/>
              </w:rPr>
              <w:t>низковольтные комплектные устройства;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</w:rPr>
              <w:t>НТД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rStyle w:val="Style8"/>
                <w:b w:val="false"/>
                <w:i w:val="false"/>
                <w:i w:val="false"/>
                <w:iCs/>
                <w:sz w:val="24"/>
                <w:szCs w:val="24"/>
                <w:shd w:fill="auto" w:val="clear"/>
              </w:rPr>
            </w:pPr>
            <w:r>
              <w:rPr>
                <w:iCs/>
                <w:sz w:val="24"/>
                <w:szCs w:val="24"/>
              </w:rPr>
              <w:t>нормативно-техническая документация;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iCs/>
                <w:sz w:val="24"/>
                <w:szCs w:val="24"/>
                <w:lang w:val="en-US"/>
              </w:rPr>
            </w:pPr>
            <w:r>
              <w:rPr>
                <w:rFonts w:eastAsia="Calibri"/>
                <w:iCs/>
                <w:sz w:val="24"/>
                <w:szCs w:val="24"/>
              </w:rPr>
              <w:t>ОПН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rStyle w:val="Style8"/>
                <w:b w:val="false"/>
                <w:i w:val="false"/>
                <w:i w:val="false"/>
                <w:iCs/>
                <w:sz w:val="24"/>
                <w:szCs w:val="24"/>
                <w:shd w:fill="auto" w:val="clear"/>
              </w:rPr>
            </w:pPr>
            <w:r>
              <w:rPr>
                <w:iCs/>
                <w:color w:val="111111"/>
                <w:sz w:val="24"/>
                <w:szCs w:val="24"/>
              </w:rPr>
              <w:t>ограничитель перенапряжения нелинейный;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</w:rPr>
              <w:t>ПУЭ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rStyle w:val="Style8"/>
                <w:b w:val="false"/>
                <w:i w:val="false"/>
                <w:i w:val="false"/>
                <w:iCs/>
                <w:sz w:val="24"/>
                <w:szCs w:val="24"/>
                <w:shd w:fill="auto" w:val="clear"/>
              </w:rPr>
            </w:pPr>
            <w:r>
              <w:rPr>
                <w:iCs/>
                <w:sz w:val="24"/>
                <w:szCs w:val="24"/>
              </w:rPr>
              <w:t>правила устройства электроустановок;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</w:rPr>
              <w:t>РЗ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rStyle w:val="Style8"/>
                <w:b w:val="false"/>
                <w:i w:val="false"/>
                <w:i w:val="false"/>
                <w:iCs/>
                <w:sz w:val="24"/>
                <w:szCs w:val="24"/>
                <w:shd w:fill="auto" w:val="clear"/>
              </w:rPr>
            </w:pPr>
            <w:r>
              <w:rPr>
                <w:iCs/>
                <w:sz w:val="24"/>
                <w:szCs w:val="24"/>
              </w:rPr>
              <w:t>релейная защита;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</w:rPr>
              <w:t>РПН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rStyle w:val="Style8"/>
                <w:b w:val="false"/>
                <w:i w:val="false"/>
                <w:i w:val="false"/>
                <w:iCs/>
                <w:sz w:val="24"/>
                <w:szCs w:val="24"/>
                <w:shd w:fill="auto" w:val="clear"/>
              </w:rPr>
            </w:pPr>
            <w:r>
              <w:rPr>
                <w:iCs/>
                <w:sz w:val="24"/>
                <w:szCs w:val="24"/>
              </w:rPr>
              <w:t>регулирование под нагрузкой;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iCs/>
                <w:sz w:val="24"/>
                <w:szCs w:val="24"/>
                <w:lang w:val="en-US"/>
              </w:rPr>
            </w:pPr>
            <w:r>
              <w:rPr>
                <w:rFonts w:eastAsia="Calibri"/>
                <w:iCs/>
                <w:sz w:val="24"/>
                <w:szCs w:val="24"/>
              </w:rPr>
              <w:t>РУВН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rStyle w:val="Style8"/>
                <w:b w:val="false"/>
                <w:i w:val="false"/>
                <w:i w:val="false"/>
                <w:iCs/>
                <w:sz w:val="24"/>
                <w:szCs w:val="24"/>
                <w:shd w:fill="auto" w:val="clear"/>
              </w:rPr>
            </w:pPr>
            <w:r>
              <w:rPr>
                <w:iCs/>
                <w:color w:val="111111"/>
                <w:sz w:val="24"/>
                <w:szCs w:val="24"/>
              </w:rPr>
              <w:t>распределительное устройство высокого напряжения;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iCs/>
                <w:sz w:val="24"/>
                <w:szCs w:val="24"/>
                <w:lang w:val="en-US"/>
              </w:rPr>
            </w:pPr>
            <w:r>
              <w:rPr>
                <w:rFonts w:eastAsia="Calibri"/>
                <w:iCs/>
                <w:sz w:val="24"/>
                <w:szCs w:val="24"/>
              </w:rPr>
              <w:t>РУНН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rStyle w:val="Style8"/>
                <w:b w:val="false"/>
                <w:i w:val="false"/>
                <w:i w:val="false"/>
                <w:iCs/>
                <w:sz w:val="24"/>
                <w:szCs w:val="24"/>
                <w:shd w:fill="auto" w:val="clear"/>
              </w:rPr>
            </w:pPr>
            <w:r>
              <w:rPr>
                <w:iCs/>
                <w:color w:val="111111"/>
                <w:sz w:val="24"/>
                <w:szCs w:val="24"/>
              </w:rPr>
              <w:t>распределительное устройство низкого напряжения;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rStyle w:val="Style8"/>
                <w:b w:val="false"/>
                <w:i w:val="false"/>
                <w:i w:val="false"/>
                <w:iCs/>
                <w:sz w:val="24"/>
                <w:szCs w:val="24"/>
                <w:shd w:fill="auto" w:val="clear"/>
              </w:rPr>
            </w:pPr>
            <w:r>
              <w:rPr>
                <w:iCs/>
                <w:sz w:val="24"/>
                <w:szCs w:val="24"/>
              </w:rPr>
              <w:t>технические условия;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</w:rPr>
              <w:t>ТМГ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rStyle w:val="Style8"/>
                <w:b w:val="false"/>
                <w:i w:val="false"/>
                <w:i w:val="false"/>
                <w:iCs/>
                <w:sz w:val="24"/>
                <w:szCs w:val="24"/>
                <w:shd w:fill="auto" w:val="clear"/>
              </w:rPr>
            </w:pPr>
            <w:r>
              <w:rPr>
                <w:iCs/>
                <w:sz w:val="24"/>
                <w:szCs w:val="24"/>
              </w:rPr>
              <w:t>трехфазный трансформатор маслонаполненный герметичного исполнения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</w:rPr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rStyle w:val="Style8"/>
                <w:b w:val="false"/>
                <w:i w:val="false"/>
                <w:i w:val="false"/>
                <w:iCs/>
                <w:sz w:val="24"/>
                <w:szCs w:val="24"/>
                <w:shd w:fill="auto" w:val="clear"/>
              </w:rPr>
            </w:pPr>
            <w:r>
              <w:rPr>
                <w:iCs/>
                <w:sz w:val="24"/>
                <w:szCs w:val="24"/>
              </w:rPr>
              <w:t>трансформатор сухой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rStyle w:val="Style8"/>
                <w:b w:val="false"/>
                <w:i w:val="false"/>
                <w:i w:val="false"/>
                <w:iCs/>
                <w:sz w:val="24"/>
                <w:szCs w:val="24"/>
                <w:shd w:fill="auto" w:val="clear"/>
              </w:rPr>
            </w:pPr>
            <w:r>
              <w:rPr>
                <w:iCs/>
                <w:sz w:val="24"/>
                <w:szCs w:val="24"/>
              </w:rPr>
              <w:t>трансформатор тока;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</w:rPr>
              <w:t>УХЛ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rStyle w:val="Style8"/>
                <w:b w:val="false"/>
                <w:i w:val="false"/>
                <w:i w:val="false"/>
                <w:iCs/>
                <w:sz w:val="24"/>
                <w:szCs w:val="24"/>
                <w:shd w:fill="auto" w:val="clear"/>
              </w:rPr>
            </w:pPr>
            <w:r>
              <w:rPr>
                <w:iCs/>
                <w:sz w:val="24"/>
                <w:szCs w:val="24"/>
              </w:rPr>
              <w:t>климатическое исполнение «умеренный и холодный климат»;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MSK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rStyle w:val="Style8"/>
                <w:b w:val="false"/>
                <w:i w:val="false"/>
                <w:i w:val="false"/>
                <w:iCs/>
                <w:sz w:val="24"/>
                <w:szCs w:val="24"/>
                <w:shd w:fill="auto" w:val="clear"/>
              </w:rPr>
            </w:pPr>
            <w:r>
              <w:rPr>
                <w:rStyle w:val="Style8"/>
                <w:b w:val="false"/>
                <w:i w:val="false"/>
                <w:iCs/>
                <w:sz w:val="24"/>
                <w:szCs w:val="24"/>
                <w:shd w:fill="auto" w:val="clear"/>
              </w:rPr>
              <w:t>шкала интенсивности землетрясений Медведева – Шпонхойера – Карника.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ПУЭ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120"/>
              <w:rPr>
                <w:rStyle w:val="Style8"/>
                <w:b w:val="false"/>
                <w:i w:val="false"/>
                <w:i w:val="false"/>
                <w:iCs/>
                <w:sz w:val="24"/>
                <w:szCs w:val="24"/>
                <w:shd w:fill="auto" w:val="clear"/>
              </w:rPr>
            </w:pPr>
            <w:r>
              <w:rPr>
                <w:rStyle w:val="Style8"/>
                <w:b w:val="false"/>
                <w:i w:val="false"/>
                <w:iCs/>
                <w:sz w:val="24"/>
                <w:szCs w:val="24"/>
                <w:shd w:fill="auto" w:val="clear"/>
              </w:rPr>
              <w:t>Правила устройства электроустановок. 7-е издание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ListParagraph"/>
        <w:keepNext w:val="true"/>
        <w:numPr>
          <w:ilvl w:val="1"/>
          <w:numId w:val="8"/>
        </w:numPr>
        <w:tabs>
          <w:tab w:val="clear" w:pos="708"/>
          <w:tab w:val="left" w:pos="709" w:leader="none"/>
          <w:tab w:val="left" w:pos="851" w:leader="none"/>
          <w:tab w:val="left" w:pos="993" w:leader="none"/>
          <w:tab w:val="left" w:pos="1276" w:leader="none"/>
        </w:tabs>
        <w:spacing w:before="120" w:after="60"/>
        <w:ind w:left="0" w:hanging="0"/>
        <w:contextualSpacing/>
        <w:outlineLvl w:val="3"/>
        <w:rPr>
          <w:b/>
          <w:bCs/>
          <w:lang w:val="x-none" w:eastAsia="x-none"/>
        </w:rPr>
      </w:pPr>
      <w:bookmarkStart w:id="11" w:name="_Toc135474670"/>
      <w:bookmarkStart w:id="12" w:name="_Toc46743506"/>
      <w:bookmarkStart w:id="13" w:name="_Toc126072360"/>
      <w:bookmarkStart w:id="14" w:name="_Toc133243566"/>
      <w:bookmarkStart w:id="15" w:name="_Toc133498441"/>
      <w:bookmarkStart w:id="16" w:name="_Toc133498694"/>
      <w:bookmarkStart w:id="17" w:name="_Toc133499034"/>
      <w:bookmarkStart w:id="18" w:name="_Toc133586902"/>
      <w:r>
        <w:rPr>
          <w:b/>
          <w:bCs/>
          <w:lang w:val="x-none" w:eastAsia="x-none"/>
        </w:rPr>
        <w:t>Наименование закупаемой продукции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>
      <w:pPr>
        <w:pStyle w:val="Normal"/>
        <w:widowControl w:val="false"/>
        <w:tabs>
          <w:tab w:val="clear" w:pos="708"/>
          <w:tab w:val="left" w:pos="142" w:leader="none"/>
          <w:tab w:val="left" w:pos="426" w:leader="none"/>
          <w:tab w:val="left" w:pos="709" w:leader="none"/>
          <w:tab w:val="left" w:pos="851" w:leader="none"/>
          <w:tab w:val="left" w:pos="993" w:leader="none"/>
          <w:tab w:val="left" w:pos="1276" w:leader="none"/>
        </w:tabs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«ОКПД2 27.11.43.000. Поставка комплектных трансформаторных подстанций для Центральных электрических сетей в части исполнения обязательств по технологическому присоединению к электрическим сетям в рамках реализации инвестиционных проектов Г3»</w:t>
      </w:r>
    </w:p>
    <w:p>
      <w:pPr>
        <w:pStyle w:val="ListParagraph"/>
        <w:keepNext w:val="true"/>
        <w:widowControl w:val="false"/>
        <w:numPr>
          <w:ilvl w:val="1"/>
          <w:numId w:val="8"/>
        </w:numPr>
        <w:tabs>
          <w:tab w:val="clear" w:pos="708"/>
          <w:tab w:val="left" w:pos="142" w:leader="none"/>
          <w:tab w:val="left" w:pos="426" w:leader="none"/>
          <w:tab w:val="left" w:pos="709" w:leader="none"/>
          <w:tab w:val="left" w:pos="851" w:leader="none"/>
          <w:tab w:val="left" w:pos="993" w:leader="none"/>
          <w:tab w:val="left" w:pos="1276" w:leader="none"/>
        </w:tabs>
        <w:spacing w:before="120" w:after="60"/>
        <w:ind w:left="0" w:hanging="0"/>
        <w:contextualSpacing/>
        <w:outlineLvl w:val="3"/>
        <w:rPr>
          <w:lang w:eastAsia="x-none"/>
        </w:rPr>
      </w:pPr>
      <w:bookmarkStart w:id="19" w:name="_Toc133586903"/>
      <w:bookmarkStart w:id="20" w:name="_Toc135474671"/>
      <w:bookmarkStart w:id="21" w:name="_Toc133498695"/>
      <w:bookmarkStart w:id="22" w:name="_Toc133243567"/>
      <w:bookmarkStart w:id="23" w:name="_Toc133499035"/>
      <w:bookmarkStart w:id="24" w:name="_Toc133498442"/>
      <w:r>
        <w:rPr>
          <w:b/>
          <w:bCs/>
          <w:lang w:val="x-none" w:eastAsia="x-none"/>
        </w:rPr>
        <w:t>Цель использования закупаемой продукции</w:t>
      </w:r>
      <w:bookmarkEnd w:id="19"/>
      <w:bookmarkEnd w:id="20"/>
      <w:bookmarkEnd w:id="21"/>
      <w:bookmarkEnd w:id="22"/>
      <w:bookmarkEnd w:id="23"/>
      <w:bookmarkEnd w:id="2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В целях выполнения мероприятий по договору об осуществлении технологического присоединения к электрическим сетям.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Normal"/>
        <w:widowControl w:val="false"/>
        <w:numPr>
          <w:ilvl w:val="0"/>
          <w:numId w:val="7"/>
        </w:numPr>
        <w:tabs>
          <w:tab w:val="clear" w:pos="708"/>
          <w:tab w:val="left" w:pos="142" w:leader="none"/>
          <w:tab w:val="left" w:pos="426" w:leader="none"/>
          <w:tab w:val="left" w:pos="709" w:leader="none"/>
          <w:tab w:val="left" w:pos="851" w:leader="none"/>
          <w:tab w:val="left" w:pos="993" w:leader="none"/>
          <w:tab w:val="left" w:pos="1276" w:leader="none"/>
        </w:tabs>
        <w:spacing w:before="0" w:after="0"/>
        <w:ind w:left="0" w:firstLine="567"/>
        <w:contextualSpacing/>
        <w:jc w:val="center"/>
        <w:rPr>
          <w:rFonts w:eastAsia="Calibri"/>
          <w:bCs/>
          <w:i/>
          <w:i/>
          <w:sz w:val="24"/>
          <w:szCs w:val="24"/>
          <w:shd w:fill="FFFF99" w:val="clear"/>
        </w:rPr>
      </w:pPr>
      <w:r>
        <w:rPr>
          <w:rFonts w:eastAsia="Calibri"/>
          <w:b/>
          <w:iCs/>
          <w:sz w:val="24"/>
          <w:szCs w:val="24"/>
        </w:rPr>
        <w:t>Требования к продукции</w:t>
      </w:r>
    </w:p>
    <w:p>
      <w:pPr>
        <w:pStyle w:val="ListParagraph"/>
        <w:keepNext w:val="true"/>
        <w:numPr>
          <w:ilvl w:val="1"/>
          <w:numId w:val="7"/>
        </w:numPr>
        <w:tabs>
          <w:tab w:val="clear" w:pos="708"/>
          <w:tab w:val="left" w:pos="0" w:leader="none"/>
          <w:tab w:val="left" w:pos="426" w:leader="none"/>
          <w:tab w:val="left" w:pos="567" w:leader="none"/>
        </w:tabs>
        <w:spacing w:before="120" w:after="60"/>
        <w:ind w:left="0" w:hanging="0"/>
        <w:contextualSpacing/>
        <w:outlineLvl w:val="3"/>
        <w:rPr>
          <w:b/>
          <w:bCs/>
          <w:lang w:val="x-none" w:eastAsia="x-none"/>
        </w:rPr>
      </w:pPr>
      <w:bookmarkStart w:id="25" w:name="_Toc135474672"/>
      <w:bookmarkStart w:id="26" w:name="_Toc50125126"/>
      <w:bookmarkStart w:id="27" w:name="_Toc133586904"/>
      <w:bookmarkStart w:id="28" w:name="_Toc133499036"/>
      <w:bookmarkStart w:id="29" w:name="_Toc133498696"/>
      <w:bookmarkStart w:id="30" w:name="_Toc133498443"/>
      <w:bookmarkStart w:id="31" w:name="_Toc133243568"/>
      <w:bookmarkStart w:id="32" w:name="_Toc126072363"/>
      <w:bookmarkStart w:id="33" w:name="_Toc46743510"/>
      <w:bookmarkEnd w:id="26"/>
      <w:r>
        <w:rPr>
          <w:b/>
          <w:bCs/>
          <w:lang w:val="x-none" w:eastAsia="x-none"/>
        </w:rPr>
        <w:t xml:space="preserve">Требования к объемам и срокам </w:t>
      </w:r>
      <w:r>
        <w:rPr>
          <w:b/>
          <w:bCs/>
          <w:lang w:eastAsia="x-none"/>
        </w:rPr>
        <w:t>поставки</w:t>
      </w:r>
      <w:bookmarkEnd w:id="25"/>
      <w:bookmarkEnd w:id="27"/>
      <w:bookmarkEnd w:id="28"/>
      <w:bookmarkEnd w:id="29"/>
      <w:bookmarkEnd w:id="30"/>
      <w:bookmarkEnd w:id="31"/>
      <w:bookmarkEnd w:id="32"/>
    </w:p>
    <w:p>
      <w:pPr>
        <w:pStyle w:val="Normal"/>
        <w:keepNext w:val="true"/>
        <w:numPr>
          <w:ilvl w:val="2"/>
          <w:numId w:val="7"/>
        </w:numPr>
        <w:tabs>
          <w:tab w:val="clear" w:pos="708"/>
          <w:tab w:val="left" w:pos="0" w:leader="none"/>
          <w:tab w:val="left" w:pos="142" w:leader="none"/>
          <w:tab w:val="left" w:pos="709" w:leader="none"/>
          <w:tab w:val="left" w:pos="851" w:leader="none"/>
          <w:tab w:val="left" w:pos="993" w:leader="none"/>
          <w:tab w:val="left" w:pos="1276" w:leader="none"/>
        </w:tabs>
        <w:spacing w:before="120" w:after="60"/>
        <w:ind w:left="142" w:hanging="142"/>
        <w:outlineLvl w:val="2"/>
        <w:rPr>
          <w:rFonts w:eastAsia="Calibri"/>
          <w:sz w:val="24"/>
          <w:szCs w:val="24"/>
          <w:lang w:val="x-none" w:eastAsia="x-none"/>
        </w:rPr>
      </w:pPr>
      <w:bookmarkStart w:id="34" w:name="_Toc135474673"/>
      <w:bookmarkStart w:id="35" w:name="_Toc133586905"/>
      <w:bookmarkStart w:id="36" w:name="_Toc133499037"/>
      <w:bookmarkStart w:id="37" w:name="_Toc133498697"/>
      <w:bookmarkStart w:id="38" w:name="_Toc133498444"/>
      <w:bookmarkStart w:id="39" w:name="_Toc133243569"/>
      <w:bookmarkStart w:id="40" w:name="_Toc126072364"/>
      <w:r>
        <w:rPr>
          <w:rFonts w:eastAsia="Calibri"/>
          <w:b/>
          <w:sz w:val="24"/>
          <w:szCs w:val="24"/>
          <w:lang w:val="x-none" w:eastAsia="x-none"/>
        </w:rPr>
        <w:t>Перечень и объем закупаемой продукции</w:t>
      </w:r>
      <w:bookmarkEnd w:id="40"/>
      <w:r>
        <w:rPr>
          <w:rFonts w:eastAsia="Calibri"/>
          <w:b/>
          <w:sz w:val="24"/>
          <w:szCs w:val="24"/>
          <w:lang w:val="x-none" w:eastAsia="x-none"/>
        </w:rPr>
        <w:t xml:space="preserve"> </w:t>
      </w:r>
      <w:bookmarkEnd w:id="34"/>
      <w:bookmarkEnd w:id="35"/>
      <w:bookmarkEnd w:id="36"/>
      <w:bookmarkEnd w:id="37"/>
      <w:bookmarkEnd w:id="38"/>
      <w:bookmarkEnd w:id="39"/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142" w:leader="none"/>
          <w:tab w:val="left" w:pos="709" w:leader="none"/>
          <w:tab w:val="left" w:pos="851" w:leader="none"/>
          <w:tab w:val="left" w:pos="993" w:leader="none"/>
          <w:tab w:val="left" w:pos="1276" w:leader="none"/>
        </w:tabs>
        <w:spacing w:before="120" w:after="60"/>
        <w:ind w:left="142" w:hanging="142"/>
        <w:outlineLvl w:val="0"/>
        <w:rPr>
          <w:rFonts w:eastAsia="Calibri"/>
          <w:sz w:val="24"/>
          <w:szCs w:val="24"/>
          <w:lang w:val="x-none" w:eastAsia="x-none"/>
        </w:rPr>
      </w:pPr>
      <w:bookmarkStart w:id="41" w:name="_Toc126072365"/>
      <w:bookmarkStart w:id="42" w:name="_Toc51339695"/>
      <w:bookmarkStart w:id="43" w:name="_Toc135474674"/>
      <w:r>
        <w:rPr>
          <w:rFonts w:eastAsia="Calibri"/>
          <w:sz w:val="24"/>
          <w:szCs w:val="24"/>
          <w:lang w:val="x-none" w:eastAsia="x-none"/>
        </w:rPr>
        <w:t xml:space="preserve">Таблица 1. Перечень </w:t>
      </w:r>
      <w:bookmarkEnd w:id="42"/>
      <w:r>
        <w:rPr>
          <w:rFonts w:eastAsia="Calibri"/>
          <w:sz w:val="24"/>
          <w:szCs w:val="24"/>
          <w:lang w:val="x-none" w:eastAsia="x-none"/>
        </w:rPr>
        <w:t>и объем закупаемой продукции</w:t>
      </w:r>
      <w:bookmarkEnd w:id="41"/>
      <w:bookmarkEnd w:id="43"/>
    </w:p>
    <w:tbl>
      <w:tblPr>
        <w:tblW w:w="995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96"/>
        <w:gridCol w:w="4536"/>
        <w:gridCol w:w="2409"/>
        <w:gridCol w:w="2408"/>
      </w:tblGrid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9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Технологическое присоединение потребителей свыше 150 кВт (3 этап)</w:t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spacing w:before="0" w:after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Комплектная трансформаторная подстанция с двумя  силовыми трансформаторами 2КТП-К/К </w:t>
            </w:r>
            <w:r>
              <w:rPr>
                <w:sz w:val="24"/>
                <w:szCs w:val="24"/>
              </w:rPr>
              <w:t>63</w:t>
            </w:r>
            <w:r>
              <w:rPr>
                <w:sz w:val="24"/>
                <w:szCs w:val="24"/>
              </w:rPr>
              <w:t>0 кВА 6/0,4 кВ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spacing w:before="0" w:after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Комплектная трансформаторная подстанция с двумя  силовыми трансформаторами 2КТП-К/К </w:t>
            </w:r>
            <w:r>
              <w:rPr>
                <w:sz w:val="24"/>
                <w:szCs w:val="24"/>
              </w:rPr>
              <w:t>63</w:t>
            </w:r>
            <w:r>
              <w:rPr>
                <w:sz w:val="24"/>
                <w:szCs w:val="24"/>
              </w:rPr>
              <w:t xml:space="preserve">0 кВА 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/0,4 кВ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Normal"/>
        <w:keepNext w:val="true"/>
        <w:numPr>
          <w:ilvl w:val="2"/>
          <w:numId w:val="7"/>
        </w:numPr>
        <w:spacing w:before="120" w:after="60"/>
        <w:ind w:left="0" w:firstLine="142"/>
        <w:outlineLvl w:val="2"/>
        <w:rPr>
          <w:rFonts w:eastAsia="Calibri"/>
          <w:b/>
          <w:sz w:val="24"/>
          <w:szCs w:val="24"/>
          <w:lang w:val="x-none" w:eastAsia="x-none"/>
        </w:rPr>
      </w:pPr>
      <w:bookmarkStart w:id="44" w:name="_Toc133498699"/>
      <w:bookmarkStart w:id="45" w:name="_Toc51339696"/>
      <w:bookmarkStart w:id="46" w:name="_Toc126072366"/>
      <w:bookmarkStart w:id="47" w:name="_Toc133243571"/>
      <w:bookmarkStart w:id="48" w:name="_Toc133498446"/>
      <w:bookmarkStart w:id="49" w:name="_Toc133499039"/>
      <w:bookmarkStart w:id="50" w:name="_Toc133586907"/>
      <w:bookmarkStart w:id="51" w:name="_Toc135474675"/>
      <w:r>
        <w:rPr>
          <w:rFonts w:eastAsia="Calibri"/>
          <w:b/>
          <w:sz w:val="24"/>
          <w:szCs w:val="24"/>
          <w:lang w:val="x-none" w:eastAsia="x-none"/>
        </w:rPr>
        <w:t xml:space="preserve">Требования </w:t>
      </w:r>
      <w:bookmarkEnd w:id="45"/>
      <w:r>
        <w:rPr>
          <w:rFonts w:eastAsia="Calibri"/>
          <w:b/>
          <w:sz w:val="24"/>
          <w:szCs w:val="24"/>
          <w:lang w:val="x-none" w:eastAsia="x-none"/>
        </w:rPr>
        <w:t>к срокам поставки продукции</w:t>
      </w:r>
      <w:bookmarkEnd w:id="46"/>
      <w:r>
        <w:rPr>
          <w:rFonts w:eastAsia="Calibri"/>
          <w:b/>
          <w:sz w:val="24"/>
          <w:szCs w:val="24"/>
          <w:lang w:val="x-none" w:eastAsia="x-none"/>
        </w:rPr>
        <w:t xml:space="preserve"> </w:t>
      </w:r>
      <w:bookmarkEnd w:id="44"/>
      <w:bookmarkEnd w:id="47"/>
      <w:bookmarkEnd w:id="48"/>
      <w:bookmarkEnd w:id="49"/>
      <w:bookmarkEnd w:id="50"/>
      <w:bookmarkEnd w:id="51"/>
    </w:p>
    <w:p>
      <w:pPr>
        <w:pStyle w:val="Normal"/>
        <w:keepNext w:val="true"/>
        <w:numPr>
          <w:ilvl w:val="0"/>
          <w:numId w:val="0"/>
        </w:numPr>
        <w:spacing w:before="120" w:after="60"/>
        <w:ind w:firstLine="142"/>
        <w:outlineLvl w:val="0"/>
        <w:rPr>
          <w:rFonts w:eastAsia="Calibri"/>
          <w:sz w:val="24"/>
          <w:szCs w:val="24"/>
          <w:lang w:eastAsia="x-none"/>
        </w:rPr>
      </w:pPr>
      <w:bookmarkStart w:id="52" w:name="_Toc50125126"/>
      <w:bookmarkStart w:id="53" w:name="_Toc135474676"/>
      <w:bookmarkStart w:id="54" w:name="_Toc50125127"/>
      <w:bookmarkStart w:id="55" w:name="_Toc51339697"/>
      <w:bookmarkStart w:id="56" w:name="_Toc126072367"/>
      <w:bookmarkEnd w:id="52"/>
      <w:r>
        <w:rPr>
          <w:rFonts w:eastAsia="Calibri"/>
          <w:sz w:val="24"/>
          <w:szCs w:val="24"/>
          <w:lang w:val="x-none" w:eastAsia="x-none"/>
        </w:rPr>
        <w:t xml:space="preserve">Таблица </w:t>
      </w:r>
      <w:r>
        <w:rPr>
          <w:rFonts w:eastAsia="Calibri"/>
          <w:sz w:val="24"/>
          <w:szCs w:val="24"/>
          <w:lang w:eastAsia="x-none"/>
        </w:rPr>
        <w:t>2</w:t>
      </w:r>
      <w:r>
        <w:rPr>
          <w:rFonts w:eastAsia="Calibri"/>
          <w:sz w:val="24"/>
          <w:szCs w:val="24"/>
          <w:lang w:val="x-none" w:eastAsia="x-none"/>
        </w:rPr>
        <w:t>.</w:t>
      </w:r>
      <w:bookmarkStart w:id="57" w:name="_Hlk50465284"/>
      <w:r>
        <w:rPr>
          <w:rFonts w:eastAsia="Calibri"/>
          <w:sz w:val="24"/>
          <w:szCs w:val="24"/>
          <w:lang w:eastAsia="x-none"/>
        </w:rPr>
        <w:t xml:space="preserve"> </w:t>
      </w:r>
      <w:r>
        <w:rPr>
          <w:rFonts w:eastAsia="Calibri"/>
          <w:sz w:val="24"/>
          <w:szCs w:val="24"/>
          <w:lang w:val="x-none" w:eastAsia="x-none"/>
        </w:rPr>
        <w:t xml:space="preserve">Требования по срокам </w:t>
      </w:r>
      <w:bookmarkEnd w:id="54"/>
      <w:bookmarkEnd w:id="55"/>
      <w:bookmarkEnd w:id="57"/>
      <w:r>
        <w:rPr>
          <w:rFonts w:eastAsia="Calibri"/>
          <w:sz w:val="24"/>
          <w:szCs w:val="24"/>
          <w:lang w:eastAsia="x-none"/>
        </w:rPr>
        <w:t>поставки продукции</w:t>
      </w:r>
      <w:bookmarkEnd w:id="53"/>
      <w:bookmarkEnd w:id="56"/>
      <w:r>
        <w:rPr>
          <w:rFonts w:eastAsia="Calibri"/>
          <w:sz w:val="24"/>
          <w:szCs w:val="24"/>
          <w:lang w:eastAsia="x-none"/>
        </w:rPr>
        <w:t xml:space="preserve"> </w:t>
      </w:r>
    </w:p>
    <w:tbl>
      <w:tblPr>
        <w:tblW w:w="9922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04"/>
        <w:gridCol w:w="3832"/>
        <w:gridCol w:w="2267"/>
        <w:gridCol w:w="3118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>
          <w:trHeight w:val="417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Комплектная трансформаторная подстанция с двумя  силовыми трансформаторами 2КТП-К/К </w:t>
            </w:r>
            <w:r>
              <w:rPr>
                <w:sz w:val="24"/>
                <w:szCs w:val="24"/>
              </w:rPr>
              <w:t>63</w:t>
            </w:r>
            <w:r>
              <w:rPr>
                <w:sz w:val="24"/>
                <w:szCs w:val="24"/>
              </w:rPr>
              <w:t>0 кВА 6/0,4 кВ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bookmarkStart w:id="58" w:name="_Toc46743510"/>
            <w:r>
              <w:rPr>
                <w:sz w:val="24"/>
                <w:szCs w:val="24"/>
              </w:rPr>
              <w:t>Не позднее 90 дней с даты подписания договора</w:t>
            </w:r>
            <w:bookmarkEnd w:id="58"/>
          </w:p>
        </w:tc>
      </w:tr>
      <w:tr>
        <w:trPr>
          <w:trHeight w:val="417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Комплектная трансформаторная подстанция с двумя  силовыми трансформаторами 2КТП-К/К </w:t>
            </w:r>
            <w:r>
              <w:rPr>
                <w:sz w:val="24"/>
                <w:szCs w:val="24"/>
              </w:rPr>
              <w:t>63</w:t>
            </w:r>
            <w:r>
              <w:rPr>
                <w:sz w:val="24"/>
                <w:szCs w:val="24"/>
              </w:rPr>
              <w:t xml:space="preserve">0 кВА 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/0,4 кВ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90 дней с даты подписания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2"/>
        <w:numPr>
          <w:ilvl w:val="1"/>
          <w:numId w:val="7"/>
        </w:numPr>
        <w:suppressAutoHyphens w:val="true"/>
        <w:spacing w:before="120" w:after="120"/>
        <w:rPr/>
      </w:pPr>
      <w:bookmarkStart w:id="59" w:name="_Toc50125131"/>
      <w:bookmarkStart w:id="60" w:name="_Toc133586909"/>
      <w:bookmarkStart w:id="61" w:name="_Toc135472841"/>
      <w:bookmarkStart w:id="62" w:name="_Toc135473536"/>
      <w:bookmarkStart w:id="63" w:name="_Toc135474677"/>
      <w:bookmarkStart w:id="64" w:name="_Toc133586910"/>
      <w:bookmarkStart w:id="65" w:name="_Toc135472842"/>
      <w:bookmarkStart w:id="66" w:name="_Toc135474678"/>
      <w:bookmarkStart w:id="67" w:name="_Toc161924631"/>
      <w:bookmarkStart w:id="68" w:name="_Toc46743511"/>
      <w:bookmarkStart w:id="69" w:name="_Toc75446581"/>
      <w:bookmarkStart w:id="70" w:name="_Toc51339698"/>
      <w:bookmarkStart w:id="71" w:name="_Toc135473537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8"/>
      <w:bookmarkEnd w:id="69"/>
      <w:bookmarkEnd w:id="70"/>
      <w:bookmarkEnd w:id="71"/>
      <w:r>
        <w:rPr/>
        <w:t xml:space="preserve">Требования к </w:t>
      </w:r>
      <w:r>
        <w:rPr>
          <w:lang w:val="ru-RU"/>
        </w:rPr>
        <w:t>качеству продукции</w:t>
      </w:r>
      <w:bookmarkEnd w:id="67"/>
    </w:p>
    <w:p>
      <w:pPr>
        <w:pStyle w:val="Heading2"/>
        <w:numPr>
          <w:ilvl w:val="0"/>
          <w:numId w:val="0"/>
        </w:numPr>
        <w:ind w:left="0" w:hanging="0"/>
        <w:rPr/>
      </w:pPr>
      <w:bookmarkStart w:id="72" w:name="_Toc161924632"/>
      <w:r>
        <w:rPr/>
        <w:t xml:space="preserve">Таблица 3. </w:t>
      </w:r>
      <w:r>
        <w:rPr>
          <w:b w:val="false"/>
        </w:rPr>
        <w:t>Требования к продукции</w:t>
      </w:r>
      <w:bookmarkEnd w:id="72"/>
    </w:p>
    <w:tbl>
      <w:tblPr>
        <w:tblStyle w:val="af"/>
        <w:tblW w:w="1587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88"/>
        <w:gridCol w:w="4252"/>
        <w:gridCol w:w="3685"/>
        <w:gridCol w:w="2694"/>
        <w:gridCol w:w="2550"/>
        <w:gridCol w:w="1701"/>
      </w:tblGrid>
      <w:tr>
        <w:trPr/>
        <w:tc>
          <w:tcPr>
            <w:tcW w:w="98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06" w:leader="none"/>
              </w:tabs>
              <w:spacing w:before="0" w:after="0"/>
              <w:ind w:right="402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425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68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en-US" w:eastAsia="ru-RU" w:bidi="ar-SA"/>
              </w:rPr>
              <w:t>*</w:t>
            </w:r>
          </w:p>
        </w:tc>
        <w:tc>
          <w:tcPr>
            <w:tcW w:w="524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70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98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06" w:leader="none"/>
              </w:tabs>
              <w:spacing w:before="0" w:after="0"/>
              <w:ind w:right="402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68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9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55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70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06" w:leader="none"/>
              </w:tabs>
              <w:spacing w:before="60" w:after="60"/>
              <w:ind w:right="402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69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55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tabs>
                <w:tab w:val="clear" w:pos="708"/>
                <w:tab w:val="left" w:pos="306" w:leader="none"/>
              </w:tabs>
              <w:suppressAutoHyphens w:val="true"/>
              <w:spacing w:before="60" w:after="60"/>
              <w:ind w:left="311" w:right="402" w:hanging="3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93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2"/>
              </w:numPr>
              <w:tabs>
                <w:tab w:val="clear" w:pos="708"/>
                <w:tab w:val="left" w:pos="22" w:leader="none"/>
              </w:tabs>
              <w:suppressAutoHyphens w:val="true"/>
              <w:spacing w:before="60" w:after="60"/>
              <w:ind w:left="0" w:right="402" w:firstLine="22"/>
              <w:contextualSpacing/>
              <w:jc w:val="center"/>
              <w:rPr>
                <w:b/>
                <w:bCs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</w:r>
          </w:p>
        </w:tc>
        <w:tc>
          <w:tcPr>
            <w:tcW w:w="4252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Комплектн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ые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трансформаторн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ые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подстанци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и</w:t>
            </w:r>
          </w:p>
        </w:tc>
        <w:tc>
          <w:tcPr>
            <w:tcW w:w="3685" w:type="dxa"/>
            <w:tcBorders/>
          </w:tcPr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соответствии с приложением №1 к настоящим Техническим требованиям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Представить заполненное приложение к настоящим Техническим требованиям №1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tabs>
                <w:tab w:val="clear" w:pos="708"/>
                <w:tab w:val="left" w:pos="306" w:leader="none"/>
              </w:tabs>
              <w:suppressAutoHyphens w:val="true"/>
              <w:spacing w:before="60" w:after="60"/>
              <w:ind w:left="306" w:right="402" w:hanging="55"/>
              <w:contextualSpacing/>
              <w:jc w:val="center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</w:r>
            <w:bookmarkStart w:id="73" w:name="_GoBack_Копия_1"/>
            <w:bookmarkStart w:id="74" w:name="_GoBack_Копия_1"/>
            <w:bookmarkEnd w:id="74"/>
          </w:p>
        </w:tc>
        <w:tc>
          <w:tcPr>
            <w:tcW w:w="7937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качеству поставляемой продукции: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2"/>
              </w:numPr>
              <w:tabs>
                <w:tab w:val="clear" w:pos="708"/>
                <w:tab w:val="left" w:pos="306" w:leader="none"/>
              </w:tabs>
              <w:suppressAutoHyphens w:val="true"/>
              <w:spacing w:before="60" w:after="60"/>
              <w:ind w:left="0" w:right="402" w:hanging="0"/>
              <w:contextualSpacing/>
              <w:jc w:val="center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быть новая, ранее не использованная.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(Под новым следует понимать оборудование, которое не было в употреблении, не приходило ремонт, в том числе восстановление, замену составных частей, восстановление потребительских свойств.)</w:t>
            </w:r>
          </w:p>
        </w:tc>
        <w:tc>
          <w:tcPr>
            <w:tcW w:w="3685" w:type="dxa"/>
            <w:tcBorders/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Да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2"/>
              </w:numPr>
              <w:tabs>
                <w:tab w:val="clear" w:pos="708"/>
                <w:tab w:val="left" w:pos="306" w:leader="none"/>
              </w:tabs>
              <w:suppressAutoHyphens w:val="true"/>
              <w:spacing w:before="60" w:after="60"/>
              <w:ind w:left="0" w:right="402" w:hanging="0"/>
              <w:contextualSpacing/>
              <w:jc w:val="center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425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Год выпуска продукции (оборудования)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685" w:type="dxa"/>
            <w:tcBorders/>
          </w:tcPr>
          <w:p>
            <w:pPr>
              <w:pStyle w:val="Normal"/>
              <w:widowControl w:val="false"/>
              <w:shd w:val="clear" w:color="auto" w:fill="FFFFFF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продукция, является новой, неиспользованной, со сроком изготовления не ранее 4 квартала 2025 г.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tabs>
                <w:tab w:val="clear" w:pos="708"/>
                <w:tab w:val="left" w:pos="306" w:leader="none"/>
              </w:tabs>
              <w:suppressAutoHyphens w:val="true"/>
              <w:spacing w:before="60" w:after="60"/>
              <w:ind w:left="928" w:right="402" w:hanging="360"/>
              <w:contextualSpacing/>
              <w:jc w:val="center"/>
              <w:rPr>
                <w:b/>
                <w:bCs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</w:r>
          </w:p>
        </w:tc>
        <w:tc>
          <w:tcPr>
            <w:tcW w:w="793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both"/>
              <w:rPr>
                <w:b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4"/>
                <w:szCs w:val="24"/>
                <w:lang w:val="ru-RU" w:eastAsia="ru-RU" w:bidi="ar-SA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06" w:leader="none"/>
              </w:tabs>
              <w:spacing w:before="60" w:after="60"/>
              <w:ind w:right="402" w:hanging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3.1.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Филиал Центральные электрические сети (ЦЭС) ПАО «Якутскэнерго», Республика Саха (Якутия), 677021, г. Якутск, пр-кт. Михаила Николаева, д. 26.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06" w:leader="none"/>
              </w:tabs>
              <w:spacing w:before="60" w:after="60"/>
              <w:ind w:right="402" w:hanging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3.2.</w:t>
            </w:r>
          </w:p>
        </w:tc>
        <w:tc>
          <w:tcPr>
            <w:tcW w:w="4252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КТП должна иметь табличку по ГОСТ 12969-67, содержащую следующие данные: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pacing w:before="0" w:after="0"/>
              <w:ind w:left="315" w:hanging="315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условное обозначение (индекс) изделия;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pacing w:before="0" w:after="0"/>
              <w:ind w:left="315" w:hanging="315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товарный знак;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pacing w:before="0" w:after="0"/>
              <w:ind w:left="315" w:hanging="315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заводской номер и (или) дату изготовления;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pacing w:before="0" w:after="0"/>
              <w:ind w:left="315" w:hanging="315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наименование изделия (при необходимости);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pacing w:before="0" w:after="0"/>
              <w:ind w:left="315" w:hanging="315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напряжение в киловольтах со стороны ВН и НН;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pacing w:before="0" w:after="0"/>
              <w:ind w:left="315" w:hanging="315"/>
              <w:contextualSpacing/>
              <w:jc w:val="left"/>
              <w:rPr>
                <w:iCs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обозначение стандартов или технических условий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Да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06" w:leader="none"/>
              </w:tabs>
              <w:spacing w:before="60" w:after="60"/>
              <w:ind w:right="402" w:hanging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3.3.</w:t>
            </w:r>
          </w:p>
        </w:tc>
        <w:tc>
          <w:tcPr>
            <w:tcW w:w="4252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Транспортная маркировка грузов - по ГОСТ 14192-96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Да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06" w:leader="none"/>
              </w:tabs>
              <w:spacing w:before="60" w:after="60"/>
              <w:ind w:right="402" w:hanging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3.4.</w:t>
            </w:r>
          </w:p>
        </w:tc>
        <w:tc>
          <w:tcPr>
            <w:tcW w:w="4252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транспортировании КТП категории размещения 1 без упаковки все проемы должны быть закрыты заглушками и защищены от попадания атмосферных осадков. Должна быть исключена возможность открывания дверей и крышек с целью защиты бьющихся и легко снимаемых частей.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Да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06" w:leader="none"/>
              </w:tabs>
              <w:spacing w:before="60" w:after="60"/>
              <w:ind w:right="402" w:hanging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3.5.</w:t>
            </w:r>
          </w:p>
        </w:tc>
        <w:tc>
          <w:tcPr>
            <w:tcW w:w="4252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Все неокрашенные металлические поверхности КТП (винты, таблички, замки, ручки проводов и др.) должны быть подвергнуты консервации по ГОСТ 23216-78.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Да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06" w:leader="none"/>
              </w:tabs>
              <w:spacing w:before="60" w:after="60"/>
              <w:ind w:right="402" w:hanging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3.6.</w:t>
            </w:r>
          </w:p>
        </w:tc>
        <w:tc>
          <w:tcPr>
            <w:tcW w:w="4252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Условия хранения по ГОСТ 15150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8ОЖ3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 w:val="fals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06" w:leader="none"/>
              </w:tabs>
              <w:spacing w:before="60" w:after="60"/>
              <w:ind w:right="402" w:hanging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3.7.</w:t>
            </w:r>
          </w:p>
        </w:tc>
        <w:tc>
          <w:tcPr>
            <w:tcW w:w="4252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Условия транспортирования согласно ГОСТ 23216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Жесткие (Ж)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 w:val="fals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06" w:leader="none"/>
              </w:tabs>
              <w:spacing w:before="60" w:after="60"/>
              <w:ind w:right="402" w:hanging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3.8.</w:t>
            </w:r>
          </w:p>
        </w:tc>
        <w:tc>
          <w:tcPr>
            <w:tcW w:w="4252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сохраняемости, не менее, лет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tabs>
                <w:tab w:val="clear" w:pos="708"/>
                <w:tab w:val="left" w:pos="306" w:leader="none"/>
              </w:tabs>
              <w:suppressAutoHyphens w:val="true"/>
              <w:spacing w:before="60" w:after="60"/>
              <w:ind w:left="928" w:right="402" w:hanging="360"/>
              <w:contextualSpacing/>
              <w:jc w:val="center"/>
              <w:rPr>
                <w:b/>
                <w:bCs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</w:r>
            <w:bookmarkStart w:id="75" w:name="_Toc127617205"/>
            <w:bookmarkStart w:id="76" w:name="_Toc126738557"/>
            <w:bookmarkStart w:id="77" w:name="_Toc126676856"/>
            <w:bookmarkStart w:id="78" w:name="_Toc127617205"/>
            <w:bookmarkStart w:id="79" w:name="_Toc126738557"/>
            <w:bookmarkStart w:id="80" w:name="_Toc126676856"/>
            <w:bookmarkEnd w:id="78"/>
            <w:bookmarkEnd w:id="79"/>
            <w:bookmarkEnd w:id="80"/>
          </w:p>
        </w:tc>
        <w:tc>
          <w:tcPr>
            <w:tcW w:w="793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гарантиям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2"/>
              </w:numPr>
              <w:tabs>
                <w:tab w:val="clear" w:pos="708"/>
                <w:tab w:val="left" w:pos="306" w:leader="none"/>
              </w:tabs>
              <w:suppressAutoHyphens w:val="true"/>
              <w:spacing w:before="60" w:after="60"/>
              <w:ind w:left="57" w:right="1868" w:hanging="35"/>
              <w:contextualSpacing/>
              <w:jc w:val="center"/>
              <w:rPr>
                <w:b/>
                <w:bCs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Гарантийный срок эксплуатации</w:t>
            </w:r>
          </w:p>
        </w:tc>
        <w:tc>
          <w:tcPr>
            <w:tcW w:w="368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60 месяцев с момента ввода в эксплуатацию, но не более 66 месяцев с момента поставки. Гарантия на защиту от коррозии, при отсутствии механических повреждений, не менее 10 лет с даты поставки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06" w:leader="none"/>
              </w:tabs>
              <w:spacing w:before="60" w:after="60"/>
              <w:ind w:right="402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2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425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Возможность заключения договора на постгарантийное обслуживание </w:t>
            </w:r>
          </w:p>
        </w:tc>
        <w:tc>
          <w:tcPr>
            <w:tcW w:w="368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Нет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06" w:leader="none"/>
              </w:tabs>
              <w:spacing w:before="60" w:after="60"/>
              <w:ind w:right="402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3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425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Наличие сервисных центров на территории РФ</w:t>
            </w:r>
          </w:p>
        </w:tc>
        <w:tc>
          <w:tcPr>
            <w:tcW w:w="368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Да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06" w:leader="none"/>
              </w:tabs>
              <w:spacing w:before="60" w:after="60"/>
              <w:ind w:right="402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4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425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Гарантии распространяются на все поставляемое оборудование.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течение гарантийного срока должна быть обеспечена безвозмездная замена или ремонт вышедшего из строя оборудования, включая его доставку туда и обратно. Доставка неисправного оборудования в сервисный центр для проведения ремонта и возвращение исправного, после ремонта, оборудования Поставщик осуществляет за свой счет.</w:t>
            </w:r>
          </w:p>
        </w:tc>
        <w:tc>
          <w:tcPr>
            <w:tcW w:w="368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Да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06" w:leader="none"/>
              </w:tabs>
              <w:spacing w:before="60" w:after="60"/>
              <w:ind w:right="402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продукцией:</w:t>
            </w:r>
          </w:p>
        </w:tc>
        <w:tc>
          <w:tcPr>
            <w:tcW w:w="368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bookmarkStart w:id="81" w:name="_Toc135473566"/>
            <w:bookmarkStart w:id="82" w:name="_Toc135474707"/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  <w:bookmarkEnd w:id="81"/>
            <w:bookmarkEnd w:id="82"/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06" w:leader="none"/>
              </w:tabs>
              <w:spacing w:before="60" w:after="60"/>
              <w:ind w:right="402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5.1.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Комплектация: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left="315" w:hanging="315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РУВН;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left="315" w:hanging="315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силовой трансформатор;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left="315" w:hanging="315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РУНН;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left="315" w:hanging="315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шинопроводы, предусмотренные конструкцией.</w:t>
            </w:r>
          </w:p>
        </w:tc>
        <w:tc>
          <w:tcPr>
            <w:tcW w:w="368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Да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4"/>
                <w:szCs w:val="24"/>
              </w:rPr>
            </w:pPr>
            <w:bookmarkStart w:id="83" w:name="_Toc135474708"/>
            <w:bookmarkStart w:id="84" w:name="_Toc135473567"/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  <w:bookmarkEnd w:id="83"/>
            <w:bookmarkEnd w:id="84"/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06" w:leader="none"/>
              </w:tabs>
              <w:spacing w:before="60" w:after="60"/>
              <w:ind w:right="402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5.2.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Документация на трансформаторы по ГОСТ 11677-85, экз.</w:t>
            </w:r>
          </w:p>
        </w:tc>
        <w:tc>
          <w:tcPr>
            <w:tcW w:w="368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bookmarkStart w:id="85" w:name="_Toc135474709"/>
            <w:bookmarkStart w:id="86" w:name="_Toc135473568"/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  <w:bookmarkEnd w:id="85"/>
            <w:bookmarkEnd w:id="86"/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06" w:leader="none"/>
              </w:tabs>
              <w:spacing w:before="60" w:after="60"/>
              <w:ind w:right="402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5.3.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Документация на комплектующую аппаратуру, подвергающуюся наладке и ремонту в процессе эксплуатации</w:t>
            </w:r>
          </w:p>
        </w:tc>
        <w:tc>
          <w:tcPr>
            <w:tcW w:w="368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соответствии с техническими условиями на конкретные типы аппаратуры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bookmarkStart w:id="87" w:name="_Toc135474710"/>
            <w:bookmarkStart w:id="88" w:name="_Toc135473569"/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  <w:bookmarkEnd w:id="87"/>
            <w:bookmarkEnd w:id="88"/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06" w:leader="none"/>
              </w:tabs>
              <w:spacing w:before="60" w:after="60"/>
              <w:ind w:right="402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5.4.</w:t>
            </w:r>
          </w:p>
        </w:tc>
        <w:tc>
          <w:tcPr>
            <w:tcW w:w="425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Схемы электрические принципиальные и схемы электрических соединений, сборочный чертеж, экз.</w:t>
            </w:r>
          </w:p>
        </w:tc>
        <w:tc>
          <w:tcPr>
            <w:tcW w:w="368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06" w:leader="none"/>
              </w:tabs>
              <w:spacing w:before="60" w:after="60"/>
              <w:ind w:right="402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5.5.</w:t>
            </w:r>
          </w:p>
        </w:tc>
        <w:tc>
          <w:tcPr>
            <w:tcW w:w="425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Эксплуатационная документация по ГОСТ 2.601-2019</w:t>
            </w:r>
          </w:p>
        </w:tc>
        <w:tc>
          <w:tcPr>
            <w:tcW w:w="368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1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06" w:leader="none"/>
              </w:tabs>
              <w:spacing w:before="60" w:after="60"/>
              <w:ind w:right="402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документации:</w:t>
            </w:r>
          </w:p>
        </w:tc>
        <w:tc>
          <w:tcPr>
            <w:tcW w:w="368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06" w:leader="none"/>
              </w:tabs>
              <w:spacing w:before="60" w:after="60"/>
              <w:ind w:right="402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6.1.</w:t>
            </w:r>
          </w:p>
        </w:tc>
        <w:tc>
          <w:tcPr>
            <w:tcW w:w="425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Во всем неоговоренном КТП и встраиваемое оборудование должны соответствовать требованиям ПУЭ ГОСТ 14695-80, ГОСТ 14693-90, ГОСТ 11920-85, ГОСТ 11677-85, ГОСТ 1516.3-96</w:t>
            </w:r>
          </w:p>
        </w:tc>
        <w:tc>
          <w:tcPr>
            <w:tcW w:w="368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Да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06" w:leader="none"/>
              </w:tabs>
              <w:spacing w:before="60" w:after="60"/>
              <w:ind w:right="402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7.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экономическим параметрам:</w:t>
            </w:r>
          </w:p>
        </w:tc>
        <w:tc>
          <w:tcPr>
            <w:tcW w:w="368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06" w:leader="none"/>
              </w:tabs>
              <w:spacing w:before="60" w:after="60"/>
              <w:ind w:right="402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7.1.</w:t>
            </w:r>
          </w:p>
        </w:tc>
        <w:tc>
          <w:tcPr>
            <w:tcW w:w="425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службы, не менее, лет</w:t>
            </w:r>
          </w:p>
        </w:tc>
        <w:tc>
          <w:tcPr>
            <w:tcW w:w="368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25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06" w:leader="none"/>
              </w:tabs>
              <w:spacing w:before="60" w:after="60"/>
              <w:ind w:right="402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7.2.</w:t>
            </w:r>
          </w:p>
        </w:tc>
        <w:tc>
          <w:tcPr>
            <w:tcW w:w="425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службы до среднего (капитального) ремонта, лет, не менее</w:t>
            </w:r>
          </w:p>
        </w:tc>
        <w:tc>
          <w:tcPr>
            <w:tcW w:w="368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15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06" w:leader="none"/>
              </w:tabs>
              <w:spacing w:before="60" w:after="60"/>
              <w:ind w:right="402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8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обязательствам Поставщика, влияющим на исполнение договора:</w:t>
            </w:r>
          </w:p>
        </w:tc>
        <w:tc>
          <w:tcPr>
            <w:tcW w:w="368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06" w:leader="none"/>
              </w:tabs>
              <w:spacing w:before="60" w:after="60"/>
              <w:ind w:right="402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8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.1.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Участие представителей заказчика в приемо-сдаточных испытаний КТП на заводе-изготовителе </w:t>
            </w:r>
          </w:p>
        </w:tc>
        <w:tc>
          <w:tcPr>
            <w:tcW w:w="368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Нет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06" w:leader="none"/>
              </w:tabs>
              <w:spacing w:before="60" w:after="60"/>
              <w:ind w:right="402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8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.2.</w:t>
            </w:r>
          </w:p>
        </w:tc>
        <w:tc>
          <w:tcPr>
            <w:tcW w:w="425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Участие представителя завода изготовителя (поставщика) в проверке качества и комплектности поставляемой КТП</w:t>
            </w:r>
          </w:p>
        </w:tc>
        <w:tc>
          <w:tcPr>
            <w:tcW w:w="368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Нет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suppressAutoHyphens w:val="true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>*Указанные в настоящем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требований, обозначенных как «параметры эквивалентности».</w:t>
      </w:r>
    </w:p>
    <w:p>
      <w:pPr>
        <w:pStyle w:val="Normal"/>
        <w:suppressAutoHyphens w:val="true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p>
      <w:pPr>
        <w:pStyle w:val="Normal"/>
        <w:suppressAutoHyphens w:val="true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>Примечание: В случае если какой-либо из указанных в настоящих Технических требованиях ГОСТ или нормативный документ был отменен в связи с выпуском новой редакции стандарта, то Участнику необходимо применять актуализированный ГОСТ или нормативный документ, принятый в его развитие.</w:t>
      </w:r>
    </w:p>
    <w:p>
      <w:pPr>
        <w:pStyle w:val="Normal"/>
        <w:suppressAutoHyphens w:val="true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284" w:leader="none"/>
        </w:tabs>
        <w:spacing w:lineRule="auto" w:line="276"/>
        <w:jc w:val="both"/>
        <w:rPr>
          <w:vanish/>
          <w:sz w:val="24"/>
          <w:szCs w:val="24"/>
          <w:lang w:val="x-none" w:eastAsia="x-none"/>
        </w:rPr>
      </w:pPr>
      <w:r>
        <w:rPr>
          <w:vanish/>
          <w:sz w:val="24"/>
          <w:szCs w:val="24"/>
          <w:lang w:val="x-none" w:eastAsia="x-none"/>
        </w:rPr>
      </w:r>
    </w:p>
    <w:p>
      <w:pPr>
        <w:pStyle w:val="Heading2"/>
        <w:numPr>
          <w:ilvl w:val="0"/>
          <w:numId w:val="7"/>
        </w:numPr>
        <w:tabs>
          <w:tab w:val="clear" w:pos="708"/>
          <w:tab w:val="left" w:pos="284" w:leader="none"/>
        </w:tabs>
        <w:suppressAutoHyphens w:val="true"/>
        <w:spacing w:lineRule="auto" w:line="276" w:before="120" w:after="120"/>
        <w:ind w:left="567" w:hanging="567"/>
        <w:rPr/>
      </w:pPr>
      <w:bookmarkStart w:id="89" w:name="_Toc161924633"/>
      <w:bookmarkEnd w:id="89"/>
      <w:r>
        <w:rPr/>
        <w:t>В составе заявки необходимо предоставить: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ТТ, предоставляет следующие документы: 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>3.1. Техническое предложение, подготовленное в соответствии с настоящими ТТ и Приложением №1 к ТТ по форме, представленной в документации о закупке. При описании продукции Участник обязан подтвердить соответствие поставляемой продукции требованиям в отношении всех показателей, которые установлены в ТТ и Приложении 1 к ТТ. При этом должны указываться точные и не допускающие двусмысленного толкования показатели;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>3.2. В соответствии с Федеральным Законом от 27.12.2002 г. № 184-ФЗ «О техническом регулировании», Постановлением Правительства РФ от 23.12.2021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 в составе заявки предоставить: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>а) Копию Декларации о соответствии на «КТП» о соответствии требованиям ГОСТ 14695-80, ГОСТ 1516.3-96 (с приложением протоколов исследований (испытаний), с положительным результатом, проведенных в аккредитованной в установленном порядке испытательной лаборатории (центре) или сертификаты системы качества изготовителя, выданные органом по сертификации, аккредитованным в установленном порядке, на основании которых эта декларация принята.)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Копию Декларации о соответствии на «силовые трансформаторы» о соответствии требованиям ГОСТ 1516.3-96, ГОСТ 12.2.007.2-75; ГОСТ 12.2.024 – 87, ГОСТ Р 52719-2007 (с приложением протоколов исследований (испытаний), с положительным результатом, проведенных в аккредитованной в установленном порядке испытательной лаборатории (центре) или сертификаты системы качества изготовителя, выданные органом по сертификации, аккредитованным в установленном порядке, на основании которых эта декларация принята). 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>в) Копию Декларации о соответствии на «КСО» о соответствии требованиям ГОСТ 12.2.007.4-75; ГОСТ 1516.3-96 (с приложением протоколов исследований (испытаний), с положительным результатом, проведенных в аккредитованной в установленном порядке испытательной лаборатории (центре) или сертификаты системы качества изготовителя, выданные органом по сертификации, аккредитованным в установленном порядке, на основании которых эта декларация принята).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>Декларации о соответствии, должны иметь электронную регистрацию в едином реестре деклараций на сайте https://fsa.gov.ru/ (требование п.6 ст.24 ФЗ-184), статус действующего документа.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>3.3. Габаритные и установочные чертежи, чертежи компоновки оборудования (участник разрабатывает и предоставляет самостоятельно);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>3.4. Руководство (инструкцию) по эксплуатации на КТП, РУНН (ЩО), РУВН (КСО), силовые трансформаторы (ТМГ);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>3.5. Протоколы испытаний, проведенных в аккредитованной испытательной лаборатории, подтверждающих соответствие оборудования требованиям по сейсмостойкости по шкале MSK-64 (СП 14.13330.2014 «Свод правил строительства в сейсмических районах») на трансформаторные подстанции и силовые трансформаторы;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>3.6. Копию паспорта изделия на ранее изготовленную продукцию (КТП);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>3.7. Схема электрическая принципиальная (участник разрабатывает и предоставляет самостоятельно);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>3.8. Сертификат (свидетельство) об утверждении типа средств измерений на счетчики, трансформаторы тока, в соответствии с Федеральным Законом от 26.06.2008 г. № 102-ФЗ «Об обеспечении единства измерений», применяемые в сфере государственного регулирования, должны иметь действующее «Свидетельство об утверждении типа».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>3.9. Отсканированную копию технических условий (полный текст), в соответствии с которыми изготавливаются КТП, РУНН (ЩО), РУВН (КСО), силовые трансформаторы (ТМГ);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>3.10. Техническое описание КТП и встроенного оборудования (ячейки 6-10 кВ, панели 0,4 кВ, силовой трансформатор): общая информация, расшифровка условного обозначения, назначение и область применения, описание конструкции, основные параметры и технические характеристики, комплектность поставки.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3.11. Действующий Сертификат соответствия панелей ЩО требованиям Технического регламента Таможенного союза ТР ТС 004/2011 «О безопасности низковольтного оборудования» с приложением протокола испытаний, на основании которого был выдан сертификат.  </w:t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3.12. Документы, подтверждающие страну происхождения товара в целях предоставления национального режима, в соответствии с требованиями</w:t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Постановления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 (далее - Постановление № 1875) или гарантийное письмо (в соответствии с разъяснением Министерства Финансов РФ от 31.01.2025 №24-01-06/8697) о представлении поставщиком информации и документов, подтверждающих страну происхождения товара в соответствии с требованиями Постановления № 1875 до момента поставки товара заказчику (ук</w:t>
      </w:r>
      <w:bookmarkStart w:id="90" w:name="_GoBack"/>
      <w:bookmarkEnd w:id="90"/>
      <w:r>
        <w:rPr>
          <w:sz w:val="24"/>
          <w:szCs w:val="24"/>
          <w:lang w:eastAsia="x-none"/>
        </w:rPr>
        <w:t>азанные требования должны быть отражены в гарантийном письме).".</w:t>
      </w:r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  <w:bookmarkStart w:id="91" w:name="_Toc161924633"/>
      <w:bookmarkStart w:id="92" w:name="_Toc161924633"/>
      <w:bookmarkEnd w:id="92"/>
    </w:p>
    <w:p>
      <w:pPr>
        <w:pStyle w:val="ListParagraph"/>
        <w:numPr>
          <w:ilvl w:val="0"/>
          <w:numId w:val="7"/>
        </w:numPr>
        <w:tabs>
          <w:tab w:val="clear" w:pos="708"/>
          <w:tab w:val="left" w:pos="284" w:leader="none"/>
        </w:tabs>
        <w:spacing w:lineRule="auto" w:line="276"/>
        <w:ind w:left="0" w:hanging="0"/>
        <w:rPr>
          <w:b/>
          <w:bCs/>
          <w:lang w:eastAsia="x-none"/>
        </w:rPr>
      </w:pPr>
      <w:r>
        <w:rPr>
          <w:b/>
        </w:rPr>
        <w:t>Т</w:t>
      </w:r>
      <w:r>
        <w:rPr>
          <w:b/>
          <w:bCs/>
          <w:lang w:eastAsia="x-none"/>
        </w:rPr>
        <w:t>ребования к документации по ценообразованию на этапе закупки</w:t>
      </w:r>
    </w:p>
    <w:p>
      <w:pPr>
        <w:pStyle w:val="Heading2"/>
        <w:numPr>
          <w:ilvl w:val="0"/>
          <w:numId w:val="0"/>
        </w:numPr>
        <w:tabs>
          <w:tab w:val="clear" w:pos="708"/>
          <w:tab w:val="left" w:pos="284" w:leader="none"/>
        </w:tabs>
        <w:suppressAutoHyphens w:val="true"/>
        <w:spacing w:lineRule="auto" w:line="276" w:before="0" w:after="0"/>
        <w:ind w:left="0" w:hanging="0"/>
        <w:rPr>
          <w:b w:val="false"/>
        </w:rPr>
      </w:pPr>
      <w:r>
        <w:rPr>
          <w:b w:val="false"/>
        </w:rPr>
        <w:t>4.1.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spacing w:lineRule="auto" w:line="276"/>
        <w:rPr>
          <w:sz w:val="24"/>
          <w:szCs w:val="24"/>
        </w:rPr>
      </w:pPr>
      <w:r>
        <w:rPr>
          <w:sz w:val="24"/>
          <w:szCs w:val="24"/>
          <w:lang w:val="x-none"/>
        </w:rPr>
        <w:t>4.2. Дополнительные документы по ценообразованию в состав заявки не включаются.</w:t>
      </w:r>
    </w:p>
    <w:p>
      <w:pPr>
        <w:pStyle w:val="Normal"/>
        <w:spacing w:lineRule="auto" w:line="27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numPr>
          <w:ilvl w:val="0"/>
          <w:numId w:val="7"/>
        </w:numPr>
        <w:tabs>
          <w:tab w:val="clear" w:pos="708"/>
          <w:tab w:val="left" w:pos="426" w:leader="none"/>
        </w:tabs>
        <w:suppressAutoHyphens w:val="true"/>
        <w:spacing w:lineRule="auto" w:line="276" w:before="0" w:after="0"/>
        <w:ind w:left="0" w:hanging="0"/>
        <w:rPr/>
      </w:pPr>
      <w:bookmarkStart w:id="93" w:name="_Toc161924635"/>
      <w:r>
        <w:rPr>
          <w:lang w:val="ru-RU"/>
        </w:rPr>
        <w:t>Приложения</w:t>
      </w:r>
      <w:bookmarkEnd w:id="93"/>
    </w:p>
    <w:p>
      <w:pPr>
        <w:pStyle w:val="ListParagraph"/>
        <w:numPr>
          <w:ilvl w:val="0"/>
          <w:numId w:val="13"/>
        </w:numPr>
        <w:suppressAutoHyphens w:val="true"/>
        <w:ind w:left="0" w:hanging="0"/>
        <w:rPr/>
      </w:pPr>
      <w:r>
        <w:rPr/>
        <w:t>Опросный лист 2КТП-К/К 6</w:t>
      </w:r>
      <w:r>
        <w:rPr/>
        <w:t>3</w:t>
      </w:r>
      <w:r>
        <w:rPr/>
        <w:t>0 кВА 6/0,4 кВ</w:t>
      </w:r>
    </w:p>
    <w:p>
      <w:pPr>
        <w:pStyle w:val="ListParagraph"/>
        <w:numPr>
          <w:ilvl w:val="0"/>
          <w:numId w:val="13"/>
        </w:numPr>
        <w:suppressAutoHyphens w:val="true"/>
        <w:ind w:left="0" w:hanging="0"/>
        <w:rPr/>
      </w:pPr>
      <w:r>
        <w:rPr/>
        <w:t>Опросный лист 2КТП-К/К 6</w:t>
      </w:r>
      <w:r>
        <w:rPr/>
        <w:t>3</w:t>
      </w:r>
      <w:r>
        <w:rPr/>
        <w:t xml:space="preserve">0 кВА </w:t>
      </w:r>
      <w:r>
        <w:rPr/>
        <w:t>10</w:t>
      </w:r>
      <w:r>
        <w:rPr/>
        <w:t>/0,4 кВ</w:t>
      </w:r>
    </w:p>
    <w:p>
      <w:pPr>
        <w:pStyle w:val="ListParagraph"/>
        <w:suppressAutoHyphens w:val="true"/>
        <w:ind w:left="0" w:hanging="0"/>
        <w:rPr>
          <w:sz w:val="24"/>
          <w:szCs w:val="24"/>
          <w:lang w:val="x-none" w:eastAsia="x-none"/>
        </w:rPr>
      </w:pPr>
      <w:r>
        <w:rPr/>
      </w:r>
      <w:bookmarkStart w:id="94" w:name="_Toc46743511"/>
      <w:bookmarkStart w:id="95" w:name="_Toc75446581"/>
      <w:bookmarkStart w:id="96" w:name="_Toc51339698"/>
      <w:bookmarkStart w:id="97" w:name="_Toc51339698_Копия_1"/>
      <w:bookmarkStart w:id="98" w:name="_Toc46743511"/>
      <w:bookmarkStart w:id="99" w:name="_Toc75446581"/>
      <w:bookmarkStart w:id="100" w:name="_Toc51339698"/>
      <w:bookmarkStart w:id="101" w:name="_Toc51339698_Копия_1"/>
      <w:bookmarkEnd w:id="98"/>
      <w:bookmarkEnd w:id="99"/>
      <w:bookmarkEnd w:id="100"/>
      <w:bookmarkEnd w:id="101"/>
    </w:p>
    <w:sectPr>
      <w:headerReference w:type="default" r:id="rId4"/>
      <w:headerReference w:type="first" r:id="rId5"/>
      <w:type w:val="nextPage"/>
      <w:pgSz w:orient="landscape" w:w="16838" w:h="11906"/>
      <w:pgMar w:left="992" w:right="567" w:gutter="0" w:header="680" w:top="851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/>
    </w:lvl>
  </w:abstractNum>
  <w:abstractNum w:abstractNumId="9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sz w:val="22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2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3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86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/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3ca7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uiPriority w:val="99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basedOn w:val="DefaultParagraphFont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ConsPlusNormal" w:customStyle="1">
    <w:name w:val="ConsPlusNormal Знак"/>
    <w:link w:val="ConsPlusNormal1"/>
    <w:qFormat/>
    <w:rsid w:val="005e6869"/>
    <w:rPr>
      <w:rFonts w:ascii="Arial" w:hAnsi="Arial" w:cs="Arial"/>
    </w:rPr>
  </w:style>
  <w:style w:type="character" w:styleId="Style14" w:customStyle="1">
    <w:name w:val="Нижний колонтитул Знак"/>
    <w:basedOn w:val="DefaultParagraphFont"/>
    <w:qFormat/>
    <w:rsid w:val="00be0fde"/>
    <w:rPr>
      <w:sz w:val="28"/>
      <w:szCs w:val="2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4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3" w:customStyle="1">
    <w:name w:val="List 3"/>
    <w:basedOn w:val="Normal"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1" w:customStyle="1">
    <w:name w:val="ConsPlusNormal"/>
    <w:link w:val="ConsPlusNormal"/>
    <w:qFormat/>
    <w:rsid w:val="00d22f6d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Headertext" w:customStyle="1">
    <w:name w:val="headertext"/>
    <w:basedOn w:val="Normal"/>
    <w:qFormat/>
    <w:rsid w:val="005e6869"/>
    <w:pPr>
      <w:spacing w:beforeAutospacing="1" w:afterAutospacing="1"/>
    </w:pPr>
    <w:rPr>
      <w:sz w:val="24"/>
      <w:szCs w:val="24"/>
    </w:rPr>
  </w:style>
  <w:style w:type="paragraph" w:styleId="Formattext" w:customStyle="1">
    <w:name w:val="formattext"/>
    <w:basedOn w:val="Normal"/>
    <w:qFormat/>
    <w:rsid w:val="005e6869"/>
    <w:pPr>
      <w:spacing w:beforeAutospacing="1" w:afterAutospacing="1"/>
    </w:pPr>
    <w:rPr>
      <w:sz w:val="24"/>
      <w:szCs w:val="24"/>
    </w:rPr>
  </w:style>
  <w:style w:type="paragraph" w:styleId="ListNum" w:customStyle="1">
    <w:name w:val="ListNum"/>
    <w:qFormat/>
    <w:rsid w:val="005e6869"/>
    <w:pPr>
      <w:widowControl w:val="false"/>
      <w:pBdr/>
      <w:tabs>
        <w:tab w:val="clear" w:pos="708"/>
        <w:tab w:val="left" w:pos="284" w:leader="none"/>
        <w:tab w:val="left" w:pos="1260" w:leader="none"/>
      </w:tabs>
      <w:suppressAutoHyphens w:val="true"/>
      <w:bidi w:val="0"/>
      <w:spacing w:before="60" w:after="0"/>
      <w:jc w:val="both"/>
    </w:pPr>
    <w:rPr>
      <w:rFonts w:ascii="Times New Roman" w:hAnsi="Times New Roman" w:eastAsia="Times New Roman" w:cs="Times New Roman"/>
      <w:color w:val="000000"/>
      <w:kern w:val="0"/>
      <w:sz w:val="22"/>
      <w:szCs w:val="22"/>
      <w:u w:val="none" w:color="000000"/>
      <w:lang w:val="ru-RU" w:eastAsia="ru-RU" w:bidi="ar-SA"/>
    </w:rPr>
  </w:style>
  <w:style w:type="paragraph" w:styleId="Default" w:customStyle="1">
    <w:name w:val="Default"/>
    <w:qFormat/>
    <w:rsid w:val="005e6869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F5478-0918-4479-9FD1-C33EA512E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AlterOffice/3.4.0.9$Linux_X86_64 LibreOffice_project/b8daf9e823b1a5463a2f48435ddc2e8696e7d4fc</Application>
  <AppVersion>15.0000</AppVersion>
  <Pages>11</Pages>
  <Words>1952</Words>
  <Characters>13706</Characters>
  <CharactersWithSpaces>15335</CharactersWithSpaces>
  <Paragraphs>328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2026-02-27T00:52:00Z</dcterms:created>
  <dc:creator>Бурнашев Дмитрий Александрович</dc:creator>
  <dc:description/>
  <dc:language>ru-RU</dc:language>
  <cp:lastModifiedBy>popovaaa</cp:lastModifiedBy>
  <cp:lastPrinted>2026-03-10T23:54:00Z</cp:lastPrinted>
  <dcterms:modified xsi:type="dcterms:W3CDTF">2026-08-31T11:01:28Z</dcterms:modified>
  <cp:revision>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