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>Директор Центрального  филиала АО «ТК РусГидро»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 xml:space="preserve">_____________ </w:t>
      </w:r>
      <w:r>
        <w:rPr>
          <w:sz w:val="24"/>
          <w:szCs w:val="24"/>
        </w:rPr>
        <w:t>М. В. Нешев</w:t>
      </w:r>
    </w:p>
    <w:p>
      <w:pPr>
        <w:pStyle w:val="Normal"/>
        <w:spacing w:before="17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>«____» ______________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Технические требования на оказание услуг</w:t>
      </w:r>
    </w:p>
    <w:p>
      <w:pPr>
        <w:pStyle w:val="Heading1"/>
        <w:numPr>
          <w:ilvl w:val="0"/>
          <w:numId w:val="1"/>
        </w:numPr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Normal"/>
        <w:widowControl w:val="false"/>
        <w:numPr>
          <w:ilvl w:val="0"/>
          <w:numId w:val="1"/>
        </w:numPr>
        <w:jc w:val="center"/>
        <w:rPr>
          <w:sz w:val="28"/>
        </w:rPr>
      </w:pPr>
      <w:r>
        <w:rPr>
          <w:sz w:val="28"/>
          <w:lang w:eastAsia="ru-RU"/>
        </w:rPr>
        <w:t>ОКПД2 86.21.10.120 Услуги медицинского наркологического освидетельствования с химико-токсикологическим исследованием мочи на наличие в организме человека наркотических средств,</w:t>
      </w:r>
    </w:p>
    <w:p>
      <w:pPr>
        <w:pStyle w:val="Style18"/>
        <w:widowControl w:val="false"/>
        <w:numPr>
          <w:ilvl w:val="0"/>
          <w:numId w:val="1"/>
        </w:numPr>
        <w:jc w:val="center"/>
        <w:rPr>
          <w:sz w:val="28"/>
        </w:rPr>
      </w:pPr>
      <w:r>
        <w:rPr>
          <w:rFonts w:eastAsia="Times New Roman" w:cs="Times New Roman" w:ascii="Times New Roman" w:hAnsi="Times New Roman"/>
          <w:sz w:val="28"/>
          <w:lang w:eastAsia="ru-RU"/>
        </w:rPr>
        <w:t xml:space="preserve">психотропных веществ и их метаболитов для нужд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Верхневолжского транспортного участка</w:t>
      </w:r>
      <w:r>
        <w:rPr>
          <w:rFonts w:eastAsia="Times New Roman" w:cs="Times New Roman" w:ascii="Times New Roman" w:hAnsi="Times New Roman"/>
          <w:sz w:val="28"/>
          <w:lang w:eastAsia="ru-RU"/>
        </w:rPr>
        <w:t xml:space="preserve"> Центрального филиала АО "ТК РусГидро"  </w:t>
      </w:r>
    </w:p>
    <w:p>
      <w:pPr>
        <w:pStyle w:val="Style18"/>
        <w:widowControl w:val="false"/>
        <w:numPr>
          <w:ilvl w:val="0"/>
          <w:numId w:val="1"/>
        </w:numPr>
        <w:jc w:val="center"/>
        <w:rPr>
          <w:sz w:val="28"/>
        </w:rPr>
      </w:pPr>
      <w:r>
        <w:rPr>
          <w:rFonts w:eastAsia="Times New Roman" w:cs="Times New Roman" w:ascii="Times New Roman" w:hAnsi="Times New Roman"/>
          <w:sz w:val="28"/>
          <w:lang w:eastAsia="ru-RU"/>
        </w:rPr>
        <w:t>в г. Рыбинск</w:t>
      </w:r>
    </w:p>
    <w:p>
      <w:pPr>
        <w:pStyle w:val="Style18"/>
        <w:widowControl w:val="false"/>
        <w:numPr>
          <w:ilvl w:val="0"/>
          <w:numId w:val="1"/>
        </w:numPr>
        <w:jc w:val="center"/>
        <w:rPr>
          <w:sz w:val="28"/>
        </w:rPr>
      </w:pPr>
      <w:r>
        <w:rPr>
          <w:sz w:val="28"/>
        </w:rPr>
      </w:r>
    </w:p>
    <w:p>
      <w:pPr>
        <w:pStyle w:val="Style18"/>
        <w:widowControl w:val="false"/>
        <w:numPr>
          <w:ilvl w:val="0"/>
          <w:numId w:val="1"/>
        </w:numPr>
        <w:jc w:val="center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0"/>
          <w:lang w:val="ru-RU" w:eastAsia="ru-RU" w:bidi="ar-SA"/>
        </w:rPr>
        <w:t xml:space="preserve"> </w:t>
      </w:r>
    </w:p>
    <w:p>
      <w:pPr>
        <w:pStyle w:val="Normal"/>
        <w:widowControl w:val="false"/>
        <w:numPr>
          <w:ilvl w:val="0"/>
          <w:numId w:val="1"/>
        </w:numPr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sz w:val="24"/>
          <w:szCs w:val="24"/>
          <w:lang w:eastAsia="en-US"/>
        </w:rPr>
      </w:pPr>
      <w:r>
        <w:rPr>
          <w:rFonts w:eastAsia="Calibri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sz w:val="24"/>
          <w:szCs w:val="24"/>
          <w:lang w:eastAsia="en-US"/>
        </w:rPr>
      </w:pPr>
      <w:r>
        <w:rPr>
          <w:rFonts w:eastAsia="Calibri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sz w:val="24"/>
          <w:szCs w:val="24"/>
          <w:lang w:eastAsia="en-US"/>
        </w:rPr>
      </w:pPr>
      <w:r>
        <w:rPr>
          <w:rFonts w:eastAsia="Calibri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sz w:val="24"/>
          <w:szCs w:val="24"/>
          <w:lang w:eastAsia="en-US"/>
        </w:rPr>
      </w:pPr>
      <w:r>
        <w:rPr>
          <w:rFonts w:eastAsia="Calibri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sz w:val="24"/>
          <w:szCs w:val="24"/>
          <w:lang w:eastAsia="en-US"/>
        </w:rPr>
      </w:pPr>
      <w:r>
        <w:rPr>
          <w:rFonts w:eastAsia="Calibri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sz w:val="24"/>
          <w:szCs w:val="24"/>
          <w:lang w:eastAsia="en-US"/>
        </w:rPr>
      </w:pPr>
      <w:r>
        <w:rPr>
          <w:rFonts w:eastAsia="Calibri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br w:type="page"/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numPr>
          <w:ilvl w:val="0"/>
          <w:numId w:val="2"/>
        </w:numPr>
        <w:ind w:left="426" w:hanging="426"/>
        <w:rPr/>
      </w:pPr>
      <w:r>
        <w:rPr>
          <w:b/>
          <w:sz w:val="24"/>
          <w:szCs w:val="24"/>
        </w:rPr>
        <w:t>Общие сведения …………………………………………………………………………… 3</w:t>
      </w:r>
    </w:p>
    <w:p>
      <w:pPr>
        <w:pStyle w:val="Normal"/>
        <w:numPr>
          <w:ilvl w:val="1"/>
          <w:numId w:val="2"/>
        </w:numPr>
        <w:rPr/>
      </w:pPr>
      <w:r>
        <w:rPr/>
        <w:t>Обозначения и сокращения                                                                                                                            3</w:t>
      </w:r>
    </w:p>
    <w:p>
      <w:pPr>
        <w:pStyle w:val="Normal"/>
        <w:numPr>
          <w:ilvl w:val="1"/>
          <w:numId w:val="2"/>
        </w:numPr>
        <w:rPr/>
      </w:pPr>
      <w:r>
        <w:rPr/>
        <w:t>Наименование закупаемой продукции                                                                                                          4</w:t>
      </w:r>
    </w:p>
    <w:p>
      <w:pPr>
        <w:pStyle w:val="Normal"/>
        <w:numPr>
          <w:ilvl w:val="1"/>
          <w:numId w:val="2"/>
        </w:numPr>
        <w:rPr/>
      </w:pPr>
      <w:r>
        <w:rPr/>
        <w:t>Цели оказания услуг                                                                                                                                        4</w:t>
      </w:r>
    </w:p>
    <w:p>
      <w:pPr>
        <w:pStyle w:val="Normal"/>
        <w:numPr>
          <w:ilvl w:val="1"/>
          <w:numId w:val="2"/>
        </w:numPr>
        <w:rPr/>
      </w:pPr>
      <w:r>
        <w:rPr/>
        <w:t xml:space="preserve">Информация в отношении исполнения договора, которая должна быть учтена при подготовке </w:t>
      </w:r>
    </w:p>
    <w:p>
      <w:pPr>
        <w:pStyle w:val="Normal"/>
        <w:ind w:left="786" w:hanging="0"/>
        <w:rPr/>
      </w:pPr>
      <w:r>
        <w:rPr/>
        <w:t>заявки (в том числе перечень ресурсов, услуг и документов, предоставляемых заказчиком на этапе исполнения договора)                                                                                                                                      4</w:t>
      </w:r>
    </w:p>
    <w:p>
      <w:pPr>
        <w:pStyle w:val="Normal"/>
        <w:ind w:left="786" w:hanging="360"/>
        <w:rPr/>
      </w:pPr>
      <w:r>
        <w:rPr>
          <w:b/>
          <w:bCs/>
          <w:sz w:val="24"/>
          <w:szCs w:val="24"/>
        </w:rPr>
        <w:t>Таблица 1. Перечень объектов заказчика ……………………………………………….4</w:t>
      </w:r>
    </w:p>
    <w:p>
      <w:pPr>
        <w:pStyle w:val="Normal"/>
        <w:numPr>
          <w:ilvl w:val="0"/>
          <w:numId w:val="2"/>
        </w:numPr>
        <w:ind w:left="426" w:hanging="426"/>
        <w:rPr/>
      </w:pPr>
      <w:r>
        <w:rPr>
          <w:b/>
          <w:bCs/>
          <w:sz w:val="24"/>
          <w:szCs w:val="24"/>
        </w:rPr>
        <w:t>Требования к продукции …………………………………………………………………..5</w:t>
      </w:r>
    </w:p>
    <w:p>
      <w:pPr>
        <w:pStyle w:val="Normal"/>
        <w:ind w:left="426" w:hanging="0"/>
        <w:rPr/>
      </w:pPr>
      <w:r>
        <w:rPr/>
        <w:t xml:space="preserve">2.1 </w:t>
      </w:r>
      <w:r>
        <w:rPr>
          <w:bCs/>
        </w:rPr>
        <w:t>Требования к объемам и срокам оказания услуг                                                                                           5</w:t>
      </w:r>
    </w:p>
    <w:p>
      <w:pPr>
        <w:pStyle w:val="Normal"/>
        <w:ind w:left="426" w:hanging="0"/>
        <w:rPr/>
      </w:pPr>
      <w:r>
        <w:rPr>
          <w:bCs/>
        </w:rPr>
        <w:t>2.1.1 Требования к перечню</w:t>
      </w:r>
      <w:r>
        <w:rPr/>
        <w:t xml:space="preserve"> и объему услуг                                                                                                        5</w:t>
      </w:r>
    </w:p>
    <w:p>
      <w:pPr>
        <w:pStyle w:val="Normal"/>
        <w:ind w:left="426" w:hanging="0"/>
        <w:rPr/>
      </w:pPr>
      <w:r>
        <w:rPr>
          <w:b/>
          <w:sz w:val="24"/>
          <w:szCs w:val="24"/>
        </w:rPr>
        <w:t>Таблица 2. Перечень и объем оказываемых услуг ……………………………………..6</w:t>
      </w:r>
    </w:p>
    <w:p>
      <w:pPr>
        <w:pStyle w:val="Normal"/>
        <w:ind w:left="426" w:hanging="0"/>
        <w:rPr/>
      </w:pPr>
      <w:r>
        <w:rPr/>
        <w:t>2.1.2 Требования к срокам оказания услуг                                                                                                           6</w:t>
      </w:r>
    </w:p>
    <w:p>
      <w:pPr>
        <w:pStyle w:val="Normal"/>
        <w:ind w:left="426" w:hanging="0"/>
        <w:rPr/>
      </w:pPr>
      <w:r>
        <w:rPr>
          <w:b/>
          <w:sz w:val="24"/>
          <w:szCs w:val="24"/>
        </w:rPr>
        <w:t>Таблица 3. Требования к срокам оказания услуг……………………………………….6</w:t>
      </w:r>
    </w:p>
    <w:p>
      <w:pPr>
        <w:pStyle w:val="Heading4"/>
        <w:numPr>
          <w:ilvl w:val="0"/>
          <w:numId w:val="2"/>
        </w:numPr>
        <w:tabs>
          <w:tab w:val="clear" w:pos="720"/>
          <w:tab w:val="left" w:pos="284" w:leader="none"/>
        </w:tabs>
        <w:spacing w:before="120" w:after="60"/>
        <w:ind w:left="0" w:hanging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Требования к исполнителю (и соисполнителям) и его обязательствам, влияющим на исполнение договора…………………………………………………………………………………………...6</w:t>
      </w:r>
    </w:p>
    <w:p>
      <w:pPr>
        <w:pStyle w:val="Normal"/>
        <w:numPr>
          <w:ilvl w:val="0"/>
          <w:numId w:val="2"/>
        </w:num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документации по ценообразованию на этапе закупки ……………….6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/>
          </w:pPr>
          <w:r>
            <w:fldChar w:fldCharType="begin"/>
          </w:r>
          <w:r>
            <w:rPr/>
            <w:instrText xml:space="preserve"> TOC \z \o "1-4" \u \h</w:instrText>
          </w:r>
          <w:r>
            <w:rPr/>
            <w:fldChar w:fldCharType="separate"/>
          </w:r>
          <w:r>
            <w:rPr/>
          </w:r>
        </w:p>
        <w:p>
          <w:pPr>
            <w:pStyle w:val="Normal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rPr>
              <w:b/>
              <w:sz w:val="24"/>
              <w:szCs w:val="24"/>
            </w:rPr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4"/>
        </w:numPr>
        <w:spacing w:before="120" w:after="60"/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sz w:val="28"/>
          <w:szCs w:val="28"/>
        </w:rPr>
        <w:t>Общие сведения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hanging="432"/>
        <w:outlineLvl w:val="3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1.1 Обозначения и сокращения</w:t>
      </w:r>
    </w:p>
    <w:p>
      <w:pPr>
        <w:pStyle w:val="Normal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tbl>
      <w:tblPr>
        <w:tblW w:w="95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41"/>
        <w:gridCol w:w="724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РФ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АО «ТК РусГидро»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Акционерное общество «Транспортной компании РусГидро»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ХТИ</w:t>
            </w:r>
          </w:p>
        </w:tc>
        <w:tc>
          <w:tcPr>
            <w:tcW w:w="7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Химико-токсикологическое исследование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ВТУ</w:t>
            </w:r>
          </w:p>
        </w:tc>
        <w:tc>
          <w:tcPr>
            <w:tcW w:w="7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Верхневолжский транспортный участок</w:t>
            </w:r>
          </w:p>
        </w:tc>
      </w:tr>
    </w:tbl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numPr>
          <w:ilvl w:val="1"/>
          <w:numId w:val="5"/>
        </w:numPr>
        <w:ind w:left="426" w:hanging="426"/>
        <w:jc w:val="both"/>
        <w:rPr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Наименование закупаемой продукции</w:t>
      </w:r>
    </w:p>
    <w:p>
      <w:pPr>
        <w:pStyle w:val="Normal"/>
        <w:widowControl w:val="fals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ОКПД2 86.21.10.120 Услуги медицинского наркологического освидетельствования с химико-токсикологическим исследованием мочи на наличие в организме человека наркотических средств, психотропных веществ и их метаболитов для нужд ВТУ Центрального филиала АО "ТК РусГидро" в г. Рыбинск.</w:t>
      </w:r>
    </w:p>
    <w:p>
      <w:pPr>
        <w:pStyle w:val="Normal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</w:p>
    <w:p>
      <w:pPr>
        <w:pStyle w:val="Normal"/>
        <w:numPr>
          <w:ilvl w:val="1"/>
          <w:numId w:val="5"/>
        </w:numPr>
        <w:ind w:left="426" w:hanging="426"/>
        <w:jc w:val="both"/>
        <w:outlineLvl w:val="8"/>
        <w:rPr>
          <w:bCs/>
          <w:spacing w:val="-2"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Цель оказания услуг</w:t>
      </w:r>
    </w:p>
    <w:p>
      <w:pPr>
        <w:pStyle w:val="Normal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1.3.1 На основании требований ч. 11 ст. 46 Федерального закона № 323-ФЗ в редакции ст. 1 Федерального закона № 629-ФЗ, водители, которые проходят медосмотры дистанционно, должны не реже 2 (двух) раз в год направляться на очные химико-токсикологические исследования, что снижает вероятность допуска к управлению транспортными средствами лиц с зависимостью от наркотических средств и психотропных веществ.</w:t>
      </w:r>
    </w:p>
    <w:p>
      <w:pPr>
        <w:pStyle w:val="Normal"/>
        <w:jc w:val="both"/>
        <w:rPr>
          <w:bCs/>
          <w:spacing w:val="-2"/>
          <w:sz w:val="24"/>
          <w:szCs w:val="24"/>
        </w:rPr>
      </w:pPr>
      <w:r>
        <w:rPr>
          <w:bCs/>
          <w:color w:val="000000"/>
          <w:spacing w:val="-2"/>
          <w:sz w:val="24"/>
          <w:szCs w:val="24"/>
          <w:lang w:eastAsia="ru-RU"/>
        </w:rPr>
        <w:t>1.3.2 Исполнение требований п.11 Приложения к Приказу Министерства здравоохранения Российской Федерации № 266н от 30.05.2023 «Об утверждении порядка и периодичности проведения предсменных, предрейсовых, послесменных, послерейсовых медицинских осмотров в течении рабочего дня (смены) и перечня включаемых в них исследований».</w:t>
      </w:r>
    </w:p>
    <w:p>
      <w:pPr>
        <w:pStyle w:val="Normal"/>
        <w:ind w:left="360"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ind w:left="360" w:hanging="0"/>
        <w:jc w:val="both"/>
        <w:rPr>
          <w:bCs/>
          <w:spacing w:val="-2"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Таблица 1. Перечень объектов заказчика</w:t>
      </w:r>
    </w:p>
    <w:p>
      <w:pPr>
        <w:pStyle w:val="Normal"/>
        <w:ind w:left="360"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tbl>
      <w:tblPr>
        <w:tblW w:w="964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7"/>
        <w:gridCol w:w="3713"/>
        <w:gridCol w:w="1859"/>
        <w:gridCol w:w="1810"/>
        <w:gridCol w:w="1773"/>
      </w:tblGrid>
      <w:tr>
        <w:trPr/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722" w:hRule="atLeas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ОКПД2 86.21.10.120 Услуги медицинского наркологического освидетельствования с химико-токсикологическим исследованием мочи на наличие в организме человека наркотических средств, психотропных веществ и их метаболитов для нужд ВТУ Центрального филиала АО "ТК РусГидро" в г. Рыбинск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Ярославская область,</w:t>
            </w:r>
          </w:p>
          <w:p>
            <w:pPr>
              <w:pStyle w:val="Normal"/>
              <w:widowControl w:val="false"/>
              <w:rPr>
                <w:shd w:fill="FFFF00" w:val="clear"/>
              </w:rPr>
            </w:pPr>
            <w:r>
              <w:rPr>
                <w:sz w:val="22"/>
                <w:szCs w:val="22"/>
              </w:rPr>
              <w:t>г. Рыбинск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 водителей  ВТУ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Центральный филиал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АО «ТК РусГидро»</w:t>
            </w:r>
          </w:p>
        </w:tc>
      </w:tr>
    </w:tbl>
    <w:p>
      <w:pPr>
        <w:pStyle w:val="Normal"/>
        <w:ind w:left="360"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jc w:val="both"/>
        <w:rPr>
          <w:bCs/>
          <w:spacing w:val="-2"/>
          <w:sz w:val="24"/>
          <w:szCs w:val="24"/>
        </w:rPr>
      </w:pPr>
      <w:bookmarkStart w:id="0" w:name="_Hlk49857604"/>
      <w:r>
        <w:rPr>
          <w:b/>
          <w:bCs/>
          <w:spacing w:val="-10"/>
          <w:sz w:val="24"/>
          <w:szCs w:val="24"/>
        </w:rPr>
        <w:t xml:space="preserve">1.4 Информация в отношении исполнения договора, </w:t>
      </w:r>
      <w:bookmarkStart w:id="1" w:name="_Hlk46492347"/>
      <w:r>
        <w:rPr>
          <w:b/>
          <w:bCs/>
          <w:spacing w:val="-10"/>
          <w:sz w:val="24"/>
          <w:szCs w:val="24"/>
        </w:rPr>
        <w:t xml:space="preserve">которая должна быть учтена при подготовке заявки </w:t>
      </w:r>
      <w:bookmarkEnd w:id="1"/>
      <w:r>
        <w:rPr>
          <w:b/>
          <w:bCs/>
          <w:spacing w:val="-10"/>
          <w:sz w:val="24"/>
          <w:szCs w:val="24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0"/>
    </w:p>
    <w:p>
      <w:pPr>
        <w:pStyle w:val="Normal"/>
        <w:tabs>
          <w:tab w:val="clear" w:pos="720"/>
          <w:tab w:val="left" w:pos="709" w:leader="none"/>
          <w:tab w:val="left" w:pos="3908" w:leader="none"/>
        </w:tabs>
        <w:spacing w:lineRule="atLeast" w:line="10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3908" w:leader="none"/>
        </w:tabs>
        <w:spacing w:lineRule="atLeast" w:line="100"/>
        <w:jc w:val="both"/>
        <w:rPr>
          <w:bCs/>
          <w:spacing w:val="-2"/>
          <w:sz w:val="24"/>
          <w:szCs w:val="24"/>
        </w:rPr>
      </w:pPr>
      <w:r>
        <w:rPr>
          <w:color w:val="00000A"/>
          <w:sz w:val="24"/>
          <w:szCs w:val="24"/>
        </w:rPr>
        <w:t>1.4.1. Оказание услуг по проведению</w:t>
      </w:r>
      <w:r>
        <w:rPr>
          <w:sz w:val="24"/>
          <w:szCs w:val="24"/>
        </w:rPr>
        <w:t xml:space="preserve"> химико-токсикологического исследования</w:t>
      </w:r>
      <w:r>
        <w:rPr>
          <w:color w:val="00000A"/>
          <w:sz w:val="24"/>
          <w:szCs w:val="24"/>
        </w:rPr>
        <w:t xml:space="preserve"> работников, согласно регламента установленного в п. 16-25 особенностей проведения медосмотров с использованием специальных медицинских изделий, утвержденных Постановлением Правительства РФ от 30.05.2023 №866 «Об особенностях проведения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здоровья».</w:t>
      </w:r>
    </w:p>
    <w:p>
      <w:pPr>
        <w:pStyle w:val="ListParagraph"/>
        <w:spacing w:before="0" w:after="120"/>
        <w:ind w:left="0" w:hanging="0"/>
        <w:contextualSpacing/>
        <w:jc w:val="both"/>
        <w:rPr>
          <w:bCs/>
          <w:spacing w:val="-2"/>
          <w:sz w:val="24"/>
          <w:szCs w:val="24"/>
        </w:rPr>
      </w:pPr>
      <w:r>
        <w:rPr>
          <w:color w:val="00000A"/>
          <w:sz w:val="24"/>
          <w:szCs w:val="24"/>
        </w:rPr>
        <w:t>1.</w:t>
      </w:r>
      <w:r>
        <w:rPr>
          <w:sz w:val="24"/>
          <w:szCs w:val="24"/>
        </w:rPr>
        <w:t>4.2. Ориентировочный объем и номенклатура услуг указаны в Таблице №2 к настоящим ТТ, при этом Заказчик имеет право вносить изменения в объем и номенклатуру услуг в зависимости от текущей потребности в рамках цены договора.</w:t>
      </w:r>
    </w:p>
    <w:p>
      <w:pPr>
        <w:pStyle w:val="BodyText"/>
        <w:tabs>
          <w:tab w:val="clear" w:pos="6521"/>
          <w:tab w:val="clear" w:pos="6946"/>
          <w:tab w:val="left" w:pos="0" w:leader="none"/>
          <w:tab w:val="left" w:pos="709" w:leader="none"/>
          <w:tab w:val="left" w:pos="1134" w:leader="none"/>
        </w:tabs>
        <w:jc w:val="both"/>
        <w:rPr>
          <w:bCs/>
          <w:spacing w:val="-2"/>
          <w:szCs w:val="24"/>
        </w:rPr>
      </w:pPr>
      <w:r>
        <w:rPr>
          <w:szCs w:val="24"/>
          <w:lang w:eastAsia="ru-RU"/>
        </w:rPr>
        <w:t>1.</w:t>
      </w:r>
      <w:r>
        <w:rPr>
          <w:szCs w:val="24"/>
        </w:rPr>
        <w:t xml:space="preserve">4.3. Исполнитель обязуется предоставить состав необходимых специалистов, обследований и процедур. </w:t>
      </w:r>
    </w:p>
    <w:p>
      <w:pPr>
        <w:pStyle w:val="Normal"/>
        <w:spacing w:lineRule="atLeast" w:line="100"/>
        <w:jc w:val="both"/>
        <w:rPr>
          <w:bCs/>
          <w:spacing w:val="-2"/>
          <w:sz w:val="24"/>
          <w:szCs w:val="24"/>
        </w:rPr>
      </w:pPr>
      <w:r>
        <w:rPr>
          <w:color w:val="00000A"/>
          <w:sz w:val="24"/>
          <w:szCs w:val="24"/>
        </w:rPr>
        <w:t xml:space="preserve">1.4.4. Своевременное оформление и предоставление Исполнителем справки о результатах химико-токсикологических исследований по </w:t>
      </w:r>
      <w:r>
        <w:rPr>
          <w:color w:val="000000"/>
          <w:sz w:val="24"/>
          <w:szCs w:val="24"/>
        </w:rPr>
        <w:t>форме,</w:t>
      </w:r>
      <w:r>
        <w:rPr>
          <w:color w:val="00000A"/>
          <w:sz w:val="24"/>
          <w:szCs w:val="24"/>
        </w:rPr>
        <w:t xml:space="preserve"> утвержденной Министерством здравоохранения Российской Федерации.</w:t>
      </w:r>
    </w:p>
    <w:p>
      <w:pPr>
        <w:pStyle w:val="Normal"/>
        <w:spacing w:lineRule="atLeast" w:line="100"/>
        <w:jc w:val="both"/>
        <w:rPr>
          <w:bCs/>
          <w:spacing w:val="-2"/>
          <w:sz w:val="24"/>
          <w:szCs w:val="24"/>
        </w:rPr>
      </w:pPr>
      <w:r>
        <w:rPr>
          <w:color w:val="00000A"/>
          <w:sz w:val="24"/>
          <w:szCs w:val="24"/>
        </w:rPr>
        <w:t>1.4.5. Исполнитель обязуется своевременно выдать работнику Заказчика копию справки о результатах химико-токсикологических исследований работника.</w:t>
      </w:r>
    </w:p>
    <w:p>
      <w:pPr>
        <w:pStyle w:val="Normal"/>
        <w:spacing w:lineRule="atLeast" w:line="100"/>
        <w:jc w:val="both"/>
        <w:rPr>
          <w:bCs/>
          <w:spacing w:val="-2"/>
          <w:sz w:val="24"/>
          <w:szCs w:val="24"/>
        </w:rPr>
      </w:pPr>
      <w:r>
        <w:rPr>
          <w:color w:val="00000A"/>
          <w:sz w:val="24"/>
          <w:szCs w:val="24"/>
        </w:rPr>
        <w:t>1.4.6. Сроки проведения химико-токсикологических исследований не должны превышать трех рабочих дней с момента поступления пробы биологического объекта в лабораторию.</w:t>
      </w:r>
    </w:p>
    <w:p>
      <w:pPr>
        <w:pStyle w:val="BodyText"/>
        <w:tabs>
          <w:tab w:val="clear" w:pos="6521"/>
          <w:tab w:val="clear" w:pos="6946"/>
          <w:tab w:val="left" w:pos="0" w:leader="none"/>
          <w:tab w:val="left" w:pos="709" w:leader="none"/>
          <w:tab w:val="left" w:pos="1134" w:leader="none"/>
        </w:tabs>
        <w:jc w:val="both"/>
        <w:rPr>
          <w:bCs/>
          <w:spacing w:val="-2"/>
          <w:szCs w:val="24"/>
        </w:rPr>
      </w:pPr>
      <w:r>
        <w:rPr>
          <w:color w:val="00000A"/>
          <w:szCs w:val="24"/>
        </w:rPr>
        <w:t>1.</w:t>
      </w:r>
      <w:r>
        <w:rPr>
          <w:szCs w:val="24"/>
        </w:rPr>
        <w:t>4.7. Исполнитель обязуется обеспечивать соблюдение режима врачебной тайны</w:t>
      </w:r>
      <w:r>
        <w:rPr>
          <w:rFonts w:eastAsia="Calibri"/>
          <w:szCs w:val="24"/>
        </w:rPr>
        <w:t xml:space="preserve"> и конфиденциальность и безопасность персональных данных лиц, проходивших периодические медицинские осмотры при их обработке, в соответствии с требованиями Федерального закона от 27.07.2006 №152-ФЗ «О персональных данных».</w:t>
      </w:r>
    </w:p>
    <w:p>
      <w:pPr>
        <w:pStyle w:val="Normal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before="0" w:after="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продукции.</w:t>
      </w:r>
    </w:p>
    <w:p>
      <w:pPr>
        <w:pStyle w:val="Normal"/>
        <w:spacing w:before="0" w:after="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ind w:left="360" w:hanging="36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 Требования к объемам и срокам оказания услуг</w:t>
      </w:r>
    </w:p>
    <w:p>
      <w:pPr>
        <w:pStyle w:val="Normal"/>
        <w:spacing w:before="0" w:after="0"/>
        <w:ind w:left="360" w:hanging="36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2.1.1 Требования к перечню</w:t>
      </w:r>
      <w:r>
        <w:rPr>
          <w:rFonts w:eastAsia="Calibri"/>
          <w:b/>
          <w:sz w:val="24"/>
          <w:szCs w:val="24"/>
        </w:rPr>
        <w:t xml:space="preserve"> и объему услуг</w:t>
      </w:r>
    </w:p>
    <w:p>
      <w:pPr>
        <w:pStyle w:val="Normal"/>
        <w:keepNext w:val="true"/>
        <w:keepLines/>
        <w:numPr>
          <w:ilvl w:val="0"/>
          <w:numId w:val="0"/>
        </w:numPr>
        <w:spacing w:before="125" w:after="57"/>
        <w:ind w:left="0" w:hanging="0"/>
        <w:outlineLvl w:val="0"/>
        <w:rPr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>Таблица 2. Перечень и объем оказываемых услуг</w:t>
      </w:r>
    </w:p>
    <w:tbl>
      <w:tblPr>
        <w:tblW w:w="9510" w:type="dxa"/>
        <w:jc w:val="left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8"/>
        <w:gridCol w:w="4137"/>
        <w:gridCol w:w="1710"/>
        <w:gridCol w:w="1748"/>
        <w:gridCol w:w="1417"/>
      </w:tblGrid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Наименование закупаемой продукции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192" w:hRule="atLeast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ОКПД2 86.21.10.120 Услуги медицинского наркологического освидетельствования с химико-токсикологическим исследованием мочи на наличие в организме человека наркотических средств, психотропных веществ и их метаболитов для нужд ВТУ Центрального филиала АО "ТК РусГидро" в г. Рыбинск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</w:tbl>
    <w:p>
      <w:pPr>
        <w:pStyle w:val="Normal"/>
        <w:ind w:left="36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outlineLvl w:val="2"/>
        <w:rPr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>2.1.2 Требования к срокам оказания услуг</w:t>
      </w:r>
    </w:p>
    <w:p>
      <w:pPr>
        <w:pStyle w:val="Normal"/>
        <w:keepNext w:val="true"/>
        <w:keepLines/>
        <w:numPr>
          <w:ilvl w:val="0"/>
          <w:numId w:val="0"/>
        </w:numPr>
        <w:spacing w:before="68" w:after="62"/>
        <w:ind w:left="0" w:hanging="0"/>
        <w:outlineLvl w:val="0"/>
        <w:rPr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Таблица 3. </w:t>
      </w:r>
      <w:bookmarkStart w:id="2" w:name="_Hlk50465284"/>
      <w:r>
        <w:rPr>
          <w:rFonts w:eastAsia="Calibri"/>
          <w:b/>
          <w:sz w:val="24"/>
          <w:szCs w:val="24"/>
        </w:rPr>
        <w:t xml:space="preserve">Требования к срокам </w:t>
      </w:r>
      <w:bookmarkEnd w:id="2"/>
      <w:r>
        <w:rPr>
          <w:rFonts w:eastAsia="Calibri"/>
          <w:b/>
          <w:sz w:val="24"/>
          <w:szCs w:val="24"/>
        </w:rPr>
        <w:t>оказания услуг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4140"/>
        <w:gridCol w:w="2778"/>
        <w:gridCol w:w="2182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ОКПД2 86.21.10.120 Услуги медицинского наркологического освидетельствования с химико-токсикологическим исследованием мочи на наличие в организме человека наркотических средств, психотропных веществ и их метаболитов для нужд ВТУ Центрального филиала АО "ТК РусГидро" в г. Рыбинск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 31.12.202</w:t>
            </w:r>
            <w:bookmarkStart w:id="3" w:name="_GoBack"/>
            <w:bookmarkEnd w:id="3"/>
            <w:r>
              <w:rPr>
                <w:iCs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before="0" w:after="0"/>
        <w:ind w:left="709" w:hanging="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Heading4"/>
        <w:numPr>
          <w:ilvl w:val="3"/>
          <w:numId w:val="1"/>
        </w:numPr>
        <w:spacing w:before="120" w:after="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3.Требования к исполнителю (и соисполнителям) и его обязательствам, влияющим на исполнение договора.</w:t>
      </w:r>
    </w:p>
    <w:p>
      <w:pPr>
        <w:pStyle w:val="NoSpacing"/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Spacing"/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3.1. Исполнитель должен иметь лицензию/разрешение на осуществление медицинской деятельности по проведению медицинского наркологического освидетельствования с ХТИ. Копия лицензии, заверенная надлежащим образом, предоставляется в составе конкурсной заявки.</w:t>
      </w:r>
    </w:p>
    <w:p>
      <w:pPr>
        <w:pStyle w:val="NoSpacing"/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Spacing"/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4.Требования к документации по ценообразованию на этапе закупки</w:t>
      </w:r>
    </w:p>
    <w:p>
      <w:pPr>
        <w:pStyle w:val="NoSpacing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>4.1 В итоговую стоимость должны быть включены все налоги, сборы, пошлины и прочие обязательные платежи возникающие в ходе исполнения обязательств по договору.</w:t>
      </w:r>
    </w:p>
    <w:p>
      <w:pPr>
        <w:pStyle w:val="Normal"/>
        <w:tabs>
          <w:tab w:val="clear" w:pos="720"/>
          <w:tab w:val="left" w:pos="709" w:leader="none"/>
        </w:tabs>
        <w:spacing w:before="0" w:after="0"/>
        <w:ind w:left="360" w:hanging="0"/>
        <w:contextualSpacing/>
        <w:jc w:val="both"/>
        <w:rPr>
          <w:sz w:val="24"/>
        </w:rPr>
      </w:pPr>
      <w:r>
        <w:rPr>
          <w:sz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Ответственный исполнитель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Начальник ВТУ                                                                                                 Д.И. Фиялковский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Технический куратор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Руководитель Группы ОТ и ТБ ЦФ                                                                  А.А. Дворецкова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bCs/>
          <w:sz w:val="24"/>
          <w:szCs w:val="24"/>
        </w:rPr>
      </w:pPr>
      <w:r>
        <w:rPr>
          <w:rFonts w:cs="Times New Roman" w:ascii="Times New Roman" w:hAnsi="Times New Roman"/>
          <w:sz w:val="24"/>
        </w:rPr>
        <w:tab/>
      </w:r>
    </w:p>
    <w:sectPr>
      <w:headerReference w:type="default" r:id="rId2"/>
      <w:footerReference w:type="default" r:id="rId3"/>
      <w:type w:val="nextPage"/>
      <w:pgSz w:w="11906" w:h="16838"/>
      <w:pgMar w:left="1701" w:right="709" w:gutter="0" w:header="720" w:top="851" w:footer="72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Rockwell Condensed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933" w:hanging="54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79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7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0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9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31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24" w:hanging="1800"/>
      </w:pPr>
      <w:rPr/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"/>
      <w:lvlJc w:val="left"/>
      <w:pPr>
        <w:tabs>
          <w:tab w:val="num" w:pos="0"/>
        </w:tabs>
        <w:ind w:left="786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20"/>
        <w:tab w:val="left" w:pos="6521" w:leader="none"/>
        <w:tab w:val="left" w:pos="6946" w:leader="none"/>
      </w:tabs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20"/>
        <w:tab w:val="left" w:pos="6521" w:leader="none"/>
        <w:tab w:val="left" w:pos="6946" w:leader="none"/>
      </w:tabs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WW8Num3z0" w:customStyle="1">
    <w:name w:val="WW8Num3z0"/>
    <w:qFormat/>
    <w:rPr/>
  </w:style>
  <w:style w:type="character" w:styleId="WW8Num6z0" w:customStyle="1">
    <w:name w:val="WW8Num6z0"/>
    <w:qFormat/>
    <w:rPr/>
  </w:style>
  <w:style w:type="character" w:styleId="WW8Num1z0" w:customStyle="1">
    <w:name w:val="WW8Num1z0"/>
    <w:qFormat/>
    <w:rPr>
      <w:b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>
      <w:rFonts w:ascii="Symbol" w:hAnsi="Symbol" w:cs="Symbol"/>
      <w:color w:val="auto"/>
    </w:rPr>
  </w:style>
  <w:style w:type="character" w:styleId="WW8Num13z0" w:customStyle="1">
    <w:name w:val="WW8Num13z0"/>
    <w:qFormat/>
    <w:rPr>
      <w:b/>
    </w:rPr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>
      <w:b/>
    </w:rPr>
  </w:style>
  <w:style w:type="character" w:styleId="WW8Num15z0" w:customStyle="1">
    <w:name w:val="WW8Num15z0"/>
    <w:qFormat/>
    <w:rPr>
      <w:b/>
      <w:bCs w:val="false"/>
      <w:sz w:val="24"/>
      <w:szCs w:val="24"/>
    </w:rPr>
  </w:style>
  <w:style w:type="character" w:styleId="WW8Num15z1" w:customStyle="1">
    <w:name w:val="WW8Num15z1"/>
    <w:qFormat/>
    <w:rPr>
      <w:b w:val="false"/>
      <w:bCs/>
      <w:sz w:val="24"/>
      <w:szCs w:val="24"/>
    </w:rPr>
  </w:style>
  <w:style w:type="character" w:styleId="WW8Num15z2" w:customStyle="1">
    <w:name w:val="WW8Num15z2"/>
    <w:qFormat/>
    <w:rPr>
      <w:sz w:val="24"/>
      <w:szCs w:val="24"/>
    </w:rPr>
  </w:style>
  <w:style w:type="character" w:styleId="WW8Num16z0" w:customStyle="1">
    <w:name w:val="WW8Num16z0"/>
    <w:qFormat/>
    <w:rPr/>
  </w:style>
  <w:style w:type="character" w:styleId="WW8Num17z0" w:customStyle="1">
    <w:name w:val="WW8Num17z0"/>
    <w:qFormat/>
    <w:rPr>
      <w:rFonts w:ascii="Symbol" w:hAnsi="Symbol" w:cs="Symbo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>
      <w:rFonts w:ascii="Symbol" w:hAnsi="Symbol" w:cs="Symbol"/>
    </w:rPr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>
      <w:rFonts w:ascii="Times New Roman" w:hAnsi="Times New Roman" w:cs="Times New Roman"/>
    </w:rPr>
  </w:style>
  <w:style w:type="character" w:styleId="WW8Num26z2" w:customStyle="1">
    <w:name w:val="WW8Num26z2"/>
    <w:qFormat/>
    <w:rPr>
      <w:rFonts w:ascii="Wingdings" w:hAnsi="Wingdings" w:cs="Wingdings"/>
    </w:rPr>
  </w:style>
  <w:style w:type="character" w:styleId="WW8Num26z3" w:customStyle="1">
    <w:name w:val="WW8Num26z3"/>
    <w:qFormat/>
    <w:rPr>
      <w:rFonts w:ascii="Symbol" w:hAnsi="Symbol" w:cs="Symbol"/>
    </w:rPr>
  </w:style>
  <w:style w:type="character" w:styleId="WW8Num26z4" w:customStyle="1">
    <w:name w:val="WW8Num26z4"/>
    <w:qFormat/>
    <w:rPr>
      <w:rFonts w:ascii="Courier New" w:hAnsi="Courier New" w:cs="Courier New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2" w:customStyle="1">
    <w:name w:val="WW8Num27z2"/>
    <w:qFormat/>
    <w:rPr>
      <w:rFonts w:ascii="Wingdings" w:hAnsi="Wingdings" w:cs="Wingdings"/>
    </w:rPr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/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>
      <w:rFonts w:ascii="Symbol" w:hAnsi="Symbol" w:cs="Symbol"/>
      <w:color w:val="auto"/>
    </w:rPr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>
      <w:rFonts w:ascii="Wingdings" w:hAnsi="Wingdings" w:cs="Wingdings"/>
    </w:rPr>
  </w:style>
  <w:style w:type="character" w:styleId="WW8Num35z0" w:customStyle="1">
    <w:name w:val="WW8Num35z0"/>
    <w:qFormat/>
    <w:rPr/>
  </w:style>
  <w:style w:type="character" w:styleId="WW8Num36z0" w:customStyle="1">
    <w:name w:val="WW8Num36z0"/>
    <w:qFormat/>
    <w:rPr>
      <w:rFonts w:ascii="Symbol" w:hAnsi="Symbol" w:cs="Symbol"/>
      <w:color w:val="auto"/>
    </w:rPr>
  </w:style>
  <w:style w:type="character" w:styleId="WW8Num36z1" w:customStyle="1">
    <w:name w:val="WW8Num36z1"/>
    <w:qFormat/>
    <w:rPr>
      <w:rFonts w:ascii="Courier New" w:hAnsi="Courier New" w:cs="Courier New"/>
    </w:rPr>
  </w:style>
  <w:style w:type="character" w:styleId="WW8Num36z2" w:customStyle="1">
    <w:name w:val="WW8Num36z2"/>
    <w:qFormat/>
    <w:rPr>
      <w:rFonts w:ascii="Wingdings" w:hAnsi="Wingdings" w:cs="Wingdings"/>
    </w:rPr>
  </w:style>
  <w:style w:type="character" w:styleId="WW8Num36z3" w:customStyle="1">
    <w:name w:val="WW8Num36z3"/>
    <w:qFormat/>
    <w:rPr>
      <w:rFonts w:ascii="Symbol" w:hAnsi="Symbol" w:cs="Symbol"/>
    </w:rPr>
  </w:style>
  <w:style w:type="character" w:styleId="WW8Num37z1" w:customStyle="1">
    <w:name w:val="WW8Num37z1"/>
    <w:qFormat/>
    <w:rPr>
      <w:rFonts w:ascii="Symbol" w:hAnsi="Symbol" w:cs="Symbol"/>
    </w:rPr>
  </w:style>
  <w:style w:type="character" w:styleId="WW8Num38z0" w:customStyle="1">
    <w:name w:val="WW8Num38z0"/>
    <w:qFormat/>
    <w:rPr/>
  </w:style>
  <w:style w:type="character" w:styleId="WW8Num39z0" w:customStyle="1">
    <w:name w:val="WW8Num39z0"/>
    <w:qFormat/>
    <w:rPr/>
  </w:style>
  <w:style w:type="character" w:styleId="WW8Num39z1" w:customStyle="1">
    <w:name w:val="WW8Num39z1"/>
    <w:qFormat/>
    <w:rPr>
      <w:rFonts w:ascii="Symbol" w:hAnsi="Symbol" w:cs="Symbol"/>
    </w:rPr>
  </w:style>
  <w:style w:type="character" w:styleId="WW8Num40z0" w:customStyle="1">
    <w:name w:val="WW8Num40z0"/>
    <w:qFormat/>
    <w:rPr/>
  </w:style>
  <w:style w:type="character" w:styleId="WW8Num41z0" w:customStyle="1">
    <w:name w:val="WW8Num41z0"/>
    <w:qFormat/>
    <w:rPr/>
  </w:style>
  <w:style w:type="character" w:styleId="WW8Num42z0" w:customStyle="1">
    <w:name w:val="WW8Num42z0"/>
    <w:qFormat/>
    <w:rPr/>
  </w:style>
  <w:style w:type="character" w:styleId="WW8Num43z0" w:customStyle="1">
    <w:name w:val="WW8Num43z0"/>
    <w:qFormat/>
    <w:rPr/>
  </w:style>
  <w:style w:type="character" w:styleId="WW8Num44z0" w:customStyle="1">
    <w:name w:val="WW8Num44z0"/>
    <w:qFormat/>
    <w:rPr>
      <w:rFonts w:ascii="Symbol" w:hAnsi="Symbol" w:cs="Symbol"/>
      <w:color w:val="auto"/>
    </w:rPr>
  </w:style>
  <w:style w:type="character" w:styleId="WW8Num45z0" w:customStyle="1">
    <w:name w:val="WW8Num45z0"/>
    <w:qFormat/>
    <w:rPr>
      <w:rFonts w:ascii="Symbol" w:hAnsi="Symbol" w:cs="Symbol"/>
      <w:color w:val="auto"/>
    </w:rPr>
  </w:style>
  <w:style w:type="character" w:styleId="WW8Num45z1" w:customStyle="1">
    <w:name w:val="WW8Num45z1"/>
    <w:qFormat/>
    <w:rPr>
      <w:rFonts w:ascii="Courier New" w:hAnsi="Courier New" w:cs="Courier New"/>
    </w:rPr>
  </w:style>
  <w:style w:type="character" w:styleId="WW8Num45z2" w:customStyle="1">
    <w:name w:val="WW8Num45z2"/>
    <w:qFormat/>
    <w:rPr>
      <w:rFonts w:ascii="Wingdings" w:hAnsi="Wingdings" w:cs="Wingdings"/>
    </w:rPr>
  </w:style>
  <w:style w:type="character" w:styleId="WW8Num45z3" w:customStyle="1">
    <w:name w:val="WW8Num45z3"/>
    <w:qFormat/>
    <w:rPr>
      <w:rFonts w:ascii="Symbol" w:hAnsi="Symbol" w:cs="Symbol"/>
    </w:rPr>
  </w:style>
  <w:style w:type="character" w:styleId="WW8Num46z0" w:customStyle="1">
    <w:name w:val="WW8Num46z0"/>
    <w:qFormat/>
    <w:rPr>
      <w:rFonts w:ascii="Rockwell Condensed" w:hAnsi="Rockwell Condensed" w:cs="Rockwell Condensed"/>
    </w:rPr>
  </w:style>
  <w:style w:type="character" w:styleId="WW8Num46z1" w:customStyle="1">
    <w:name w:val="WW8Num46z1"/>
    <w:qFormat/>
    <w:rPr>
      <w:rFonts w:ascii="Courier New" w:hAnsi="Courier New" w:cs="Courier New"/>
    </w:rPr>
  </w:style>
  <w:style w:type="character" w:styleId="WW8Num46z2" w:customStyle="1">
    <w:name w:val="WW8Num46z2"/>
    <w:qFormat/>
    <w:rPr>
      <w:rFonts w:ascii="Wingdings" w:hAnsi="Wingdings" w:cs="Wingdings"/>
    </w:rPr>
  </w:style>
  <w:style w:type="character" w:styleId="WW8Num46z3" w:customStyle="1">
    <w:name w:val="WW8Num46z3"/>
    <w:qFormat/>
    <w:rPr>
      <w:rFonts w:ascii="Symbol" w:hAnsi="Symbol" w:cs="Symbol"/>
    </w:rPr>
  </w:style>
  <w:style w:type="character" w:styleId="Normal1" w:customStyle="1">
    <w:name w:val="Normal1 Знак"/>
    <w:qFormat/>
    <w:rPr>
      <w:rFonts w:eastAsia="Calibri"/>
      <w:lang w:val="ru-RU" w:bidi="ar-SA"/>
    </w:rPr>
  </w:style>
  <w:style w:type="character" w:styleId="Style5" w:customStyle="1">
    <w:name w:val="Текст сноски Знак"/>
    <w:basedOn w:val="DefaultParagraphFont"/>
    <w:qFormat/>
    <w:rPr/>
  </w:style>
  <w:style w:type="character" w:styleId="Style6" w:customStyle="1">
    <w:name w:val="Символ сноски"/>
    <w:qFormat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4" w:customStyle="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7" w:customStyle="1">
    <w:name w:val="Абзац списка Знак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Верхний колонтитул Знак"/>
    <w:basedOn w:val="DefaultParagraphFont"/>
    <w:qFormat/>
    <w:rPr/>
  </w:style>
  <w:style w:type="character" w:styleId="Style10" w:customStyle="1">
    <w:name w:val="Нижний колонтитул Знак"/>
    <w:basedOn w:val="DefaultParagraphFont"/>
    <w:qFormat/>
    <w:rPr/>
  </w:style>
  <w:style w:type="character" w:styleId="3" w:customStyle="1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tabs>
        <w:tab w:val="clear" w:pos="720"/>
        <w:tab w:val="left" w:pos="6521" w:leader="none"/>
        <w:tab w:val="left" w:pos="6946" w:leader="none"/>
      </w:tabs>
      <w:jc w:val="center"/>
    </w:pPr>
    <w:rPr>
      <w:sz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jc w:val="center"/>
    </w:pPr>
    <w:rPr>
      <w:b/>
      <w:sz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</w:rPr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Normal1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ind w:left="708" w:hanging="0"/>
    </w:pPr>
    <w:rPr/>
  </w:style>
  <w:style w:type="paragraph" w:styleId="FootnoteText">
    <w:name w:val="Footnote Text"/>
    <w:basedOn w:val="Normal"/>
    <w:pPr/>
    <w:rPr/>
  </w:style>
  <w:style w:type="paragraph" w:styleId="TOC1">
    <w:name w:val="TOC 1"/>
    <w:basedOn w:val="Normal"/>
    <w:next w:val="Normal"/>
    <w:pPr>
      <w:tabs>
        <w:tab w:val="clear" w:pos="720"/>
        <w:tab w:val="left" w:pos="560" w:leader="none"/>
        <w:tab w:val="right" w:pos="9496" w:leader="dot"/>
      </w:tabs>
      <w:spacing w:before="120" w:after="0"/>
    </w:pPr>
    <w:rPr>
      <w:rFonts w:cs="Calibri Light (Заголовки);Calib"/>
      <w:b/>
      <w:bCs/>
      <w:sz w:val="24"/>
      <w:szCs w:val="24"/>
    </w:rPr>
  </w:style>
  <w:style w:type="paragraph" w:styleId="TOC3">
    <w:name w:val="TOC 3"/>
    <w:basedOn w:val="Normal"/>
    <w:next w:val="Normal"/>
    <w:pPr>
      <w:ind w:left="280" w:hanging="0"/>
    </w:pPr>
    <w:rPr>
      <w:rFonts w:cs="Calibri"/>
    </w:rPr>
  </w:style>
  <w:style w:type="paragraph" w:styleId="TOC4">
    <w:name w:val="TOC 4"/>
    <w:basedOn w:val="Normal"/>
    <w:next w:val="Normal"/>
    <w:pPr>
      <w:tabs>
        <w:tab w:val="clear" w:pos="720"/>
        <w:tab w:val="left" w:pos="1120" w:leader="none"/>
        <w:tab w:val="right" w:pos="9911" w:leader="none"/>
      </w:tabs>
      <w:ind w:left="560" w:hanging="0"/>
    </w:pPr>
    <w:rPr>
      <w:rFonts w:cs="Calibr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13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lang w:val="en-US"/>
    </w:rPr>
  </w:style>
  <w:style w:type="paragraph" w:styleId="Style14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15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Style18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AlterOffice/3.4.0.9$Linux_X86_64 LibreOffice_project/b8daf9e823b1a5463a2f48435ddc2e8696e7d4fc</Application>
  <AppVersion>15.0000</AppVersion>
  <Pages>5</Pages>
  <Words>878</Words>
  <Characters>6182</Characters>
  <CharactersWithSpaces>8432</CharactersWithSpaces>
  <Paragraphs>116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2025-01-31T05:42:00Z</dcterms:created>
  <dc:creator>Архив</dc:creator>
  <dc:description/>
  <dc:language>ru-RU</dc:language>
  <cp:lastModifiedBy>fiyalkovskydi@corp.gidroogk.com</cp:lastModifiedBy>
  <cp:lastPrinted>2025-02-07T14:22:00Z</cp:lastPrinted>
  <dcterms:modified xsi:type="dcterms:W3CDTF">2026-09-03T09:43:08Z</dcterms:modified>
  <cp:revision>19</cp:revision>
  <dc:subject/>
  <dc:title>Приложение №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