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header4.xml" ContentType="application/vnd.openxmlformats-officedocument.wordprocessingml.header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word/header6.xml" ContentType="application/vnd.openxmlformats-officedocument.wordprocessingml.header+xml"/>
  <Override PartName="/word/theme/theme1.xml" ContentType="application/vnd.openxmlformats-officedocument.theme+xml"/>
  <Override PartName="/word/header7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keepLines/>
        <w:jc w:val="right"/>
        <w:rPr>
          <w:b/>
          <w:bCs/>
          <w:color w:val="FF0000"/>
          <w:sz w:val="26"/>
          <w:szCs w:val="26"/>
        </w:rPr>
      </w:pPr>
      <w:r>
        <w:rPr>
          <w:b/>
          <w:bCs/>
          <w:color w:val="FF0000"/>
          <w:sz w:val="26"/>
          <w:szCs w:val="26"/>
        </w:rPr>
      </w:r>
    </w:p>
    <w:p>
      <w:pPr>
        <w:pStyle w:val="Normal"/>
        <w:keepNext w:val="true"/>
        <w:keepLines/>
        <w:rPr>
          <w:color w:val="FF0000"/>
          <w:sz w:val="26"/>
          <w:szCs w:val="26"/>
        </w:rPr>
      </w:pPr>
      <w:r>
        <w:rPr>
          <w:color w:val="FF0000"/>
          <w:sz w:val="26"/>
          <w:szCs w:val="26"/>
        </w:rPr>
      </w:r>
    </w:p>
    <w:p>
      <w:pPr>
        <w:pStyle w:val="Normal"/>
        <w:keepNext w:val="true"/>
        <w:keepLines/>
        <w:rPr>
          <w:color w:val="FF0000"/>
          <w:sz w:val="26"/>
          <w:szCs w:val="26"/>
        </w:rPr>
      </w:pPr>
      <w:r>
        <w:rPr>
          <w:color w:val="FF0000"/>
          <w:sz w:val="26"/>
          <w:szCs w:val="26"/>
        </w:rPr>
      </w:r>
    </w:p>
    <w:p>
      <w:pPr>
        <w:pStyle w:val="Normal"/>
        <w:keepNext w:val="true"/>
        <w:keepLines/>
        <w:rPr>
          <w:color w:val="FF0000"/>
          <w:sz w:val="26"/>
          <w:szCs w:val="26"/>
        </w:rPr>
      </w:pPr>
      <w:r>
        <w:rPr>
          <w:color w:val="FF0000"/>
          <w:sz w:val="26"/>
          <w:szCs w:val="26"/>
        </w:rPr>
      </w:r>
    </w:p>
    <w:p>
      <w:pPr>
        <w:pStyle w:val="Normal"/>
        <w:keepNext w:val="true"/>
        <w:keepLines/>
        <w:rPr>
          <w:color w:val="FF0000"/>
          <w:sz w:val="26"/>
          <w:szCs w:val="26"/>
        </w:rPr>
      </w:pPr>
      <w:r>
        <w:rPr>
          <w:color w:val="FF0000"/>
          <w:sz w:val="26"/>
          <w:szCs w:val="26"/>
        </w:rPr>
      </w:r>
    </w:p>
    <w:p>
      <w:pPr>
        <w:pStyle w:val="Normal"/>
        <w:keepNext w:val="true"/>
        <w:keepLines/>
        <w:rPr>
          <w:color w:val="FF0000"/>
          <w:sz w:val="26"/>
          <w:szCs w:val="26"/>
        </w:rPr>
      </w:pPr>
      <w:r>
        <w:rPr>
          <w:color w:val="FF0000"/>
          <w:sz w:val="26"/>
          <w:szCs w:val="26"/>
        </w:rPr>
      </w:r>
    </w:p>
    <w:p>
      <w:pPr>
        <w:pStyle w:val="Normal"/>
        <w:keepNext w:val="true"/>
        <w:keepLines/>
        <w:rPr>
          <w:color w:val="FF0000"/>
          <w:sz w:val="26"/>
          <w:szCs w:val="26"/>
        </w:rPr>
      </w:pPr>
      <w:r>
        <w:rPr>
          <w:color w:val="FF0000"/>
          <w:sz w:val="26"/>
          <w:szCs w:val="26"/>
        </w:rPr>
      </w:r>
    </w:p>
    <w:p>
      <w:pPr>
        <w:pStyle w:val="Normal"/>
        <w:keepNext w:val="true"/>
        <w:keepLines/>
        <w:rPr>
          <w:color w:val="FF0000"/>
          <w:sz w:val="26"/>
          <w:szCs w:val="26"/>
        </w:rPr>
      </w:pPr>
      <w:r>
        <w:rPr>
          <w:color w:val="FF0000"/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  <w:bookmarkStart w:id="0" w:name="_GoBack"/>
      <w:bookmarkStart w:id="1" w:name="_GoBack"/>
      <w:bookmarkEnd w:id="1"/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jc w:val="center"/>
        <w:rPr>
          <w:rFonts w:eastAsia="Calibri"/>
          <w:b/>
          <w:caps/>
          <w:sz w:val="24"/>
          <w:szCs w:val="24"/>
          <w:lang w:eastAsia="en-US"/>
        </w:rPr>
      </w:pPr>
      <w:r>
        <w:rPr>
          <w:rFonts w:eastAsia="Calibri"/>
          <w:b/>
          <w:caps/>
          <w:sz w:val="24"/>
          <w:szCs w:val="24"/>
          <w:lang w:eastAsia="en-US"/>
        </w:rPr>
        <w:t>Технические требования на оказание услуг</w:t>
      </w:r>
    </w:p>
    <w:p>
      <w:pPr>
        <w:pStyle w:val="Normal"/>
        <w:jc w:val="center"/>
        <w:rPr>
          <w:rFonts w:eastAsia="Calibri"/>
          <w:b/>
          <w:caps/>
          <w:sz w:val="24"/>
          <w:szCs w:val="24"/>
          <w:lang w:eastAsia="en-US"/>
        </w:rPr>
      </w:pPr>
      <w:r>
        <w:rPr>
          <w:rFonts w:eastAsia="Calibri"/>
          <w:b/>
          <w:caps/>
          <w:sz w:val="24"/>
          <w:szCs w:val="24"/>
          <w:lang w:eastAsia="en-US"/>
        </w:rPr>
        <w:t>на п</w:t>
      </w:r>
      <w:r>
        <w:rPr>
          <w:rFonts w:eastAsia="Calibri" w:cs="Times New Roman"/>
          <w:b/>
          <w:caps/>
          <w:color w:val="auto"/>
          <w:kern w:val="0"/>
          <w:sz w:val="24"/>
          <w:szCs w:val="24"/>
          <w:lang w:val="ru-RU" w:eastAsia="en-US" w:bidi="ar-SA"/>
        </w:rPr>
        <w:t>раво заключения договора ПО ОКПД2 70.22.15 Оказание консультационных услуг В ФОРМАТЕ ПРОВЕДЕНИЯ СЕМИНАРА ПО ТЕМЕ: «ОРГАНИЗАЦИЯ КОРПОРАТИВНОГО УПРАВЛЕНИЯ В ГРУППЕ РУСГИДРО» по изучению ключевых изменений корпоративного законодательства, а также планируемых изменений в области корпоративного управления для руководителей и специалистов группы РусГидро в г. Красноярске</w:t>
      </w:r>
    </w:p>
    <w:p>
      <w:pPr>
        <w:pStyle w:val="Normal"/>
        <w:jc w:val="center"/>
        <w:rPr>
          <w:rFonts w:ascii="Times New Roman" w:hAnsi="Times New Roman" w:eastAsia="Calibri" w:cs="Times New Roman"/>
          <w:b/>
          <w:caps/>
          <w:color w:val="auto"/>
          <w:kern w:val="0"/>
          <w:sz w:val="24"/>
          <w:szCs w:val="24"/>
          <w:lang w:val="ru-RU" w:eastAsia="en-US" w:bidi="ar-SA"/>
        </w:rPr>
      </w:pPr>
      <w:r>
        <w:rPr>
          <w:rFonts w:eastAsia="Calibri" w:cs="Times New Roman"/>
          <w:b/>
          <w:caps/>
          <w:color w:val="auto"/>
          <w:kern w:val="0"/>
          <w:sz w:val="24"/>
          <w:szCs w:val="24"/>
          <w:lang w:val="ru-RU" w:eastAsia="en-US" w:bidi="ar-SA"/>
        </w:rPr>
      </w:r>
    </w:p>
    <w:p>
      <w:pPr>
        <w:pStyle w:val="Normal"/>
        <w:widowControl w:val="false"/>
        <w:tabs>
          <w:tab w:val="clear" w:pos="720"/>
          <w:tab w:val="left" w:pos="426" w:leader="none"/>
        </w:tabs>
        <w:spacing w:before="0" w:after="120"/>
        <w:jc w:val="center"/>
        <w:rPr>
          <w:rFonts w:eastAsia="Calibri"/>
          <w:b/>
          <w:caps/>
          <w:sz w:val="24"/>
          <w:szCs w:val="24"/>
          <w:lang w:eastAsia="en-US"/>
        </w:rPr>
      </w:pPr>
      <w:r>
        <w:rPr>
          <w:b/>
          <w:sz w:val="24"/>
          <w:szCs w:val="24"/>
        </w:rPr>
        <w:t>(ЛОТ №                                                                                                         )</w:t>
      </w:r>
    </w:p>
    <w:p>
      <w:pPr>
        <w:pStyle w:val="Normal"/>
        <w:widowControl w:val="false"/>
        <w:tabs>
          <w:tab w:val="clear" w:pos="720"/>
          <w:tab w:val="left" w:pos="2993" w:leader="none"/>
        </w:tabs>
        <w:spacing w:before="0" w:after="120"/>
        <w:rPr>
          <w:sz w:val="26"/>
          <w:szCs w:val="26"/>
        </w:rPr>
      </w:pPr>
      <w:r>
        <w:rPr/>
        <w:tab/>
      </w:r>
    </w:p>
    <w:p>
      <w:pPr>
        <w:pStyle w:val="Normal"/>
        <w:rPr>
          <w:color w:val="FF0000"/>
          <w:sz w:val="26"/>
          <w:szCs w:val="26"/>
        </w:rPr>
      </w:pPr>
      <w:r>
        <w:rPr>
          <w:color w:val="FF0000"/>
          <w:sz w:val="26"/>
          <w:szCs w:val="26"/>
        </w:rPr>
      </w:r>
      <w:r>
        <w:br w:type="page"/>
      </w:r>
    </w:p>
    <w:p>
      <w:pPr>
        <w:pStyle w:val="Normal"/>
        <w:jc w:val="center"/>
        <w:rPr>
          <w:b/>
        </w:rPr>
      </w:pPr>
      <w:r>
        <w:rPr>
          <w:b/>
        </w:rPr>
        <w:t>СОДЕРЖАНИЕ</w:t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TOC1"/>
            <w:tabs>
              <w:tab w:val="clear" w:pos="720"/>
              <w:tab w:val="left" w:pos="567" w:leader="none"/>
              <w:tab w:val="right" w:pos="9769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r>
            <w:fldChar w:fldCharType="begin"/>
          </w:r>
          <w:r>
            <w:rPr>
              <w:webHidden/>
              <w:rStyle w:val="Style14"/>
              <w:vanish w:val="false"/>
              <w:rFonts w:eastAsia="Calibri"/>
            </w:rPr>
            <w:instrText xml:space="preserve"> TOC \z \o "1-4" \u \h</w:instrText>
          </w:r>
          <w:r>
            <w:rPr>
              <w:webHidden/>
              <w:rStyle w:val="Style14"/>
              <w:vanish w:val="false"/>
              <w:rFonts w:eastAsia="Calibri"/>
            </w:rPr>
            <w:fldChar w:fldCharType="separate"/>
          </w:r>
          <w:hyperlink w:anchor="_Toc204680150">
            <w:r>
              <w:rPr>
                <w:webHidden/>
                <w:rStyle w:val="Style14"/>
                <w:rFonts w:eastAsia="Calibri"/>
                <w:vanish w:val="false"/>
              </w:rPr>
              <w:t>1.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b w:val="false"/>
                <w:bCs w:val="false"/>
                <w:sz w:val="22"/>
                <w:szCs w:val="22"/>
              </w:rPr>
              <w:tab/>
            </w:r>
            <w:r>
              <w:rPr>
                <w:rStyle w:val="Style14"/>
                <w:rFonts w:eastAsia="Calibri"/>
              </w:rPr>
              <w:t>Общие сведения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_Toc204680150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rPr>
              <w:rFonts w:ascii="Calibri" w:hAnsi="Calibri" w:eastAsia="新細明體" w:cs="Arial" w:asciiTheme="minorHAnsi" w:cstheme="minorBidi" w:eastAsiaTheme="minorEastAsia" w:hAnsiTheme="minorHAnsi"/>
              <w:sz w:val="22"/>
              <w:szCs w:val="22"/>
            </w:rPr>
          </w:pPr>
          <w:hyperlink w:anchor="_Toc204680151">
            <w:r>
              <w:rPr>
                <w:webHidden/>
                <w:rStyle w:val="Style14"/>
                <w:rFonts w:eastAsia="Calibri"/>
                <w:iCs/>
                <w:vanish w:val="false"/>
              </w:rPr>
              <w:t>1.1.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Style w:val="Style14"/>
                <w:rFonts w:eastAsia="Calibri"/>
              </w:rPr>
              <w:t>Обозначения и сокращения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_Toc204680151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rPr>
              <w:rFonts w:ascii="Calibri" w:hAnsi="Calibri" w:eastAsia="新細明體" w:cs="Arial" w:asciiTheme="minorHAnsi" w:cstheme="minorBidi" w:eastAsiaTheme="minorEastAsia" w:hAnsiTheme="minorHAnsi"/>
              <w:sz w:val="22"/>
              <w:szCs w:val="22"/>
            </w:rPr>
          </w:pPr>
          <w:hyperlink w:anchor="_Toc204680152">
            <w:r>
              <w:rPr>
                <w:webHidden/>
                <w:rStyle w:val="Style14"/>
                <w:rFonts w:eastAsia="Calibri"/>
                <w:iCs/>
                <w:vanish w:val="false"/>
              </w:rPr>
              <w:t>1.2.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Style w:val="Style14"/>
                <w:rFonts w:eastAsia="Calibri"/>
              </w:rPr>
              <w:t>Наименование закупаемой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_Toc204680152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rPr>
              <w:rFonts w:ascii="Calibri" w:hAnsi="Calibri" w:eastAsia="新細明體" w:cs="Arial" w:asciiTheme="minorHAnsi" w:cstheme="minorBidi" w:eastAsiaTheme="minorEastAsia" w:hAnsiTheme="minorHAnsi"/>
              <w:sz w:val="22"/>
              <w:szCs w:val="22"/>
            </w:rPr>
          </w:pPr>
          <w:hyperlink w:anchor="_Toc204680153">
            <w:r>
              <w:rPr>
                <w:webHidden/>
                <w:rStyle w:val="Style14"/>
                <w:rFonts w:eastAsia="Calibri"/>
                <w:iCs/>
                <w:vanish w:val="false"/>
              </w:rPr>
              <w:t>1.3.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Style w:val="Style14"/>
                <w:rFonts w:eastAsia="Calibri"/>
              </w:rPr>
              <w:t>Цель оказания Услуг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_Toc204680153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20"/>
              <w:tab w:val="left" w:pos="567" w:leader="none"/>
              <w:tab w:val="right" w:pos="9769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204680154">
            <w:r>
              <w:rPr>
                <w:webHidden/>
                <w:rStyle w:val="Style14"/>
                <w:rFonts w:eastAsia="Calibri"/>
                <w:vanish w:val="false"/>
              </w:rPr>
              <w:t>2.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b w:val="false"/>
                <w:bCs w:val="false"/>
                <w:sz w:val="22"/>
                <w:szCs w:val="22"/>
              </w:rPr>
              <w:tab/>
            </w:r>
            <w:r>
              <w:rPr>
                <w:rStyle w:val="Style14"/>
                <w:rFonts w:eastAsia="Calibri"/>
              </w:rPr>
              <w:t>Требования к продукции (услугам)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_Toc204680154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rPr>
              <w:rFonts w:ascii="Calibri" w:hAnsi="Calibri" w:eastAsia="新細明體" w:cs="Arial" w:asciiTheme="minorHAnsi" w:cstheme="minorBidi" w:eastAsiaTheme="minorEastAsia" w:hAnsiTheme="minorHAnsi"/>
              <w:sz w:val="22"/>
              <w:szCs w:val="22"/>
            </w:rPr>
          </w:pPr>
          <w:hyperlink w:anchor="_Toc204680155">
            <w:r>
              <w:rPr>
                <w:webHidden/>
                <w:rStyle w:val="Style14"/>
                <w:rFonts w:eastAsia="Calibri"/>
                <w:iCs/>
                <w:vanish w:val="false"/>
              </w:rPr>
              <w:t>2.1.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Style w:val="Style14"/>
                <w:rFonts w:eastAsia="Calibri"/>
              </w:rPr>
              <w:t>Требования к объемам и срокам оказания услуг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_Toc204680155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3"/>
            <w:rPr>
              <w:rFonts w:ascii="Calibri" w:hAnsi="Calibri" w:eastAsia="新細明體" w:cs="Arial" w:asciiTheme="minorHAnsi" w:cstheme="minorBidi" w:eastAsiaTheme="minorEastAsia" w:hAnsiTheme="minorHAnsi"/>
              <w:sz w:val="22"/>
              <w:szCs w:val="22"/>
            </w:rPr>
          </w:pPr>
          <w:hyperlink w:anchor="_Toc204680156">
            <w:r>
              <w:rPr>
                <w:webHidden/>
                <w:rStyle w:val="Style14"/>
                <w:rFonts w:eastAsia="Calibri"/>
                <w:vanish w:val="false"/>
              </w:rPr>
              <w:t>2.1.1.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Style w:val="Style14"/>
                <w:rFonts w:eastAsia="Calibri"/>
              </w:rPr>
              <w:t>Требования к перечню и объему услуг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_Toc204680156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3"/>
            <w:rPr>
              <w:rFonts w:ascii="Calibri" w:hAnsi="Calibri" w:eastAsia="新細明體" w:cs="Arial" w:asciiTheme="minorHAnsi" w:cstheme="minorBidi" w:eastAsiaTheme="minorEastAsia" w:hAnsiTheme="minorHAnsi"/>
              <w:sz w:val="22"/>
              <w:szCs w:val="22"/>
            </w:rPr>
          </w:pPr>
          <w:hyperlink w:anchor="_Toc204680157">
            <w:r>
              <w:rPr>
                <w:webHidden/>
                <w:rStyle w:val="Style14"/>
                <w:rFonts w:eastAsia="Calibri"/>
                <w:vanish w:val="false"/>
              </w:rPr>
              <w:t>Таблица 2. Перечень и объем оказываемых услуг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_Toc204680157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3"/>
            <w:rPr>
              <w:rFonts w:ascii="Calibri" w:hAnsi="Calibri" w:eastAsia="新細明體" w:cs="Arial" w:asciiTheme="minorHAnsi" w:cstheme="minorBidi" w:eastAsiaTheme="minorEastAsia" w:hAnsiTheme="minorHAnsi"/>
              <w:sz w:val="22"/>
              <w:szCs w:val="22"/>
            </w:rPr>
          </w:pPr>
          <w:hyperlink w:anchor="_Toc204680158">
            <w:r>
              <w:rPr>
                <w:webHidden/>
                <w:rStyle w:val="Style14"/>
                <w:rFonts w:eastAsia="Calibri"/>
                <w:vanish w:val="false"/>
              </w:rPr>
              <w:t>2.1.2.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Style w:val="Style14"/>
                <w:rFonts w:eastAsia="Calibri"/>
              </w:rPr>
              <w:t>Требования к срокам оказания услуг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_Toc204680158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3"/>
            <w:rPr>
              <w:rFonts w:ascii="Calibri" w:hAnsi="Calibri" w:eastAsia="新細明體" w:cs="Arial" w:asciiTheme="minorHAnsi" w:cstheme="minorBidi" w:eastAsiaTheme="minorEastAsia" w:hAnsiTheme="minorHAnsi"/>
              <w:sz w:val="22"/>
              <w:szCs w:val="22"/>
            </w:rPr>
          </w:pPr>
          <w:hyperlink w:anchor="_Toc204680159">
            <w:r>
              <w:rPr>
                <w:webHidden/>
                <w:rStyle w:val="Style14"/>
                <w:rFonts w:eastAsia="Calibri"/>
                <w:vanish w:val="false"/>
              </w:rPr>
              <w:t>Таблица 3. Требования к срокам оказания услуг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_Toc204680159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rPr>
              <w:rFonts w:ascii="Calibri" w:hAnsi="Calibri" w:eastAsia="新細明體" w:cs="Arial" w:asciiTheme="minorHAnsi" w:cstheme="minorBidi" w:eastAsiaTheme="minorEastAsia" w:hAnsiTheme="minorHAnsi"/>
              <w:sz w:val="22"/>
              <w:szCs w:val="22"/>
            </w:rPr>
          </w:pPr>
          <w:hyperlink w:anchor="_Toc204680160">
            <w:r>
              <w:rPr>
                <w:webHidden/>
                <w:rStyle w:val="Style14"/>
                <w:rFonts w:eastAsia="Calibri"/>
                <w:iCs/>
                <w:vanish w:val="false"/>
              </w:rPr>
              <w:t>2.2.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Style w:val="Style14"/>
                <w:rFonts w:eastAsia="Calibri"/>
              </w:rPr>
              <w:t>Требования к качеству Услуг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_Toc204680160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3"/>
            <w:rPr>
              <w:rFonts w:ascii="Calibri" w:hAnsi="Calibri" w:eastAsia="新細明體" w:cs="Arial" w:asciiTheme="minorHAnsi" w:cstheme="minorBidi" w:eastAsiaTheme="minorEastAsia" w:hAnsiTheme="minorHAnsi"/>
              <w:sz w:val="22"/>
              <w:szCs w:val="22"/>
            </w:rPr>
          </w:pPr>
          <w:hyperlink w:anchor="_Toc204680161">
            <w:r>
              <w:rPr>
                <w:webHidden/>
                <w:rStyle w:val="Style14"/>
                <w:rFonts w:eastAsia="Calibri"/>
                <w:vanish w:val="false"/>
              </w:rPr>
              <w:t>Таблица 4. Требования к качеству Услуг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_Toc204680161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20"/>
              <w:tab w:val="right" w:pos="9769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204680162">
            <w:r>
              <w:rPr>
                <w:webHidden/>
                <w:rStyle w:val="Style14"/>
                <w:rFonts w:eastAsia="Calibri"/>
                <w:vanish w:val="false"/>
              </w:rPr>
              <w:t>Приложение № 2 к Техническим требованиям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_Toc204680162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10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20"/>
              <w:tab w:val="right" w:pos="9769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204680163">
            <w:r>
              <w:rPr>
                <w:webHidden/>
                <w:rStyle w:val="Style14"/>
                <w:rFonts w:eastAsia="Calibri"/>
                <w:vanish w:val="false"/>
              </w:rPr>
              <w:t>Приложение № 3 к Техническим требованиям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_Toc204680163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11</w:t>
            </w:r>
            <w:r>
              <w:rPr>
                <w:webHidden/>
              </w:rPr>
              <w:fldChar w:fldCharType="end"/>
            </w:r>
          </w:hyperlink>
          <w:r>
            <w:rPr>
              <w:rStyle w:val="Style14"/>
              <w:vanish w:val="false"/>
            </w:rPr>
            <w:fldChar w:fldCharType="end"/>
          </w:r>
        </w:p>
      </w:sdtContent>
    </w:sdt>
    <w:p>
      <w:pPr>
        <w:pStyle w:val="TOC1"/>
        <w:tabs>
          <w:tab w:val="clear" w:pos="720"/>
          <w:tab w:val="left" w:pos="560" w:leader="none"/>
          <w:tab w:val="right" w:pos="9911" w:leader="dot"/>
        </w:tabs>
        <w:rPr>
          <w:rFonts w:ascii="Calibri" w:hAnsi="Calibri" w:eastAsia="新細明體" w:cs="Arial" w:asciiTheme="minorHAnsi" w:cstheme="minorBidi" w:eastAsiaTheme="minorEastAsia" w:hAnsiTheme="minorHAnsi"/>
          <w:b w:val="false"/>
          <w:bCs w:val="false"/>
        </w:rPr>
      </w:pPr>
      <w:r>
        <w:rPr>
          <w:rFonts w:eastAsia="新細明體" w:cs="Arial" w:cstheme="minorBidi" w:eastAsiaTheme="minorEastAsia" w:ascii="Calibri" w:hAnsi="Calibri"/>
          <w:b w:val="false"/>
          <w:bCs w:val="false"/>
        </w:rPr>
      </w:r>
    </w:p>
    <w:p>
      <w:pPr>
        <w:pStyle w:val="TOC1"/>
        <w:tabs>
          <w:tab w:val="clear" w:pos="720"/>
          <w:tab w:val="right" w:pos="9911" w:leader="dot"/>
        </w:tabs>
        <w:rPr>
          <w:rFonts w:ascii="Calibri" w:hAnsi="Calibri" w:eastAsia="新細明體" w:cs="Arial" w:asciiTheme="minorHAnsi" w:cstheme="minorBidi" w:eastAsiaTheme="minorEastAsia" w:hAnsiTheme="minorHAnsi"/>
          <w:b w:val="false"/>
          <w:bCs w:val="false"/>
        </w:rPr>
      </w:pPr>
      <w:r>
        <w:rPr>
          <w:rFonts w:eastAsia="新細明體" w:cs="Arial" w:cstheme="minorBidi" w:eastAsiaTheme="minorEastAsia" w:ascii="Calibri" w:hAnsi="Calibri"/>
          <w:b w:val="false"/>
          <w:bCs w:val="false"/>
        </w:rPr>
      </w:r>
    </w:p>
    <w:p>
      <w:pPr>
        <w:pStyle w:val="TOC1"/>
        <w:tabs>
          <w:tab w:val="clear" w:pos="720"/>
          <w:tab w:val="right" w:pos="9911" w:leader="dot"/>
        </w:tabs>
        <w:rPr>
          <w:rFonts w:ascii="Calibri" w:hAnsi="Calibri" w:eastAsia="新細明體" w:cs="Arial" w:asciiTheme="minorHAnsi" w:cstheme="minorBidi" w:eastAsiaTheme="minorEastAsia" w:hAnsiTheme="minorHAnsi"/>
          <w:b w:val="false"/>
          <w:bCs w:val="false"/>
        </w:rPr>
      </w:pPr>
      <w:r>
        <w:rPr>
          <w:rFonts w:eastAsia="新細明體" w:cs="Arial" w:cstheme="minorBidi" w:eastAsiaTheme="minorEastAsia" w:ascii="Calibri" w:hAnsi="Calibri"/>
          <w:b w:val="false"/>
          <w:bCs w:val="false"/>
        </w:rPr>
      </w:r>
    </w:p>
    <w:p>
      <w:pPr>
        <w:pStyle w:val="Heading2"/>
        <w:numPr>
          <w:ilvl w:val="0"/>
        </w:numPr>
        <w:tabs>
          <w:tab w:val="clear" w:pos="0"/>
        </w:tabs>
        <w:ind w:left="0" w:hanging="0"/>
        <w:rPr>
          <w:b w:val="false"/>
          <w:i/>
          <w:i/>
          <w:lang w:val="ru-RU"/>
        </w:rPr>
      </w:pPr>
      <w:r>
        <w:rPr>
          <w:b w:val="false"/>
          <w:i/>
          <w:lang w:val="ru-RU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color w:val="FF0000"/>
          <w:sz w:val="24"/>
          <w:szCs w:val="24"/>
        </w:rPr>
      </w:pPr>
      <w:r>
        <w:rPr>
          <w:rFonts w:eastAsia="Calibri"/>
          <w:b/>
          <w:i/>
          <w:color w:val="FF0000"/>
          <w:sz w:val="24"/>
          <w:szCs w:val="24"/>
        </w:rPr>
      </w:r>
      <w:r>
        <w:br w:type="page"/>
      </w:r>
    </w:p>
    <w:p>
      <w:pPr>
        <w:pStyle w:val="Heading1"/>
        <w:keepLines/>
        <w:numPr>
          <w:ilvl w:val="0"/>
          <w:numId w:val="3"/>
        </w:numPr>
        <w:ind w:left="357" w:hanging="357"/>
        <w:jc w:val="center"/>
        <w:rPr>
          <w:caps/>
          <w:lang w:val="ru-RU"/>
        </w:rPr>
      </w:pPr>
      <w:bookmarkStart w:id="2" w:name="_Toc133577142"/>
      <w:bookmarkStart w:id="3" w:name="_Toc204680150"/>
      <w:r>
        <w:rPr>
          <w:lang w:val="ru-RU"/>
        </w:rPr>
        <w:t>Общие сведения</w:t>
      </w:r>
      <w:bookmarkEnd w:id="2"/>
      <w:bookmarkEnd w:id="3"/>
    </w:p>
    <w:p>
      <w:pPr>
        <w:pStyle w:val="Heading4"/>
        <w:numPr>
          <w:ilvl w:val="1"/>
          <w:numId w:val="3"/>
        </w:numPr>
        <w:rPr/>
      </w:pPr>
      <w:bookmarkStart w:id="4" w:name="_Toc46743505"/>
      <w:bookmarkStart w:id="5" w:name="_Toc133577143"/>
      <w:bookmarkStart w:id="6" w:name="_Toc204680151"/>
      <w:r>
        <w:rPr/>
        <w:t>Обозначения и сокращения</w:t>
      </w:r>
      <w:bookmarkEnd w:id="4"/>
      <w:bookmarkEnd w:id="5"/>
      <w:bookmarkEnd w:id="6"/>
    </w:p>
    <w:p>
      <w:pPr>
        <w:pStyle w:val="Normal"/>
        <w:rPr>
          <w:lang w:val="x-none" w:eastAsia="x-none"/>
        </w:rPr>
      </w:pPr>
      <w:r>
        <w:rPr>
          <w:lang w:val="x-none" w:eastAsia="x-none"/>
        </w:rPr>
      </w:r>
    </w:p>
    <w:tbl>
      <w:tblPr>
        <w:tblW w:w="9783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785"/>
        <w:gridCol w:w="7997"/>
      </w:tblGrid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pacing w:before="120" w:after="120"/>
              <w:jc w:val="both"/>
              <w:rPr>
                <w:rStyle w:val="Style8"/>
                <w:b w:val="false"/>
                <w:bCs/>
                <w:i w:val="false"/>
                <w:i w:val="false"/>
                <w:sz w:val="24"/>
                <w:szCs w:val="24"/>
              </w:rPr>
            </w:pPr>
            <w:r>
              <w:rPr>
                <w:sz w:val="24"/>
                <w:szCs w:val="24"/>
              </w:rPr>
              <w:t>Заказчик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pacing w:before="120" w:after="120"/>
              <w:jc w:val="both"/>
              <w:rPr>
                <w:rStyle w:val="Style8"/>
                <w:b w:val="false"/>
                <w:bCs/>
                <w:i w:val="false"/>
                <w:i w:val="false"/>
                <w:sz w:val="24"/>
                <w:szCs w:val="24"/>
              </w:rPr>
            </w:pPr>
            <w:r>
              <w:rPr>
                <w:sz w:val="24"/>
                <w:szCs w:val="24"/>
              </w:rPr>
              <w:t>Публичное акционерное общество «Федеральная гидрогенерирующая компания – РусГидро» (ПАО «РусГидро»)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pacing w:before="120" w:after="120"/>
              <w:jc w:val="both"/>
              <w:rPr>
                <w:rStyle w:val="Style8"/>
                <w:b w:val="false"/>
                <w:bCs/>
                <w:i w:val="false"/>
                <w:i w:val="false"/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Поставщик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pacing w:before="120" w:after="120"/>
              <w:jc w:val="both"/>
              <w:rPr>
                <w:rStyle w:val="Style8"/>
                <w:b w:val="false"/>
                <w:bCs/>
                <w:i w:val="false"/>
                <w:i w:val="false"/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 закупочной процедуры, получивший право заключения договора</w:t>
            </w:r>
          </w:p>
        </w:tc>
      </w:tr>
    </w:tbl>
    <w:p>
      <w:pPr>
        <w:pStyle w:val="Normal"/>
        <w:keepNext w:val="true"/>
        <w:keepLines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4"/>
        <w:numPr>
          <w:ilvl w:val="1"/>
          <w:numId w:val="3"/>
        </w:numPr>
        <w:rPr/>
      </w:pPr>
      <w:bookmarkStart w:id="7" w:name="_Toc46743506"/>
      <w:bookmarkStart w:id="8" w:name="_Toc133577144"/>
      <w:bookmarkStart w:id="9" w:name="_Toc204680152"/>
      <w:r>
        <w:rPr/>
        <w:t>Наименование закупаемой продукции</w:t>
      </w:r>
      <w:bookmarkEnd w:id="7"/>
      <w:bookmarkEnd w:id="8"/>
      <w:bookmarkEnd w:id="9"/>
    </w:p>
    <w:p>
      <w:pPr>
        <w:pStyle w:val="Normal"/>
        <w:widowControl w:val="false"/>
        <w:tabs>
          <w:tab w:val="clear" w:pos="720"/>
          <w:tab w:val="left" w:pos="426" w:leader="none"/>
        </w:tabs>
        <w:spacing w:before="120" w:after="120"/>
        <w:jc w:val="both"/>
        <w:rPr>
          <w:rFonts w:eastAsia="Calibri"/>
          <w:b/>
          <w:sz w:val="24"/>
          <w:szCs w:val="24"/>
          <w:lang w:eastAsia="x-none"/>
        </w:rPr>
      </w:pPr>
      <w:r>
        <w:rPr>
          <w:sz w:val="24"/>
          <w:szCs w:val="24"/>
        </w:rPr>
        <w:t>ОКПД2</w:t>
      </w:r>
      <w:r>
        <w:rPr>
          <w:rFonts w:eastAsia="Times New Roman" w:cs="Times New Roman"/>
          <w:color w:val="auto"/>
          <w:kern w:val="0"/>
          <w:sz w:val="24"/>
          <w:szCs w:val="24"/>
          <w:lang w:val="ru-RU" w:eastAsia="ru-RU" w:bidi="ar-SA"/>
        </w:rPr>
        <w:t xml:space="preserve"> 70.22.15 Оказание консультационных услуг в формате проведения семинара по теме: «Организация корпоративного управления в группе РусГидро» по изучению ключевых изменений корпоративного законодательства, а также планируемых изменений в области корпоративного управления для руководителей и специалистов Группы РусГидро в г. Красноярске</w:t>
      </w:r>
      <w:r>
        <w:rPr>
          <w:sz w:val="24"/>
          <w:szCs w:val="24"/>
        </w:rPr>
        <w:t xml:space="preserve">  (далее по тексту – Услуги) (Лот №  ).</w:t>
      </w:r>
    </w:p>
    <w:p>
      <w:pPr>
        <w:pStyle w:val="Heading4"/>
        <w:numPr>
          <w:ilvl w:val="1"/>
          <w:numId w:val="3"/>
        </w:numPr>
        <w:rPr/>
      </w:pPr>
      <w:bookmarkStart w:id="10" w:name="_Toc204680153"/>
      <w:bookmarkStart w:id="11" w:name="_Toc46743507"/>
      <w:r>
        <w:rPr/>
        <w:t xml:space="preserve">Цель </w:t>
      </w:r>
      <w:bookmarkEnd w:id="11"/>
      <w:r>
        <w:rPr/>
        <w:t xml:space="preserve">оказания </w:t>
      </w:r>
      <w:r>
        <w:rPr>
          <w:lang w:val="ru-RU"/>
        </w:rPr>
        <w:t>У</w:t>
      </w:r>
      <w:r>
        <w:rPr/>
        <w:t>слуг</w:t>
      </w:r>
      <w:bookmarkEnd w:id="10"/>
    </w:p>
    <w:p>
      <w:pPr>
        <w:pStyle w:val="Normal"/>
        <w:widowControl w:val="false"/>
        <w:tabs>
          <w:tab w:val="clear" w:pos="720"/>
          <w:tab w:val="left" w:pos="426" w:leader="none"/>
        </w:tabs>
        <w:spacing w:before="120" w:after="120"/>
        <w:jc w:val="both"/>
        <w:rPr>
          <w:rFonts w:ascii="Times New Roman" w:hAnsi="Times New Roman" w:eastAsia="Times New Roman" w:cs="Times New Roman"/>
          <w:color w:val="auto"/>
          <w:kern w:val="0"/>
          <w:sz w:val="24"/>
          <w:szCs w:val="24"/>
          <w:lang w:val="ru-RU" w:eastAsia="ru-RU" w:bidi="ar-SA"/>
        </w:rPr>
      </w:pPr>
      <w:r>
        <w:rPr>
          <w:rFonts w:eastAsia="Times New Roman" w:cs="Times New Roman"/>
          <w:color w:val="auto"/>
          <w:kern w:val="0"/>
          <w:sz w:val="24"/>
          <w:szCs w:val="24"/>
          <w:lang w:val="ru-RU" w:eastAsia="ru-RU" w:bidi="ar-SA"/>
        </w:rPr>
        <w:t>Целью оказания Услуг является получение участниками Семинара знаний и навыков в области корпоративного управления, необходимых для развития бизнес-процессов, исполнения должностных обязанностей.</w:t>
      </w:r>
      <w:bookmarkStart w:id="12" w:name="_Toc133577146"/>
    </w:p>
    <w:p>
      <w:pPr>
        <w:pStyle w:val="Normal"/>
        <w:widowControl w:val="false"/>
        <w:tabs>
          <w:tab w:val="clear" w:pos="720"/>
          <w:tab w:val="left" w:pos="426" w:leader="none"/>
        </w:tabs>
        <w:spacing w:before="120" w:after="120"/>
        <w:jc w:val="both"/>
        <w:rPr/>
      </w:pPr>
      <w:r>
        <w:rPr/>
        <w:t xml:space="preserve">Таблица 1. </w:t>
      </w:r>
      <w:bookmarkEnd w:id="12"/>
      <w:r>
        <w:rPr/>
        <w:t>Место проведения</w:t>
      </w:r>
    </w:p>
    <w:tbl>
      <w:tblPr>
        <w:tblW w:w="991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818"/>
        <w:gridCol w:w="4563"/>
        <w:gridCol w:w="1995"/>
        <w:gridCol w:w="2541"/>
      </w:tblGrid>
      <w:tr>
        <w:trPr/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объекта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Расположение объекта </w:t>
              <w:br/>
            </w:r>
            <w:r>
              <w:rPr>
                <w:i/>
                <w:iCs/>
                <w:sz w:val="24"/>
                <w:szCs w:val="24"/>
              </w:rPr>
              <w:t>(место оказания услуг)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основного средства </w:t>
              <w:br/>
              <w:t>(в отношении которого оказываются услуги)</w:t>
            </w:r>
          </w:p>
        </w:tc>
      </w:tr>
      <w:tr>
        <w:trPr/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>
          <w:trHeight w:val="881" w:hRule="atLeast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rPr/>
            </w:pPr>
            <w:r>
              <w:rPr/>
            </w: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pacing w:before="120" w:after="120"/>
              <w:jc w:val="both"/>
              <w:rPr>
                <w:rFonts w:eastAsia="Calibri"/>
                <w:b/>
                <w:sz w:val="24"/>
                <w:szCs w:val="24"/>
                <w:lang w:eastAsia="x-none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4"/>
                <w:szCs w:val="24"/>
                <w:lang w:val="ru-RU" w:eastAsia="ru-RU" w:bidi="ar-SA"/>
              </w:rPr>
              <w:t>ОКПД2 70.22.15 Оказание консультационных услуг в формате проведения семинара по теме: «Организация корпоративного управления в группе РусГидро» по изучению ключевых изменений корпоративного законодательства, а также планируемых изменений в области корпоративного управления для руководителей и специалистов Группы РусГидро в г. Красноярске.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uppressAutoHyphens w:val="true"/>
              <w:spacing w:before="60" w:after="0"/>
              <w:jc w:val="left"/>
              <w:rPr>
                <w:rFonts w:ascii="Times New Roman" w:hAnsi="Times New Roman" w:eastAsia="Times New Roman" w:cs="Times New Roman"/>
                <w:iCs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color w:val="auto"/>
                <w:kern w:val="0"/>
                <w:sz w:val="24"/>
                <w:szCs w:val="24"/>
                <w:lang w:val="ru-RU" w:eastAsia="ru-RU" w:bidi="ar-SA"/>
              </w:rPr>
              <w:t>г. Красноярск, ул. Перенсона, д. 2А, конференц-зал на 10-м этаже</w:t>
            </w:r>
          </w:p>
        </w:tc>
        <w:tc>
          <w:tcPr>
            <w:tcW w:w="2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  <w:lang w:eastAsia="en-US"/>
              </w:rPr>
              <w:t>Персонал ПАО «РусГидро» и организаций Группы РусГидро</w:t>
            </w:r>
            <w:r>
              <w:rPr>
                <w:rStyle w:val="FootnoteReference"/>
                <w:iCs/>
                <w:sz w:val="24"/>
                <w:szCs w:val="24"/>
                <w:vertAlign w:val="superscript"/>
                <w:lang w:eastAsia="en-US"/>
              </w:rPr>
              <w:footnoteReference w:id="2"/>
            </w:r>
            <w:r>
              <w:rPr>
                <w:iCs/>
                <w:sz w:val="24"/>
                <w:szCs w:val="24"/>
                <w:lang w:eastAsia="en-US"/>
              </w:rPr>
              <w:t xml:space="preserve"> </w:t>
            </w:r>
          </w:p>
        </w:tc>
      </w:tr>
    </w:tbl>
    <w:p>
      <w:pPr>
        <w:pStyle w:val="Heading1"/>
        <w:keepLines/>
        <w:numPr>
          <w:ilvl w:val="0"/>
          <w:numId w:val="0"/>
        </w:numPr>
        <w:ind w:left="357" w:hanging="0"/>
        <w:rPr>
          <w:iCs/>
          <w:caps/>
          <w:lang w:val="ru-RU"/>
        </w:rPr>
      </w:pPr>
      <w:r>
        <w:rPr>
          <w:iCs/>
          <w:caps/>
          <w:lang w:val="ru-RU"/>
        </w:rPr>
      </w:r>
    </w:p>
    <w:p>
      <w:pPr>
        <w:pStyle w:val="Normal"/>
        <w:rPr>
          <w:lang w:eastAsia="x-none"/>
        </w:rPr>
      </w:pPr>
      <w:r>
        <w:rPr>
          <w:lang w:eastAsia="x-none"/>
        </w:rPr>
      </w:r>
    </w:p>
    <w:p>
      <w:pPr>
        <w:pStyle w:val="Normal"/>
        <w:rPr>
          <w:lang w:eastAsia="x-none"/>
        </w:rPr>
      </w:pPr>
      <w:r>
        <w:rPr>
          <w:lang w:eastAsia="x-none"/>
        </w:rPr>
      </w:r>
    </w:p>
    <w:p>
      <w:pPr>
        <w:pStyle w:val="Normal"/>
        <w:rPr>
          <w:lang w:eastAsia="x-none"/>
        </w:rPr>
      </w:pPr>
      <w:r>
        <w:rPr>
          <w:lang w:eastAsia="x-none"/>
        </w:rPr>
      </w:r>
    </w:p>
    <w:p>
      <w:pPr>
        <w:pStyle w:val="Heading1"/>
        <w:numPr>
          <w:ilvl w:val="0"/>
          <w:numId w:val="3"/>
        </w:numPr>
        <w:tabs>
          <w:tab w:val="clear" w:pos="720"/>
        </w:tabs>
        <w:suppressAutoHyphens w:val="false"/>
        <w:ind w:left="0" w:hanging="0"/>
        <w:jc w:val="center"/>
        <w:rPr/>
      </w:pPr>
      <w:bookmarkStart w:id="13" w:name="_Toc204680154"/>
      <w:bookmarkStart w:id="14" w:name="_Toc178934336"/>
      <w:r>
        <w:rPr/>
        <w:t>Требования к продукции</w:t>
      </w:r>
      <w:r>
        <w:rPr>
          <w:lang w:val="ru-RU"/>
        </w:rPr>
        <w:t xml:space="preserve"> (услугам)</w:t>
      </w:r>
      <w:bookmarkEnd w:id="13"/>
      <w:bookmarkEnd w:id="14"/>
    </w:p>
    <w:p>
      <w:pPr>
        <w:pStyle w:val="Heading4"/>
        <w:numPr>
          <w:ilvl w:val="1"/>
          <w:numId w:val="3"/>
        </w:numPr>
        <w:suppressAutoHyphens w:val="false"/>
        <w:rPr/>
      </w:pPr>
      <w:bookmarkStart w:id="15" w:name="_Toc204680155"/>
      <w:bookmarkStart w:id="16" w:name="_Toc178934337"/>
      <w:r>
        <w:rPr/>
        <w:t xml:space="preserve">Требования к объемам и срокам </w:t>
      </w:r>
      <w:r>
        <w:rPr>
          <w:lang w:val="ru-RU"/>
        </w:rPr>
        <w:t>оказания услуг</w:t>
      </w:r>
      <w:bookmarkEnd w:id="15"/>
      <w:bookmarkEnd w:id="16"/>
    </w:p>
    <w:p>
      <w:pPr>
        <w:pStyle w:val="Heading3"/>
        <w:numPr>
          <w:ilvl w:val="2"/>
          <w:numId w:val="3"/>
        </w:numPr>
        <w:tabs>
          <w:tab w:val="clear" w:pos="720"/>
        </w:tabs>
        <w:suppressAutoHyphens w:val="false"/>
        <w:ind w:left="700" w:hanging="700"/>
        <w:rPr/>
      </w:pPr>
      <w:bookmarkStart w:id="17" w:name="_Toc178934338"/>
      <w:bookmarkStart w:id="18" w:name="_Toc204680156"/>
      <w:r>
        <w:rPr/>
        <w:t>Требования к перечню и объему услуг</w:t>
      </w:r>
      <w:bookmarkEnd w:id="17"/>
      <w:bookmarkEnd w:id="18"/>
    </w:p>
    <w:p>
      <w:pPr>
        <w:pStyle w:val="Heading3"/>
        <w:numPr>
          <w:ilvl w:val="0"/>
          <w:numId w:val="0"/>
        </w:numPr>
        <w:suppressAutoHyphens w:val="false"/>
        <w:ind w:left="0" w:hanging="0"/>
        <w:rPr/>
      </w:pPr>
      <w:bookmarkStart w:id="19" w:name="_Toc149575239"/>
      <w:bookmarkStart w:id="20" w:name="_Toc178934339"/>
      <w:bookmarkStart w:id="21" w:name="_Toc204680157"/>
      <w:bookmarkStart w:id="22" w:name="_Toc51339695"/>
      <w:r>
        <w:rPr/>
        <w:t xml:space="preserve">Таблица 2. Перечень </w:t>
      </w:r>
      <w:bookmarkEnd w:id="22"/>
      <w:r>
        <w:rPr/>
        <w:t>и объем оказываемых услуг</w:t>
      </w:r>
      <w:bookmarkEnd w:id="19"/>
      <w:bookmarkEnd w:id="20"/>
      <w:bookmarkEnd w:id="21"/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661"/>
        <w:gridCol w:w="6643"/>
        <w:gridCol w:w="1256"/>
        <w:gridCol w:w="1218"/>
      </w:tblGrid>
      <w:tr>
        <w:trPr>
          <w:trHeight w:val="399" w:hRule="atLeast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pacing w:lineRule="atLeast" w:line="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</w:t>
            </w:r>
          </w:p>
          <w:p>
            <w:pPr>
              <w:pStyle w:val="Normal"/>
              <w:keepNext w:val="true"/>
              <w:widowControl w:val="false"/>
              <w:spacing w:lineRule="atLeast" w:line="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п/п</w:t>
            </w:r>
          </w:p>
        </w:tc>
        <w:tc>
          <w:tcPr>
            <w:tcW w:w="6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pacing w:lineRule="atLeast" w:line="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услуг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pacing w:lineRule="atLeast" w:line="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Единица </w:t>
            </w:r>
          </w:p>
          <w:p>
            <w:pPr>
              <w:pStyle w:val="Normal"/>
              <w:keepNext w:val="true"/>
              <w:widowControl w:val="false"/>
              <w:spacing w:lineRule="atLeast" w:line="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измерения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tLeast" w:line="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</w:t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317" w:leader="none"/>
              </w:tabs>
              <w:spacing w:lineRule="atLeast" w:line="20" w:before="0" w:after="0"/>
              <w:contextualSpacing/>
              <w:jc w:val="center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1</w:t>
            </w:r>
          </w:p>
        </w:tc>
        <w:tc>
          <w:tcPr>
            <w:tcW w:w="6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0"/>
              <w:jc w:val="center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2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0"/>
              <w:jc w:val="center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3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0"/>
              <w:jc w:val="center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4</w:t>
            </w:r>
          </w:p>
        </w:tc>
      </w:tr>
      <w:tr>
        <w:trPr>
          <w:trHeight w:val="1012" w:hRule="atLeast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0" w:leader="none"/>
              </w:tabs>
              <w:spacing w:lineRule="atLeast" w:line="20" w:before="120" w:after="120"/>
              <w:ind w:left="284" w:hanging="0"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6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pacing w:before="120" w:after="120"/>
              <w:jc w:val="both"/>
              <w:rPr>
                <w:rFonts w:eastAsia="Calibri"/>
                <w:b/>
                <w:sz w:val="24"/>
                <w:szCs w:val="24"/>
                <w:lang w:eastAsia="x-none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4"/>
                <w:szCs w:val="24"/>
                <w:lang w:val="ru-RU" w:eastAsia="ru-RU" w:bidi="ar-SA"/>
              </w:rPr>
              <w:t>ОКПД2 70.22.15 Оказание консультационных услуг в формате проведения семинара по теме: «Организация корпоративного управления в группе РусГидро» по изучению ключевых изменений корпоративного законодательства, а также планируемых изменений в области корпоративного управления для руководителей и специалистов Группы РусГидро в г. Красноярске.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tLeast" w:line="2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усл. ед.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tLeast" w:line="2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</w:tr>
    </w:tbl>
    <w:p>
      <w:pPr>
        <w:pStyle w:val="Heading3"/>
        <w:numPr>
          <w:ilvl w:val="2"/>
          <w:numId w:val="3"/>
        </w:numPr>
        <w:tabs>
          <w:tab w:val="clear" w:pos="720"/>
        </w:tabs>
        <w:suppressAutoHyphens w:val="false"/>
        <w:ind w:left="700" w:hanging="700"/>
        <w:rPr/>
      </w:pPr>
      <w:bookmarkStart w:id="23" w:name="_Toc178934340"/>
      <w:bookmarkStart w:id="24" w:name="_Toc204680158"/>
      <w:bookmarkStart w:id="25" w:name="_Toc51339696"/>
      <w:bookmarkStart w:id="26" w:name="_Toc149575240"/>
      <w:bookmarkEnd w:id="26"/>
      <w:r>
        <w:rPr/>
        <w:t xml:space="preserve">Требования </w:t>
      </w:r>
      <w:bookmarkEnd w:id="25"/>
      <w:r>
        <w:rPr/>
        <w:t>к срокам оказания услуг</w:t>
      </w:r>
      <w:bookmarkEnd w:id="23"/>
      <w:bookmarkEnd w:id="24"/>
    </w:p>
    <w:p>
      <w:pPr>
        <w:pStyle w:val="Heading3"/>
        <w:numPr>
          <w:ilvl w:val="0"/>
          <w:numId w:val="0"/>
        </w:numPr>
        <w:suppressAutoHyphens w:val="false"/>
        <w:ind w:left="0" w:hanging="0"/>
        <w:rPr/>
      </w:pPr>
      <w:bookmarkStart w:id="27" w:name="_Toc178934341"/>
      <w:bookmarkStart w:id="28" w:name="_Toc204680159"/>
      <w:bookmarkStart w:id="29" w:name="_Toc149575242"/>
      <w:bookmarkStart w:id="30" w:name="_Toc51339697"/>
      <w:bookmarkStart w:id="31" w:name="_Toc50125127"/>
      <w:r>
        <w:rPr/>
        <w:t xml:space="preserve">Таблица 3. </w:t>
      </w:r>
      <w:bookmarkStart w:id="32" w:name="_Hlk50465284"/>
      <w:r>
        <w:rPr/>
        <w:t xml:space="preserve">Требования к срокам </w:t>
      </w:r>
      <w:bookmarkEnd w:id="30"/>
      <w:bookmarkEnd w:id="31"/>
      <w:bookmarkEnd w:id="32"/>
      <w:r>
        <w:rPr/>
        <w:t>оказания услуг</w:t>
      </w:r>
      <w:bookmarkEnd w:id="27"/>
      <w:bookmarkEnd w:id="28"/>
      <w:bookmarkEnd w:id="29"/>
    </w:p>
    <w:p>
      <w:pPr>
        <w:pStyle w:val="Normal"/>
        <w:numPr>
          <w:ilvl w:val="0"/>
          <w:numId w:val="0"/>
        </w:numPr>
        <w:suppressAutoHyphens w:val="false"/>
        <w:ind w:left="0" w:hanging="0"/>
        <w:rPr/>
      </w:pPr>
      <w:r>
        <w:rPr/>
      </w:r>
    </w:p>
    <w:tbl>
      <w:tblPr>
        <w:tblW w:w="991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121"/>
        <w:gridCol w:w="3858"/>
        <w:gridCol w:w="2895"/>
        <w:gridCol w:w="2043"/>
      </w:tblGrid>
      <w:tr>
        <w:trPr/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3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услуг/ этапа услуг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оказания услуг/ этапа услуг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оказания услуг / этапа услуг</w:t>
            </w:r>
          </w:p>
        </w:tc>
      </w:tr>
      <w:tr>
        <w:trPr/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9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9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rPr/>
            </w:pPr>
            <w:r>
              <w:rPr/>
            </w:r>
          </w:p>
        </w:tc>
        <w:tc>
          <w:tcPr>
            <w:tcW w:w="38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4"/>
                <w:szCs w:val="24"/>
                <w:lang w:val="ru-RU" w:eastAsia="ru-RU" w:bidi="ar-SA"/>
              </w:rPr>
              <w:t>ОКПД2 70.22.15 Оказание консультационных услуг в формате проведения семинара по теме: «Организация корпоративного управления в группе РусГидро» по изучению ключевых изменений корпоративного законодательства, а также планируемых изменений в области корпоративного управления для руководителей и специалистов Группы РусГидро в г. Красноярске.</w:t>
            </w: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Cs w:val="24"/>
              </w:rPr>
            </w:pPr>
            <w:r>
              <w:rPr>
                <w:sz w:val="24"/>
                <w:szCs w:val="24"/>
              </w:rPr>
              <w:t>Семинар в формате вебинара: «Лучшие практики работы с инсайдерской информацией» - 23.09.2026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Cs w:val="24"/>
              </w:rPr>
            </w:pPr>
            <w:r>
              <w:rPr>
                <w:szCs w:val="24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23.09.2026</w:t>
            </w:r>
          </w:p>
        </w:tc>
      </w:tr>
      <w:tr>
        <w:trPr/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rPr/>
            </w:pPr>
            <w:r>
              <w:rPr/>
            </w:r>
          </w:p>
        </w:tc>
        <w:tc>
          <w:tcPr>
            <w:tcW w:w="38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Семинар в очном формате — 24.09.2026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25.09.2026</w:t>
            </w:r>
          </w:p>
        </w:tc>
      </w:tr>
    </w:tbl>
    <w:p>
      <w:pPr>
        <w:sectPr>
          <w:headerReference w:type="even" r:id="rId2"/>
          <w:headerReference w:type="default" r:id="rId3"/>
          <w:headerReference w:type="first" r:id="rId4"/>
          <w:footnotePr>
            <w:numFmt w:val="decimal"/>
          </w:footnotePr>
          <w:type w:val="nextPage"/>
          <w:pgSz w:w="11906" w:h="16838"/>
          <w:pgMar w:left="1276" w:right="851" w:gutter="0" w:header="680" w:top="1134" w:footer="0" w:bottom="992"/>
          <w:pgNumType w:fmt="decimal"/>
          <w:formProt w:val="false"/>
          <w:titlePg/>
          <w:textDirection w:val="lrTb"/>
          <w:docGrid w:type="default" w:linePitch="360" w:charSpace="0"/>
        </w:sectPr>
      </w:pPr>
    </w:p>
    <w:p>
      <w:pPr>
        <w:pStyle w:val="Heading4"/>
        <w:numPr>
          <w:ilvl w:val="1"/>
          <w:numId w:val="3"/>
        </w:numPr>
        <w:rPr/>
      </w:pPr>
      <w:bookmarkStart w:id="33" w:name="_Toc204680160"/>
      <w:bookmarkStart w:id="34" w:name="_Toc133577153"/>
      <w:bookmarkStart w:id="35" w:name="_Toc46743511"/>
      <w:r>
        <w:rPr/>
        <w:t xml:space="preserve">Требования к </w:t>
      </w:r>
      <w:bookmarkEnd w:id="35"/>
      <w:r>
        <w:rPr>
          <w:lang w:val="ru-RU"/>
        </w:rPr>
        <w:t xml:space="preserve">качеству </w:t>
      </w:r>
      <w:bookmarkEnd w:id="34"/>
      <w:r>
        <w:rPr>
          <w:lang w:val="ru-RU"/>
        </w:rPr>
        <w:t>Услуг</w:t>
      </w:r>
      <w:bookmarkEnd w:id="33"/>
    </w:p>
    <w:p>
      <w:pPr>
        <w:pStyle w:val="Heading3"/>
        <w:numPr>
          <w:ilvl w:val="0"/>
          <w:numId w:val="0"/>
        </w:numPr>
        <w:suppressAutoHyphens w:val="false"/>
        <w:ind w:left="0" w:hanging="0"/>
        <w:rPr/>
      </w:pPr>
      <w:bookmarkStart w:id="36" w:name="_Toc204680161"/>
      <w:bookmarkStart w:id="37" w:name="_Toc133577154"/>
      <w:bookmarkStart w:id="38" w:name="_Toc51339698"/>
      <w:r>
        <w:rPr/>
        <w:t xml:space="preserve">Таблица 4. Требования к </w:t>
      </w:r>
      <w:bookmarkEnd w:id="38"/>
      <w:r>
        <w:rPr/>
        <w:t xml:space="preserve">качеству </w:t>
      </w:r>
      <w:bookmarkEnd w:id="37"/>
      <w:r>
        <w:rPr/>
        <w:t>Услуг</w:t>
      </w:r>
      <w:bookmarkEnd w:id="36"/>
      <w:r>
        <w:rPr/>
        <w:t xml:space="preserve"> </w:t>
      </w:r>
    </w:p>
    <w:p>
      <w:pPr>
        <w:pStyle w:val="Normal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Наименование Услуг (позиция № 1. Таблицы 2.): </w:t>
      </w:r>
    </w:p>
    <w:p>
      <w:pPr>
        <w:pStyle w:val="Normal"/>
        <w:widowControl w:val="false"/>
        <w:rPr>
          <w:sz w:val="24"/>
          <w:szCs w:val="24"/>
        </w:rPr>
      </w:pPr>
      <w:r>
        <w:rPr>
          <w:rFonts w:eastAsia="Times New Roman" w:cs="Times New Roman"/>
          <w:b/>
          <w:bCs/>
          <w:i/>
          <w:color w:val="auto"/>
          <w:kern w:val="0"/>
          <w:sz w:val="24"/>
          <w:szCs w:val="24"/>
          <w:lang w:val="ru-RU" w:eastAsia="ru-RU" w:bidi="ar-SA"/>
        </w:rPr>
        <w:t>ОКПД2 70.22.15 Оказание консультационных услуг в формате проведения семинара по теме: «Организация корпоративного управления в группе РусГидро» по изучению ключевых изменений корпоративного законодательства, а также планируемых изменений в области корпоративного управления для руководителей и специалистов Группы РусГидро в г. Красноярске.</w:t>
      </w:r>
      <w:r>
        <w:rPr>
          <w:rFonts w:eastAsia="Calibri"/>
          <w:b/>
          <w:bCs/>
          <w:i/>
          <w:sz w:val="24"/>
          <w:szCs w:val="24"/>
          <w:lang w:eastAsia="x-none"/>
        </w:rPr>
        <w:t xml:space="preserve"> </w:t>
      </w:r>
    </w:p>
    <w:tbl>
      <w:tblPr>
        <w:tblStyle w:val="affff6"/>
        <w:tblW w:w="15315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900"/>
        <w:gridCol w:w="1654"/>
        <w:gridCol w:w="6815"/>
        <w:gridCol w:w="1702"/>
        <w:gridCol w:w="2069"/>
        <w:gridCol w:w="2174"/>
      </w:tblGrid>
      <w:tr>
        <w:trPr/>
        <w:tc>
          <w:tcPr>
            <w:tcW w:w="900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п/п</w:t>
            </w:r>
          </w:p>
        </w:tc>
        <w:tc>
          <w:tcPr>
            <w:tcW w:w="1654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Наименование параметра</w:t>
            </w:r>
          </w:p>
        </w:tc>
        <w:tc>
          <w:tcPr>
            <w:tcW w:w="6815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Требование заказчика</w:t>
            </w:r>
          </w:p>
        </w:tc>
        <w:tc>
          <w:tcPr>
            <w:tcW w:w="3771" w:type="dxa"/>
            <w:gridSpan w:val="2"/>
            <w:tcBorders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Способ подтверждения участником соответствия требованиям</w:t>
            </w:r>
          </w:p>
        </w:tc>
        <w:tc>
          <w:tcPr>
            <w:tcW w:w="2174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Предложение участника по характеристикам и параметрам</w:t>
            </w:r>
          </w:p>
        </w:tc>
      </w:tr>
      <w:tr>
        <w:trPr/>
        <w:tc>
          <w:tcPr>
            <w:tcW w:w="900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1654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6815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170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Согласие с требованием/ указание характеристик</w:t>
            </w:r>
          </w:p>
        </w:tc>
        <w:tc>
          <w:tcPr>
            <w:tcW w:w="2069" w:type="dxa"/>
            <w:tcBorders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2174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</w:tr>
      <w:tr>
        <w:trPr/>
        <w:tc>
          <w:tcPr>
            <w:tcW w:w="90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bookmarkStart w:id="39" w:name="_Toc53499667"/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1</w:t>
            </w:r>
            <w:bookmarkEnd w:id="39"/>
          </w:p>
        </w:tc>
        <w:tc>
          <w:tcPr>
            <w:tcW w:w="165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681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170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4</w:t>
            </w:r>
          </w:p>
        </w:tc>
        <w:tc>
          <w:tcPr>
            <w:tcW w:w="2069" w:type="dxa"/>
            <w:tcBorders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5</w:t>
            </w:r>
          </w:p>
        </w:tc>
        <w:tc>
          <w:tcPr>
            <w:tcW w:w="217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6</w:t>
            </w:r>
          </w:p>
        </w:tc>
      </w:tr>
      <w:tr>
        <w:trPr/>
        <w:tc>
          <w:tcPr>
            <w:tcW w:w="900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tabs>
                <w:tab w:val="clear" w:pos="720"/>
                <w:tab w:val="left" w:pos="450" w:leader="none"/>
              </w:tabs>
              <w:suppressAutoHyphens w:val="true"/>
              <w:bidi w:val="0"/>
              <w:spacing w:before="60" w:after="60"/>
              <w:ind w:left="454" w:right="283" w:hanging="340"/>
              <w:contextualSpacing/>
              <w:jc w:val="left"/>
              <w:rPr/>
            </w:pPr>
            <w:r>
              <w:rPr/>
            </w:r>
          </w:p>
        </w:tc>
        <w:tc>
          <w:tcPr>
            <w:tcW w:w="8469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b/>
                <w:bCs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 xml:space="preserve">Требования к оказанию Услуг </w:t>
            </w:r>
          </w:p>
        </w:tc>
        <w:tc>
          <w:tcPr>
            <w:tcW w:w="1702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069" w:type="dxa"/>
            <w:tcBorders>
              <w:right w:val="nil"/>
            </w:tcBorders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174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900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8469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 xml:space="preserve">Общие требования к оказанию Услуг </w:t>
            </w:r>
          </w:p>
        </w:tc>
        <w:tc>
          <w:tcPr>
            <w:tcW w:w="1702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069" w:type="dxa"/>
            <w:tcBorders>
              <w:right w:val="nil"/>
            </w:tcBorders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174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900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bidi w:val="0"/>
              <w:spacing w:before="60" w:after="60"/>
              <w:ind w:left="0" w:right="0" w:hanging="113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654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Программа обучения</w:t>
            </w:r>
          </w:p>
        </w:tc>
        <w:tc>
          <w:tcPr>
            <w:tcW w:w="6815" w:type="dxa"/>
            <w:tcBorders/>
            <w:shd w:color="auto" w:fill="auto" w:val="clear"/>
            <w:vAlign w:val="center"/>
          </w:tcPr>
          <w:p>
            <w:pPr>
              <w:pStyle w:val="Default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/>
                <w:sz w:val="0"/>
                <w:szCs w:val="0"/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0"/>
                <w:szCs w:val="0"/>
                <w:shd w:fill="auto" w:val="clear"/>
                <w:lang w:val="ru-RU" w:eastAsia="ru-RU" w:bidi="ar-SA"/>
              </w:rPr>
              <w:t xml:space="preserve">Программа реализуется в формате вебинара, очного семинара с использованием разбора примеров по применению искусственного интеллекта в практике корпоративного юриста и деловой игры в рамках практикума по подготовке основных условий сделки по следующим темам: </w:t>
            </w:r>
          </w:p>
          <w:p>
            <w:pPr>
              <w:pStyle w:val="Default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/>
                <w:sz w:val="0"/>
                <w:szCs w:val="0"/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0"/>
                <w:szCs w:val="0"/>
                <w:shd w:fill="auto" w:val="clear"/>
                <w:lang w:val="ru-RU" w:eastAsia="ru-RU" w:bidi="ar-SA"/>
              </w:rPr>
              <w:t xml:space="preserve">День 1 (23.09.2026): </w:t>
            </w:r>
            <w:r>
              <w:rPr>
                <w:rFonts w:eastAsia="Times New Roman" w:cs="Times New Roman" w:ascii="Times New Roman" w:hAnsi="Times New Roman"/>
                <w:kern w:val="0"/>
                <w:sz w:val="0"/>
                <w:szCs w:val="0"/>
                <w:shd w:fill="auto" w:val="clear"/>
                <w:lang w:val="ru-RU" w:eastAsia="ru-RU" w:bidi="ar-SA"/>
              </w:rPr>
              <w:t xml:space="preserve">Семинар в формате вебинара на тему: </w:t>
            </w:r>
          </w:p>
          <w:p>
            <w:pPr>
              <w:pStyle w:val="Default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/>
                <w:sz w:val="0"/>
                <w:szCs w:val="0"/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0"/>
                <w:szCs w:val="0"/>
                <w:shd w:fill="auto" w:val="clear"/>
                <w:lang w:val="ru-RU" w:eastAsia="ru-RU" w:bidi="ar-SA"/>
              </w:rPr>
              <w:t>«Лучшие практики работы с инсайдерской информацией».</w:t>
            </w:r>
          </w:p>
          <w:p>
            <w:pPr>
              <w:pStyle w:val="Default"/>
              <w:widowControl w:val="false"/>
              <w:suppressAutoHyphens w:val="true"/>
              <w:spacing w:before="0" w:after="0"/>
              <w:jc w:val="both"/>
              <w:rPr>
                <w:rFonts w:eastAsia="Times New Roman" w:cs="Times New Roman"/>
                <w:color w:val="000000" w:themeColor="text1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 w:themeColor="text1"/>
                <w:kern w:val="0"/>
                <w:lang w:val="ru-RU" w:eastAsia="ru-RU" w:bidi="ar-SA"/>
              </w:rPr>
            </w:r>
          </w:p>
          <w:p>
            <w:pPr>
              <w:pStyle w:val="Default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0"/>
                <w:szCs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0"/>
                <w:szCs w:val="0"/>
                <w:shd w:fill="auto" w:val="clear"/>
                <w:lang w:val="ru-RU" w:eastAsia="ru-RU" w:bidi="ar-SA"/>
              </w:rPr>
              <w:t xml:space="preserve">День 2 (24.09.2026): Семинар в очной форме: </w:t>
            </w:r>
          </w:p>
          <w:p>
            <w:pPr>
              <w:pStyle w:val="Default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0"/>
                <w:szCs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0"/>
                <w:szCs w:val="0"/>
                <w:shd w:fill="auto" w:val="clear"/>
                <w:lang w:val="ru-RU" w:eastAsia="ru-RU" w:bidi="ar-SA"/>
              </w:rPr>
              <w:t>1. Ключевые изменения законодательства, планируемые изменения: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0"/>
                <w:szCs w:val="0"/>
                <w:highlight w:val="none"/>
                <w:shd w:fill="auto" w:val="clear"/>
              </w:rPr>
            </w:pPr>
            <w:r>
              <w:rPr>
                <w:sz w:val="0"/>
                <w:szCs w:val="0"/>
                <w:shd w:fill="auto" w:val="clear"/>
              </w:rPr>
              <w:t>•</w:t>
            </w:r>
            <w:r>
              <w:rPr>
                <w:rFonts w:eastAsia="Times New Roman" w:cs="Times New Roman"/>
                <w:color w:val="000000"/>
                <w:kern w:val="0"/>
                <w:sz w:val="0"/>
                <w:szCs w:val="0"/>
                <w:shd w:fill="auto" w:val="clear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0"/>
                <w:szCs w:val="0"/>
                <w:shd w:fill="auto" w:val="clear"/>
                <w:lang w:val="ru-RU" w:eastAsia="ru-RU" w:bidi="ar-SA"/>
              </w:rPr>
              <w:t>обзор изменений законодательства 2023-2026 гг. – практические проблемы и решения;</w:t>
            </w:r>
          </w:p>
          <w:p>
            <w:pPr>
              <w:pStyle w:val="Default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color w:val="000000"/>
                <w:kern w:val="0"/>
                <w:sz w:val="0"/>
                <w:szCs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0"/>
                <w:szCs w:val="0"/>
                <w:shd w:fill="auto" w:val="clear"/>
                <w:lang w:val="ru-RU" w:eastAsia="ru-RU" w:bidi="ar-SA"/>
              </w:rPr>
              <w:t xml:space="preserve">•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0"/>
                <w:szCs w:val="0"/>
                <w:shd w:fill="auto" w:val="clear"/>
                <w:lang w:val="ru-RU" w:eastAsia="ru-RU" w:bidi="ar-SA"/>
              </w:rPr>
              <w:t>обзор планируемых изменений законодательства – к чему и как готовиться.</w:t>
            </w:r>
          </w:p>
          <w:p>
            <w:pPr>
              <w:pStyle w:val="Default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0"/>
                <w:szCs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0"/>
                <w:szCs w:val="0"/>
                <w:shd w:fill="auto" w:val="clear"/>
                <w:lang w:val="ru-RU" w:eastAsia="ru-RU" w:bidi="ar-SA"/>
              </w:rPr>
              <w:t>2. Актуальные требования регулятора к общим собраниям акционеров в свете проекта Положения об ОСА.</w:t>
            </w:r>
          </w:p>
          <w:p>
            <w:pPr>
              <w:pStyle w:val="Default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color w:val="000000"/>
                <w:kern w:val="0"/>
                <w:sz w:val="0"/>
                <w:szCs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0"/>
                <w:szCs w:val="0"/>
                <w:shd w:fill="auto" w:val="clear"/>
                <w:lang w:val="ru-RU" w:eastAsia="ru-RU" w:bidi="ar-SA"/>
              </w:rPr>
              <w:t>3.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0"/>
                <w:szCs w:val="0"/>
                <w:shd w:fill="auto" w:val="clear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0"/>
                <w:szCs w:val="0"/>
                <w:shd w:fill="auto" w:val="clear"/>
                <w:lang w:val="ru-RU" w:eastAsia="ru-RU" w:bidi="ar-SA"/>
              </w:rPr>
              <w:t>Существенные условия в сделках, ключевые аспекты подготовки к корпоративным одобрениям сделок: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0"/>
                <w:szCs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0"/>
                <w:szCs w:val="0"/>
                <w:shd w:fill="auto" w:val="clear"/>
                <w:lang w:val="ru-RU" w:eastAsia="ru-RU" w:bidi="ar-SA"/>
              </w:rPr>
              <w:t xml:space="preserve">• </w:t>
            </w:r>
            <w:r>
              <w:rPr>
                <w:rFonts w:eastAsia="Times New Roman" w:cs="Times New Roman"/>
                <w:color w:val="000000"/>
                <w:kern w:val="0"/>
                <w:sz w:val="0"/>
                <w:szCs w:val="0"/>
                <w:shd w:fill="auto" w:val="clear"/>
                <w:lang w:val="ru-RU" w:eastAsia="ru-RU" w:bidi="ar-SA"/>
              </w:rPr>
              <w:t>определение существенных условий сделки – ключевые принципы, нетипичные условия;</w:t>
            </w:r>
          </w:p>
          <w:p>
            <w:pPr>
              <w:pStyle w:val="Default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color w:val="000000"/>
                <w:kern w:val="0"/>
                <w:sz w:val="0"/>
                <w:szCs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0"/>
                <w:szCs w:val="0"/>
                <w:shd w:fill="auto" w:val="clear"/>
                <w:lang w:val="ru-RU" w:eastAsia="ru-RU" w:bidi="ar-SA"/>
              </w:rPr>
              <w:t xml:space="preserve">•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0"/>
                <w:szCs w:val="0"/>
                <w:shd w:fill="auto" w:val="clear"/>
                <w:lang w:val="ru-RU" w:eastAsia="ru-RU" w:bidi="ar-SA"/>
              </w:rPr>
              <w:t>существенные условия в сделках по уступке права (требования), переводу долга, передаче договора;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0"/>
                <w:szCs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0"/>
                <w:szCs w:val="0"/>
                <w:shd w:fill="auto" w:val="clear"/>
                <w:lang w:val="ru-RU" w:eastAsia="ru-RU" w:bidi="ar-SA"/>
              </w:rPr>
              <w:t xml:space="preserve">• </w:t>
            </w:r>
            <w:r>
              <w:rPr>
                <w:rFonts w:eastAsia="Times New Roman" w:cs="Times New Roman"/>
                <w:color w:val="000000"/>
                <w:kern w:val="0"/>
                <w:sz w:val="0"/>
                <w:szCs w:val="0"/>
                <w:shd w:fill="auto" w:val="clear"/>
                <w:lang w:val="ru-RU" w:eastAsia="ru-RU" w:bidi="ar-SA"/>
              </w:rPr>
              <w:t>разбор практики и типичных ошибок;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0"/>
                <w:szCs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0"/>
                <w:szCs w:val="0"/>
                <w:shd w:fill="auto" w:val="clear"/>
                <w:lang w:val="ru-RU" w:eastAsia="ru-RU" w:bidi="ar-SA"/>
              </w:rPr>
              <w:t xml:space="preserve">• </w:t>
            </w:r>
            <w:r>
              <w:rPr>
                <w:rFonts w:eastAsia="Times New Roman" w:cs="Times New Roman"/>
                <w:color w:val="000000"/>
                <w:kern w:val="0"/>
                <w:sz w:val="0"/>
                <w:szCs w:val="0"/>
                <w:shd w:fill="auto" w:val="clear"/>
                <w:lang w:val="ru-RU" w:eastAsia="ru-RU" w:bidi="ar-SA"/>
              </w:rPr>
              <w:t>управление договорными рисками при подготовке к корпоративным одобрениям сделок, включая разбор реальных кейсов, оценку рисков, донесение рисков до руководства, способы управления рисками.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0"/>
                <w:szCs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0"/>
                <w:szCs w:val="0"/>
                <w:shd w:fill="auto" w:val="clear"/>
                <w:lang w:val="ru-RU" w:eastAsia="ru-RU" w:bidi="ar-SA"/>
              </w:rPr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0"/>
                <w:szCs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color w:val="000000"/>
                <w:kern w:val="0"/>
                <w:sz w:val="0"/>
                <w:szCs w:val="0"/>
                <w:shd w:fill="auto" w:val="clear"/>
                <w:lang w:val="ru-RU" w:eastAsia="ru-RU" w:bidi="ar-SA"/>
              </w:rPr>
              <w:t xml:space="preserve">День 3 (25.09.2026): Семинар в формате групповой работы с использованием инструментов деловой игры: 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0"/>
                <w:szCs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color w:val="000000"/>
                <w:kern w:val="0"/>
                <w:sz w:val="0"/>
                <w:szCs w:val="0"/>
                <w:shd w:fill="auto" w:val="clear"/>
                <w:lang w:val="ru-RU" w:eastAsia="ru-RU" w:bidi="ar-SA"/>
              </w:rPr>
              <w:t>1. Разбор примеров по применению искусственного интеллекта в практике корпоративного юриста (на примере нескольких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0"/>
                <w:szCs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color w:val="000000"/>
                <w:kern w:val="0"/>
                <w:sz w:val="0"/>
                <w:szCs w:val="0"/>
                <w:shd w:fill="auto" w:val="clear"/>
                <w:lang w:val="ru-RU" w:eastAsia="ru-RU" w:bidi="ar-SA"/>
              </w:rPr>
              <w:t>нейросетей).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0"/>
                <w:szCs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color w:val="000000"/>
                <w:kern w:val="0"/>
                <w:sz w:val="0"/>
                <w:szCs w:val="0"/>
                <w:shd w:fill="auto" w:val="clear"/>
                <w:lang w:val="ru-RU" w:eastAsia="ru-RU" w:bidi="ar-SA"/>
              </w:rPr>
              <w:t>2. Практикум по подготовке основных условий сделки (деловая игра с разбивкой на группы).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0"/>
                <w:szCs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color w:val="000000"/>
                <w:kern w:val="0"/>
                <w:sz w:val="0"/>
                <w:szCs w:val="0"/>
                <w:shd w:fill="auto" w:val="clear"/>
                <w:lang w:val="ru-RU" w:eastAsia="ru-RU" w:bidi="ar-SA"/>
              </w:rPr>
              <w:t>3. Ответственность членов органов управления: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0"/>
                <w:szCs w:val="0"/>
              </w:rPr>
            </w:pPr>
            <w:r>
              <w:rPr>
                <w:sz w:val="0"/>
                <w:szCs w:val="0"/>
              </w:rPr>
              <w:t xml:space="preserve">• </w:t>
            </w:r>
            <w:r>
              <w:rPr>
                <w:sz w:val="0"/>
                <w:szCs w:val="0"/>
              </w:rPr>
              <w:t>основания ответственности;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0"/>
                <w:szCs w:val="0"/>
              </w:rPr>
            </w:pPr>
            <w:r>
              <w:rPr>
                <w:sz w:val="0"/>
                <w:szCs w:val="0"/>
              </w:rPr>
              <w:t xml:space="preserve">• </w:t>
            </w:r>
            <w:r>
              <w:rPr>
                <w:sz w:val="0"/>
                <w:szCs w:val="0"/>
              </w:rPr>
              <w:t>подходы судебной практики по недобросовестности и неразумности;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0"/>
                <w:szCs w:val="0"/>
              </w:rPr>
            </w:pPr>
            <w:r>
              <w:rPr>
                <w:sz w:val="0"/>
                <w:szCs w:val="0"/>
              </w:rPr>
              <w:t xml:space="preserve">• </w:t>
            </w:r>
            <w:r>
              <w:rPr>
                <w:sz w:val="0"/>
                <w:szCs w:val="0"/>
              </w:rPr>
              <w:t>освобождение от ответственности,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0"/>
                <w:szCs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0"/>
                <w:szCs w:val="0"/>
                <w:shd w:fill="auto" w:val="clear"/>
                <w:lang w:val="ru-RU" w:eastAsia="ru-RU" w:bidi="ar-SA"/>
              </w:rPr>
              <w:t>превентивные меры, судебная практика привлечения к ответственности.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0"/>
                <w:szCs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color w:val="000000"/>
                <w:kern w:val="0"/>
                <w:sz w:val="0"/>
                <w:szCs w:val="0"/>
                <w:shd w:fill="auto" w:val="clear"/>
                <w:lang w:val="ru-RU" w:eastAsia="ru-RU" w:bidi="ar-SA"/>
              </w:rPr>
              <w:t>4. Обычная хозяйственная деятельность и взаимосвязанность – оценка для квалификации сделок: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0"/>
                <w:szCs w:val="0"/>
              </w:rPr>
            </w:pPr>
            <w:r>
              <w:rPr>
                <w:sz w:val="0"/>
                <w:szCs w:val="0"/>
              </w:rPr>
              <w:t xml:space="preserve">• </w:t>
            </w:r>
            <w:r>
              <w:rPr>
                <w:sz w:val="0"/>
                <w:szCs w:val="0"/>
              </w:rPr>
              <w:t>практические аспекты определения обычной хозяйственной деятельности и взаимосвязанности сделок;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0"/>
                <w:szCs w:val="0"/>
              </w:rPr>
            </w:pPr>
            <w:r>
              <w:rPr>
                <w:sz w:val="0"/>
                <w:szCs w:val="0"/>
              </w:rPr>
              <w:t xml:space="preserve">• </w:t>
            </w:r>
            <w:r>
              <w:rPr>
                <w:sz w:val="0"/>
                <w:szCs w:val="0"/>
              </w:rPr>
              <w:t>подход ВС РФ по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0"/>
                <w:szCs w:val="0"/>
              </w:rPr>
            </w:pPr>
            <w:r>
              <w:rPr>
                <w:sz w:val="0"/>
                <w:szCs w:val="0"/>
              </w:rPr>
              <w:t>качественному критерию ОХД, тенденции, практика, разбор примеров;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0"/>
                <w:szCs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0"/>
                <w:szCs w:val="0"/>
                <w:shd w:fill="auto" w:val="clear"/>
                <w:lang w:val="ru-RU" w:eastAsia="ru-RU" w:bidi="ar-SA"/>
              </w:rPr>
              <w:t xml:space="preserve">• </w:t>
            </w:r>
            <w:r>
              <w:rPr>
                <w:rFonts w:eastAsia="Times New Roman" w:cs="Times New Roman"/>
                <w:color w:val="000000"/>
                <w:kern w:val="0"/>
                <w:sz w:val="0"/>
                <w:szCs w:val="0"/>
                <w:shd w:fill="auto" w:val="clear"/>
                <w:lang w:val="ru-RU" w:eastAsia="ru-RU" w:bidi="ar-SA"/>
              </w:rPr>
              <w:t>практические аспекты оформления результатов анализа ОХД.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0"/>
                <w:szCs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0"/>
                <w:szCs w:val="0"/>
                <w:shd w:fill="auto" w:val="clear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false"/>
              <w:spacing w:before="0" w:after="0"/>
              <w:jc w:val="both"/>
              <w:rPr>
                <w:rFonts w:ascii="Times New Roman" w:hAnsi="Times New Roman" w:eastAsia="Times New Roman" w:cs="Times New Roman"/>
                <w:kern w:val="0"/>
                <w:sz w:val="0"/>
                <w:szCs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0"/>
                <w:szCs w:val="0"/>
                <w:shd w:fill="auto" w:val="clear"/>
                <w:lang w:val="ru-RU" w:eastAsia="ru-RU" w:bidi="ar-SA"/>
              </w:rPr>
            </w:r>
          </w:p>
        </w:tc>
        <w:tc>
          <w:tcPr>
            <w:tcW w:w="1702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069" w:type="dxa"/>
            <w:tcBorders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Подтверждение в свободной форме, приложенное с ТКП</w:t>
            </w:r>
          </w:p>
        </w:tc>
        <w:tc>
          <w:tcPr>
            <w:tcW w:w="2174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Требуется</w:t>
            </w:r>
          </w:p>
        </w:tc>
      </w:tr>
      <w:tr>
        <w:trPr/>
        <w:tc>
          <w:tcPr>
            <w:tcW w:w="900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bidi w:val="0"/>
              <w:spacing w:before="60" w:after="60"/>
              <w:ind w:left="907" w:right="0" w:hanging="907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654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Объем программы</w:t>
            </w:r>
          </w:p>
        </w:tc>
        <w:tc>
          <w:tcPr>
            <w:tcW w:w="6815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  <w:lang w:val="ru-RU" w:bidi="ar-SA"/>
              </w:rPr>
            </w:pPr>
            <w:r>
              <w:rPr>
                <w:sz w:val="24"/>
                <w:szCs w:val="24"/>
                <w:lang w:val="ru-RU" w:bidi="ar-SA"/>
              </w:rPr>
              <w:t>Не менее 20 (двадцати) академических часов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  <w:lang w:val="ru-RU" w:bidi="ar-SA"/>
              </w:rPr>
            </w:pPr>
            <w:r>
              <w:rPr>
                <w:sz w:val="24"/>
                <w:szCs w:val="24"/>
                <w:lang w:val="ru-RU" w:bidi="ar-SA"/>
              </w:rPr>
            </w:r>
          </w:p>
        </w:tc>
        <w:tc>
          <w:tcPr>
            <w:tcW w:w="1702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069" w:type="dxa"/>
            <w:tcBorders>
              <w:top w:val="nil"/>
              <w:right w:val="nil"/>
            </w:tcBorders>
            <w:shd w:color="auto" w:fill="auto" w:val="clear"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Указание на согласие с требованием в ТКП по форме Приложения № 1 к ТТ</w:t>
            </w:r>
          </w:p>
        </w:tc>
        <w:tc>
          <w:tcPr>
            <w:tcW w:w="2174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Не требуется</w:t>
            </w:r>
          </w:p>
        </w:tc>
      </w:tr>
      <w:tr>
        <w:trPr/>
        <w:tc>
          <w:tcPr>
            <w:tcW w:w="900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bidi w:val="0"/>
              <w:spacing w:before="60" w:after="60"/>
              <w:ind w:left="907" w:right="0" w:hanging="85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654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Количество участников обучения</w:t>
            </w:r>
          </w:p>
        </w:tc>
        <w:tc>
          <w:tcPr>
            <w:tcW w:w="6815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  <w:lang w:val="ru-RU" w:bidi="ar-SA"/>
              </w:rPr>
            </w:pPr>
            <w:r>
              <w:rPr>
                <w:sz w:val="24"/>
                <w:szCs w:val="24"/>
                <w:lang w:val="ru-RU" w:bidi="ar-SA"/>
              </w:rPr>
              <w:t>Не более 50 человек</w:t>
            </w:r>
          </w:p>
        </w:tc>
        <w:tc>
          <w:tcPr>
            <w:tcW w:w="1702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069" w:type="dxa"/>
            <w:tcBorders>
              <w:top w:val="nil"/>
              <w:right w:val="nil"/>
            </w:tcBorders>
            <w:shd w:color="auto" w:fill="auto" w:val="clear"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Указание на согласие с требованием в ТКП по форме Приложения № 1 к ТТ</w:t>
            </w:r>
          </w:p>
        </w:tc>
        <w:tc>
          <w:tcPr>
            <w:tcW w:w="2174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Не требуется</w:t>
            </w:r>
          </w:p>
        </w:tc>
      </w:tr>
      <w:tr>
        <w:trPr/>
        <w:tc>
          <w:tcPr>
            <w:tcW w:w="900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bidi w:val="0"/>
              <w:spacing w:before="60" w:after="60"/>
              <w:ind w:left="907" w:right="0" w:hanging="85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654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Категория обучаемых</w:t>
            </w:r>
          </w:p>
        </w:tc>
        <w:tc>
          <w:tcPr>
            <w:tcW w:w="6815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  <w:lang w:val="ru-RU" w:bidi="ar-SA"/>
              </w:rPr>
            </w:pPr>
            <w:r>
              <w:rPr>
                <w:sz w:val="24"/>
                <w:szCs w:val="24"/>
                <w:lang w:val="ru-RU" w:bidi="ar-SA"/>
              </w:rPr>
              <w:t>Руководители и специалисты в области корпоративного управления</w:t>
            </w:r>
          </w:p>
        </w:tc>
        <w:tc>
          <w:tcPr>
            <w:tcW w:w="1702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069" w:type="dxa"/>
            <w:tcBorders>
              <w:top w:val="nil"/>
              <w:right w:val="nil"/>
            </w:tcBorders>
            <w:shd w:color="auto" w:fill="auto" w:val="clear"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Указание на согласие с требованием в ТКП по форме Приложения № 1 к ТТ</w:t>
            </w:r>
          </w:p>
        </w:tc>
        <w:tc>
          <w:tcPr>
            <w:tcW w:w="2174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Не требуется</w:t>
            </w:r>
          </w:p>
        </w:tc>
      </w:tr>
      <w:tr>
        <w:trPr/>
        <w:tc>
          <w:tcPr>
            <w:tcW w:w="900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bidi w:val="0"/>
              <w:spacing w:before="60" w:after="60"/>
              <w:ind w:left="907" w:right="0" w:hanging="907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654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Тип обучения</w:t>
            </w:r>
          </w:p>
        </w:tc>
        <w:tc>
          <w:tcPr>
            <w:tcW w:w="6815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  <w:lang w:val="ru-RU" w:bidi="ar-SA"/>
              </w:rPr>
            </w:pPr>
            <w:r>
              <w:rPr>
                <w:sz w:val="24"/>
                <w:szCs w:val="24"/>
                <w:lang w:val="ru-RU" w:bidi="ar-SA"/>
              </w:rPr>
              <w:t>Внешнее. Исполнитель должен быть юридическим или физическим лицом, оказывающим консультационные услуги по обучению в рамках своей основной производственной деятельности</w:t>
            </w:r>
          </w:p>
        </w:tc>
        <w:tc>
          <w:tcPr>
            <w:tcW w:w="1702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069" w:type="dxa"/>
            <w:tcBorders>
              <w:top w:val="nil"/>
              <w:right w:val="nil"/>
            </w:tcBorders>
            <w:shd w:color="auto" w:fill="auto" w:val="clear"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Указание на согласие с требованием в ТКП по форме Приложения № 1 к ТТ</w:t>
            </w:r>
          </w:p>
        </w:tc>
        <w:tc>
          <w:tcPr>
            <w:tcW w:w="2174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Не требуется</w:t>
            </w:r>
          </w:p>
        </w:tc>
      </w:tr>
      <w:tr>
        <w:trPr/>
        <w:tc>
          <w:tcPr>
            <w:tcW w:w="900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bidi w:val="0"/>
              <w:spacing w:before="60" w:after="60"/>
              <w:ind w:left="907" w:right="0" w:hanging="907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654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Направление обучения</w:t>
            </w:r>
          </w:p>
        </w:tc>
        <w:tc>
          <w:tcPr>
            <w:tcW w:w="6815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Технологическое обучение, направленное на улучшение индивидуальных знаний, навыков, умений, необходимых для исполнения должностных обязанностей при работе в крупной энергетической организации с корпоративной структурой управления.</w:t>
            </w:r>
          </w:p>
        </w:tc>
        <w:tc>
          <w:tcPr>
            <w:tcW w:w="1702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069" w:type="dxa"/>
            <w:tcBorders>
              <w:top w:val="nil"/>
              <w:right w:val="nil"/>
            </w:tcBorders>
            <w:shd w:color="auto" w:fill="auto" w:val="clear"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Указание на согласие с требованием в ТКП по форме Приложения № 1 к ТТ</w:t>
            </w:r>
          </w:p>
        </w:tc>
        <w:tc>
          <w:tcPr>
            <w:tcW w:w="2174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Не требуется</w:t>
            </w:r>
          </w:p>
        </w:tc>
      </w:tr>
      <w:tr>
        <w:trPr/>
        <w:tc>
          <w:tcPr>
            <w:tcW w:w="900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bidi w:val="0"/>
              <w:spacing w:before="60" w:after="60"/>
              <w:ind w:left="907" w:right="0" w:hanging="907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654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Форма обучения</w:t>
            </w:r>
          </w:p>
        </w:tc>
        <w:tc>
          <w:tcPr>
            <w:tcW w:w="6815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Заочная. Проведение семинара в формате вебинара по теме: «Лучшие практики работы с инсайдерской информацией».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Очная. Личное присутствие лиц, назначенных Исполнителем ответственными за оказание Услуг на месте оказания услуг 24.09.2026 и 25.09.2026.</w:t>
            </w:r>
          </w:p>
        </w:tc>
        <w:tc>
          <w:tcPr>
            <w:tcW w:w="1702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069" w:type="dxa"/>
            <w:tcBorders>
              <w:top w:val="nil"/>
              <w:right w:val="nil"/>
            </w:tcBorders>
            <w:shd w:color="auto" w:fill="auto" w:val="clear"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Указание на согласие с требованием в ТКП по форме Приложения № 1 к ТТ</w:t>
            </w:r>
          </w:p>
        </w:tc>
        <w:tc>
          <w:tcPr>
            <w:tcW w:w="2174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Не требуется</w:t>
            </w:r>
          </w:p>
        </w:tc>
      </w:tr>
      <w:tr>
        <w:trPr/>
        <w:tc>
          <w:tcPr>
            <w:tcW w:w="900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bidi w:val="0"/>
              <w:spacing w:before="60" w:after="60"/>
              <w:ind w:left="907" w:right="0" w:hanging="964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654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Формат обучения</w:t>
            </w:r>
          </w:p>
        </w:tc>
        <w:tc>
          <w:tcPr>
            <w:tcW w:w="681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pacing w:before="120" w:after="120"/>
              <w:jc w:val="both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Использование формата он-лайн обучения (вебинар по теме: «Лучшие практики работы с инсайдерской информацией»).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pacing w:before="120" w:after="120"/>
              <w:jc w:val="both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 xml:space="preserve">В очной части Семинара использование следующих инструментов: 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pacing w:before="120" w:after="120"/>
              <w:jc w:val="both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- Практикум по подготовке основных условий сделки в формате деловой игры с разбивкой на группы.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pacing w:before="120" w:after="120"/>
              <w:jc w:val="both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- Разбор примеров по применению искусственного интеллекта в практике корпоративного юриста (на примере нескольких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pacing w:before="120" w:after="120"/>
              <w:jc w:val="both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нейросетей).</w:t>
            </w:r>
          </w:p>
        </w:tc>
        <w:tc>
          <w:tcPr>
            <w:tcW w:w="1702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069" w:type="dxa"/>
            <w:tcBorders>
              <w:top w:val="nil"/>
              <w:right w:val="nil"/>
            </w:tcBorders>
            <w:shd w:color="auto" w:fill="auto" w:val="clear"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Указание на согласие с требованием в ТКП по форме Приложения № 1 к ТТ</w:t>
            </w:r>
          </w:p>
        </w:tc>
        <w:tc>
          <w:tcPr>
            <w:tcW w:w="2174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Не требуется</w:t>
            </w:r>
          </w:p>
        </w:tc>
      </w:tr>
      <w:tr>
        <w:trPr/>
        <w:tc>
          <w:tcPr>
            <w:tcW w:w="900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bidi w:val="0"/>
              <w:spacing w:before="60" w:after="60"/>
              <w:ind w:left="907" w:right="0" w:hanging="964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654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Накладные расходы</w:t>
            </w:r>
          </w:p>
        </w:tc>
        <w:tc>
          <w:tcPr>
            <w:tcW w:w="681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pacing w:before="120" w:after="120"/>
              <w:jc w:val="both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Исполнитель берет на себя все накладные расходы по командированию преподавателей и модераторов к месту проведения обучения и обратно.</w:t>
            </w:r>
          </w:p>
        </w:tc>
        <w:tc>
          <w:tcPr>
            <w:tcW w:w="1702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069" w:type="dxa"/>
            <w:tcBorders>
              <w:top w:val="nil"/>
              <w:right w:val="nil"/>
            </w:tcBorders>
            <w:shd w:color="auto" w:fill="auto" w:val="clear"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Указание на согласие с требованием в ТКП по форме Приложения № 1 к ТТ</w:t>
            </w:r>
          </w:p>
        </w:tc>
        <w:tc>
          <w:tcPr>
            <w:tcW w:w="2174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Требуется</w:t>
            </w:r>
          </w:p>
        </w:tc>
      </w:tr>
      <w:tr>
        <w:trPr/>
        <w:tc>
          <w:tcPr>
            <w:tcW w:w="900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8469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uppressAutoHyphens w:val="true"/>
              <w:spacing w:before="60" w:after="0"/>
              <w:jc w:val="both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способам оказания Услуг</w:t>
            </w:r>
          </w:p>
        </w:tc>
        <w:tc>
          <w:tcPr>
            <w:tcW w:w="1702" w:type="dxa"/>
            <w:tcBorders/>
            <w:shd w:color="auto" w:fill="auto" w:val="clear"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069" w:type="dxa"/>
            <w:tcBorders>
              <w:right w:val="nil"/>
            </w:tcBorders>
            <w:shd w:color="auto" w:fill="auto" w:val="clear"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174" w:type="dxa"/>
            <w:tcBorders/>
            <w:shd w:color="auto" w:fill="auto" w:val="clear"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900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930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654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Место работы</w:t>
            </w:r>
          </w:p>
        </w:tc>
        <w:tc>
          <w:tcPr>
            <w:tcW w:w="6815" w:type="dxa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uppressAutoHyphens w:val="true"/>
              <w:spacing w:before="60" w:after="0"/>
              <w:jc w:val="left"/>
              <w:rPr>
                <w:rFonts w:ascii="Times New Roman" w:hAnsi="Times New Roman" w:eastAsia="Times New Roman" w:cs="Times New Roman"/>
                <w:iCs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color w:val="auto"/>
                <w:kern w:val="0"/>
                <w:sz w:val="24"/>
                <w:szCs w:val="24"/>
                <w:lang w:val="ru-RU" w:eastAsia="ru-RU" w:bidi="ar-SA"/>
              </w:rPr>
              <w:t>г. Красноярск, ул. Перенсона, д. 2А, конференц-зал на 10-м этаже</w:t>
            </w:r>
          </w:p>
        </w:tc>
        <w:tc>
          <w:tcPr>
            <w:tcW w:w="1702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069" w:type="dxa"/>
            <w:tcBorders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Подтверждение в свободной форме</w:t>
            </w:r>
          </w:p>
        </w:tc>
        <w:tc>
          <w:tcPr>
            <w:tcW w:w="2174" w:type="dxa"/>
            <w:tcBorders/>
            <w:shd w:color="auto" w:fill="auto" w:val="clear"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Не требуется</w:t>
            </w:r>
          </w:p>
        </w:tc>
      </w:tr>
      <w:tr>
        <w:trPr/>
        <w:tc>
          <w:tcPr>
            <w:tcW w:w="900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8469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b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процедурам оказания Услуг</w:t>
            </w:r>
          </w:p>
        </w:tc>
        <w:tc>
          <w:tcPr>
            <w:tcW w:w="1702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069" w:type="dxa"/>
            <w:tcBorders>
              <w:right w:val="nil"/>
            </w:tcBorders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174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900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930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654" w:type="dxa"/>
            <w:tcBorders/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uppressAutoHyphens w:val="true"/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Требование к информационной безопасности</w:t>
            </w:r>
          </w:p>
        </w:tc>
        <w:tc>
          <w:tcPr>
            <w:tcW w:w="6815" w:type="dxa"/>
            <w:tcBorders/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uppressAutoHyphens w:val="true"/>
              <w:spacing w:before="60" w:after="0"/>
              <w:jc w:val="left"/>
              <w:rPr>
                <w:i/>
                <w:i/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При пересылке файлов не допускается использование открытых файлообменных сервисов</w:t>
            </w:r>
          </w:p>
        </w:tc>
        <w:tc>
          <w:tcPr>
            <w:tcW w:w="170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069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Подтверждение в свободной форме</w:t>
            </w:r>
          </w:p>
        </w:tc>
        <w:tc>
          <w:tcPr>
            <w:tcW w:w="2174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Не требуется</w:t>
            </w:r>
          </w:p>
        </w:tc>
      </w:tr>
    </w:tbl>
    <w:tbl>
      <w:tblPr>
        <w:tblStyle w:val="310"/>
        <w:tblW w:w="15300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607"/>
        <w:gridCol w:w="1938"/>
        <w:gridCol w:w="5"/>
        <w:gridCol w:w="6795"/>
        <w:gridCol w:w="1695"/>
        <w:gridCol w:w="2099"/>
        <w:gridCol w:w="2160"/>
      </w:tblGrid>
      <w:tr>
        <w:trPr/>
        <w:tc>
          <w:tcPr>
            <w:tcW w:w="607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8738" w:type="dxa"/>
            <w:gridSpan w:val="3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contextualSpacing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en-US" w:bidi="ar-SA"/>
              </w:rPr>
              <w:t>Требования к персоналу Исполнителя</w:t>
            </w:r>
          </w:p>
        </w:tc>
        <w:tc>
          <w:tcPr>
            <w:tcW w:w="1695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contextualSpacing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en-US" w:bidi="ar-SA"/>
              </w:rPr>
              <w:t>-//-</w:t>
            </w:r>
          </w:p>
        </w:tc>
        <w:tc>
          <w:tcPr>
            <w:tcW w:w="2099" w:type="dxa"/>
            <w:tcBorders>
              <w:right w:val="nil"/>
            </w:tcBorders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contextualSpacing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en-US" w:bidi="ar-SA"/>
              </w:rPr>
              <w:t>-//-</w:t>
            </w:r>
          </w:p>
        </w:tc>
        <w:tc>
          <w:tcPr>
            <w:tcW w:w="2160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607" w:type="dxa"/>
            <w:tcBorders/>
          </w:tcPr>
          <w:p>
            <w:pPr>
              <w:pStyle w:val="Normal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0" w:hanging="0"/>
              <w:contextualSpacing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1938" w:type="dxa"/>
            <w:tcBorders/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uppressAutoHyphens w:val="true"/>
              <w:spacing w:before="60" w:after="60"/>
              <w:contextualSpacing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en-US" w:bidi="ar-SA"/>
              </w:rPr>
              <w:t>Квалификация</w:t>
            </w:r>
          </w:p>
        </w:tc>
        <w:tc>
          <w:tcPr>
            <w:tcW w:w="6800" w:type="dxa"/>
            <w:gridSpan w:val="2"/>
            <w:tcBorders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tabs>
                <w:tab w:val="clear" w:pos="720"/>
                <w:tab w:val="left" w:pos="426" w:leader="none"/>
              </w:tabs>
              <w:suppressAutoHyphens w:val="true"/>
              <w:spacing w:before="60" w:after="60"/>
              <w:contextualSpacing/>
              <w:jc w:val="both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 xml:space="preserve">В ходе оказания услуг Исполнителем в качестве преподавателя должен быть привлечен как штатный, так и нештатный персонал экспертного уровня квалификации в изучаемой области знаний и обладающий необходимым уровнем педагогической компетенции, позволяющим добиться устойчивого эффекта в формировании и закреплении слушателями полученных знаний и навыков (не менее одного преподавателя). </w:t>
            </w:r>
          </w:p>
          <w:p>
            <w:pPr>
              <w:pStyle w:val="ListParagraph"/>
              <w:widowControl w:val="false"/>
              <w:numPr>
                <w:ilvl w:val="0"/>
                <w:numId w:val="9"/>
              </w:numPr>
              <w:tabs>
                <w:tab w:val="clear" w:pos="720"/>
                <w:tab w:val="left" w:pos="426" w:leader="none"/>
              </w:tabs>
              <w:suppressAutoHyphens w:val="true"/>
              <w:spacing w:before="60" w:after="60"/>
              <w:contextualSpacing/>
              <w:jc w:val="both"/>
              <w:rPr>
                <w:highlight w:val="none"/>
                <w:shd w:fill="auto" w:val="clear"/>
              </w:rPr>
            </w:pPr>
            <w:r>
              <w:rPr>
                <w:rFonts w:cs="Times New Roman"/>
                <w:kern w:val="0"/>
                <w:shd w:fill="auto" w:val="clear"/>
                <w:lang w:val="ru-RU" w:eastAsia="en-US" w:bidi="ar-SA"/>
              </w:rPr>
              <w:t>Наличие у потенциального контрагента положительного опыта работы с энергетическими компаниями за последние 5 (пять) лет;</w:t>
            </w:r>
          </w:p>
          <w:p>
            <w:pPr>
              <w:pStyle w:val="ListParagraph"/>
              <w:widowControl w:val="false"/>
              <w:numPr>
                <w:ilvl w:val="0"/>
                <w:numId w:val="9"/>
              </w:numPr>
              <w:tabs>
                <w:tab w:val="clear" w:pos="720"/>
                <w:tab w:val="left" w:pos="426" w:leader="none"/>
              </w:tabs>
              <w:suppressAutoHyphens w:val="true"/>
              <w:spacing w:before="60" w:after="60"/>
              <w:contextualSpacing/>
              <w:jc w:val="both"/>
              <w:rPr>
                <w:highlight w:val="none"/>
                <w:shd w:fill="auto" w:val="clear"/>
              </w:rPr>
            </w:pPr>
            <w:r>
              <w:rPr>
                <w:rFonts w:cs="Times New Roman"/>
                <w:kern w:val="0"/>
                <w:shd w:fill="auto" w:val="clear"/>
                <w:lang w:val="ru-RU" w:eastAsia="en-US" w:bidi="ar-SA"/>
              </w:rPr>
              <w:t>Наличие  у потенциальных преподавателей по теме: «Акт</w:t>
            </w: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уальные требования регулятора к общим собраниям акционеров в свете проекта Положения об ОСА» опыта работы в банковском секторе;</w:t>
            </w:r>
          </w:p>
          <w:p>
            <w:pPr>
              <w:pStyle w:val="ListParagraph"/>
              <w:widowControl w:val="false"/>
              <w:numPr>
                <w:ilvl w:val="0"/>
                <w:numId w:val="9"/>
              </w:numPr>
              <w:tabs>
                <w:tab w:val="clear" w:pos="720"/>
                <w:tab w:val="left" w:pos="426" w:leader="none"/>
              </w:tabs>
              <w:suppressAutoHyphens w:val="true"/>
              <w:spacing w:before="60" w:after="60"/>
              <w:contextualSpacing/>
              <w:jc w:val="both"/>
              <w:rPr>
                <w:highlight w:val="none"/>
                <w:shd w:fill="auto" w:val="clear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Наличие у потенциальных преподавателей (по корпоративному праву) опыта в области сопровождения проектов по оптимизации корпоративного управления организаций энергетического сектора.</w:t>
            </w:r>
          </w:p>
        </w:tc>
        <w:tc>
          <w:tcPr>
            <w:tcW w:w="1695" w:type="dxa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Согласие с требованием</w:t>
            </w:r>
          </w:p>
        </w:tc>
        <w:tc>
          <w:tcPr>
            <w:tcW w:w="2099" w:type="dxa"/>
            <w:tcBorders>
              <w:right w:val="nil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uppressAutoHyphens w:val="true"/>
              <w:spacing w:before="60" w:after="6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Подтверждение в формате резюме, направленного с ТКП на всех предполагаемых преподавателей/спикеров, копии договоров или актов оказания услуг, копии  благодарственных писем</w:t>
            </w:r>
          </w:p>
        </w:tc>
        <w:tc>
          <w:tcPr>
            <w:tcW w:w="2160" w:type="dxa"/>
            <w:tcBorders/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uppressAutoHyphens w:val="true"/>
              <w:spacing w:before="60" w:after="6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Требуется</w:t>
            </w:r>
          </w:p>
        </w:tc>
      </w:tr>
      <w:tr>
        <w:trPr/>
        <w:tc>
          <w:tcPr>
            <w:tcW w:w="607" w:type="dxa"/>
            <w:tcBorders/>
          </w:tcPr>
          <w:p>
            <w:pPr>
              <w:pStyle w:val="Normal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0" w:hanging="0"/>
              <w:contextualSpacing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1938" w:type="dxa"/>
            <w:tcBorders/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uppressAutoHyphens w:val="true"/>
              <w:spacing w:before="60" w:after="60"/>
              <w:contextualSpacing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en-US" w:bidi="ar-SA"/>
              </w:rPr>
              <w:t>Преподавательский состав</w:t>
            </w:r>
          </w:p>
        </w:tc>
        <w:tc>
          <w:tcPr>
            <w:tcW w:w="6800" w:type="dxa"/>
            <w:gridSpan w:val="2"/>
            <w:tcBorders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720"/>
                <w:tab w:val="left" w:pos="426" w:leader="none"/>
              </w:tabs>
              <w:suppressAutoHyphens w:val="true"/>
              <w:bidi w:val="0"/>
              <w:spacing w:before="60" w:after="60"/>
              <w:ind w:left="113" w:right="0" w:hanging="0"/>
              <w:contextualSpacing/>
              <w:jc w:val="both"/>
              <w:rPr>
                <w:highlight w:val="none"/>
                <w:shd w:fill="auto" w:val="clear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Не менее 4-х преподавателей на обозреваемые темы, обеспечивающих содержательную полноту мероприятия и понятные каждому участнику логику и цели каждой активности.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720"/>
                <w:tab w:val="left" w:pos="426" w:leader="none"/>
              </w:tabs>
              <w:suppressAutoHyphens w:val="true"/>
              <w:spacing w:before="60" w:after="60"/>
              <w:ind w:left="720" w:hanging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kern w:val="0"/>
                <w:sz w:val="24"/>
                <w:szCs w:val="24"/>
                <w:highlight w:val="none"/>
                <w:shd w:fill="auto" w:val="clear"/>
                <w:lang w:val="ru-RU" w:eastAsia="en-US" w:bidi="ar-SA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</w:r>
          </w:p>
        </w:tc>
        <w:tc>
          <w:tcPr>
            <w:tcW w:w="169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Согласие с требованием</w:t>
            </w:r>
          </w:p>
        </w:tc>
        <w:tc>
          <w:tcPr>
            <w:tcW w:w="2099" w:type="dxa"/>
            <w:tcBorders>
              <w:right w:val="nil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uppressAutoHyphens w:val="true"/>
              <w:spacing w:before="60" w:after="6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Подтверждение в формате резюме, направленного с ТКП на всех предполагаемых преподавателей</w:t>
            </w:r>
          </w:p>
        </w:tc>
        <w:tc>
          <w:tcPr>
            <w:tcW w:w="2160" w:type="dxa"/>
            <w:tcBorders/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uppressAutoHyphens w:val="true"/>
              <w:spacing w:before="60" w:after="6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Требуется</w:t>
            </w:r>
          </w:p>
        </w:tc>
      </w:tr>
      <w:tr>
        <w:trPr>
          <w:trHeight w:val="227" w:hRule="atLeast"/>
        </w:trPr>
        <w:tc>
          <w:tcPr>
            <w:tcW w:w="607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431" w:hanging="431"/>
              <w:contextualSpacing/>
              <w:jc w:val="left"/>
              <w:rPr>
                <w:rFonts w:ascii="Times New Roman" w:hAnsi="Times New Roman" w:cs="Times New Roman"/>
                <w:kern w:val="0"/>
                <w:lang w:val="ru-RU" w:eastAsia="en-US" w:bidi="ar-SA"/>
              </w:rPr>
            </w:pPr>
            <w:r>
              <w:rPr>
                <w:rFonts w:cs="Times New Roman"/>
                <w:kern w:val="0"/>
                <w:lang w:val="ru-RU" w:eastAsia="en-US" w:bidi="ar-SA"/>
              </w:rPr>
            </w:r>
          </w:p>
        </w:tc>
        <w:tc>
          <w:tcPr>
            <w:tcW w:w="8738" w:type="dxa"/>
            <w:gridSpan w:val="3"/>
            <w:tcBorders/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uppressAutoHyphens w:val="true"/>
              <w:spacing w:before="60" w:after="60"/>
              <w:jc w:val="both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en-US" w:bidi="ar-SA"/>
              </w:rPr>
              <w:t>Требования к результату оказания услуг</w:t>
            </w:r>
          </w:p>
        </w:tc>
        <w:tc>
          <w:tcPr>
            <w:tcW w:w="1695" w:type="dxa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contextualSpacing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en-US" w:bidi="ar-SA"/>
              </w:rPr>
              <w:t>-//-</w:t>
            </w:r>
          </w:p>
        </w:tc>
        <w:tc>
          <w:tcPr>
            <w:tcW w:w="2099" w:type="dxa"/>
            <w:tcBorders>
              <w:right w:val="nil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uppressAutoHyphens w:val="true"/>
              <w:spacing w:before="60" w:after="60"/>
              <w:contextualSpacing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en-US" w:bidi="ar-SA"/>
              </w:rPr>
              <w:t>-//-</w:t>
            </w:r>
          </w:p>
        </w:tc>
        <w:tc>
          <w:tcPr>
            <w:tcW w:w="2160" w:type="dxa"/>
            <w:tcBorders/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uppressAutoHyphens w:val="true"/>
              <w:spacing w:before="60" w:after="60"/>
              <w:contextualSpacing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en-US" w:bidi="ar-SA"/>
              </w:rPr>
              <w:t>-//-</w:t>
            </w:r>
          </w:p>
        </w:tc>
      </w:tr>
      <w:tr>
        <w:trPr/>
        <w:tc>
          <w:tcPr>
            <w:tcW w:w="607" w:type="dxa"/>
            <w:tcBorders/>
          </w:tcPr>
          <w:p>
            <w:pPr>
              <w:pStyle w:val="Normal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0" w:hanging="0"/>
              <w:contextualSpacing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1938" w:type="dxa"/>
            <w:tcBorders/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uppressAutoHyphens w:val="true"/>
              <w:spacing w:before="60" w:after="60"/>
              <w:contextualSpacing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en-US" w:bidi="ar-SA"/>
              </w:rPr>
              <w:t>Оценка результативности консультационных работ</w:t>
            </w:r>
          </w:p>
        </w:tc>
        <w:tc>
          <w:tcPr>
            <w:tcW w:w="6800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contextualSpacing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en-US" w:bidi="ar-SA"/>
              </w:rPr>
              <w:t>В ходе оказания услуг Исполнителем должна быть обеспечена обратная связь каждому из участников обучения по интересующим их вопросам.</w:t>
            </w:r>
          </w:p>
        </w:tc>
        <w:tc>
          <w:tcPr>
            <w:tcW w:w="1695" w:type="dxa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contextualSpacing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en-US" w:bidi="ar-SA"/>
              </w:rPr>
              <w:t>Согласие с требованием</w:t>
            </w:r>
          </w:p>
        </w:tc>
        <w:tc>
          <w:tcPr>
            <w:tcW w:w="2099" w:type="dxa"/>
            <w:tcBorders>
              <w:right w:val="nil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uppressAutoHyphens w:val="true"/>
              <w:spacing w:before="60" w:after="60"/>
              <w:contextualSpacing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en-US" w:bidi="ar-SA"/>
              </w:rPr>
              <w:t>Указание на согласие с требованием в ТКП по форме Приложения № 1 к ТТ</w:t>
            </w:r>
          </w:p>
        </w:tc>
        <w:tc>
          <w:tcPr>
            <w:tcW w:w="2160" w:type="dxa"/>
            <w:tcBorders/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uppressAutoHyphens w:val="true"/>
              <w:spacing w:before="60" w:after="60"/>
              <w:contextualSpacing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en-US" w:bidi="ar-SA"/>
              </w:rPr>
              <w:t>Не требуется</w:t>
            </w:r>
          </w:p>
        </w:tc>
      </w:tr>
      <w:tr>
        <w:trPr/>
        <w:tc>
          <w:tcPr>
            <w:tcW w:w="607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60" w:after="60"/>
              <w:ind w:left="0" w:hanging="0"/>
              <w:contextualSpacing/>
              <w:jc w:val="left"/>
              <w:rPr>
                <w:rFonts w:ascii="Times New Roman" w:hAnsi="Times New Roman" w:eastAsia="Times New Roman" w:cs="Times New Roman"/>
                <w:b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en-US" w:bidi="ar-SA"/>
              </w:rPr>
              <w:t>1.6</w:t>
            </w:r>
          </w:p>
        </w:tc>
        <w:tc>
          <w:tcPr>
            <w:tcW w:w="8738" w:type="dxa"/>
            <w:gridSpan w:val="3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contextualSpacing/>
              <w:jc w:val="left"/>
              <w:rPr>
                <w:rFonts w:ascii="Times New Roman" w:hAnsi="Times New Roman" w:eastAsia="Times New Roman" w:cs="Times New Roman"/>
                <w:b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en-US" w:bidi="ar-SA"/>
              </w:rPr>
              <w:t>Требования к безопасности использования результата оказания Услуг</w:t>
            </w:r>
          </w:p>
        </w:tc>
        <w:tc>
          <w:tcPr>
            <w:tcW w:w="1695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60" w:after="60"/>
              <w:contextualSpacing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en-US" w:bidi="ar-SA"/>
              </w:rPr>
              <w:t>-//-</w:t>
            </w:r>
          </w:p>
        </w:tc>
        <w:tc>
          <w:tcPr>
            <w:tcW w:w="2099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uppressAutoHyphens w:val="true"/>
              <w:spacing w:before="60" w:after="60"/>
              <w:contextualSpacing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en-US" w:bidi="ar-SA"/>
              </w:rPr>
              <w:t>-//-</w:t>
            </w:r>
          </w:p>
        </w:tc>
        <w:tc>
          <w:tcPr>
            <w:tcW w:w="2160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uppressAutoHyphens w:val="true"/>
              <w:spacing w:before="60" w:after="60"/>
              <w:contextualSpacing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en-US" w:bidi="ar-SA"/>
              </w:rPr>
              <w:t>-//-</w:t>
            </w:r>
          </w:p>
        </w:tc>
      </w:tr>
      <w:tr>
        <w:trPr/>
        <w:tc>
          <w:tcPr>
            <w:tcW w:w="607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0" w:leader="none"/>
              </w:tabs>
              <w:suppressAutoHyphens w:val="true"/>
              <w:bidi w:val="0"/>
              <w:spacing w:before="60" w:after="60"/>
              <w:ind w:left="0" w:right="0" w:hanging="113"/>
              <w:contextualSpacing/>
              <w:jc w:val="left"/>
              <w:rPr>
                <w:rFonts w:ascii="Times New Roman" w:hAnsi="Times New Roman" w:eastAsia="Times New Roman" w:cs="Times New Roman"/>
                <w:b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en-US" w:bidi="ar-SA"/>
              </w:rPr>
              <w:t>1.6.1</w:t>
            </w:r>
          </w:p>
        </w:tc>
        <w:tc>
          <w:tcPr>
            <w:tcW w:w="1943" w:type="dxa"/>
            <w:gridSpan w:val="2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uppressAutoHyphens w:val="true"/>
              <w:spacing w:before="60" w:after="60"/>
              <w:contextualSpacing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en-US" w:bidi="ar-SA"/>
              </w:rPr>
              <w:t>Практическое использование знаний</w:t>
            </w:r>
          </w:p>
        </w:tc>
        <w:tc>
          <w:tcPr>
            <w:tcW w:w="6795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60" w:after="60"/>
              <w:contextualSpacing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en-US" w:bidi="ar-SA"/>
              </w:rPr>
              <w:t>Данные и сведения, используемые Исполнителем при оказании услуг должны носить открытый характер, учитывать специфику производственной деятельности Заказчика и их использование участниками обучения при выполнении ими своих должностных обязанностей, не наносить морального ущерба другим членам рабочего коллектива или эскалировать напряженность при взаимодействии отдельных команд в ходе решения общих производственных задач.</w:t>
            </w:r>
          </w:p>
        </w:tc>
        <w:tc>
          <w:tcPr>
            <w:tcW w:w="1695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60" w:after="60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en-US" w:bidi="ar-SA"/>
              </w:rPr>
              <w:t>Согласие с требованием</w:t>
            </w:r>
          </w:p>
        </w:tc>
        <w:tc>
          <w:tcPr>
            <w:tcW w:w="2099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uppressAutoHyphens w:val="true"/>
              <w:spacing w:before="60" w:after="60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en-US" w:bidi="ar-SA"/>
              </w:rPr>
              <w:t>Указание на согласие с требованием в ТКП по форме Приложения № 1 к ТТ</w:t>
            </w:r>
          </w:p>
        </w:tc>
        <w:tc>
          <w:tcPr>
            <w:tcW w:w="216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60" w:after="60"/>
              <w:contextualSpacing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en-US" w:bidi="ar-SA"/>
              </w:rPr>
              <w:t>Не требуется</w:t>
            </w:r>
          </w:p>
        </w:tc>
      </w:tr>
    </w:tbl>
    <w:p>
      <w:pPr>
        <w:sectPr>
          <w:headerReference w:type="default" r:id="rId5"/>
          <w:headerReference w:type="first" r:id="rId6"/>
          <w:footnotePr>
            <w:numFmt w:val="decimal"/>
          </w:footnotePr>
          <w:type w:val="nextPage"/>
          <w:pgSz w:orient="landscape" w:w="16838" w:h="11906"/>
          <w:pgMar w:left="992" w:right="567" w:gutter="0" w:header="680" w:top="851" w:footer="0" w:bottom="851"/>
          <w:pgNumType w:fmt="decimal"/>
          <w:formProt w:val="false"/>
          <w:titlePg/>
          <w:textDirection w:val="lrTb"/>
          <w:docGrid w:type="default" w:linePitch="381" w:charSpace="0"/>
        </w:sectPr>
      </w:pPr>
    </w:p>
    <w:p>
      <w:pPr>
        <w:pStyle w:val="Heading1"/>
        <w:keepLines/>
        <w:numPr>
          <w:ilvl w:val="0"/>
          <w:numId w:val="0"/>
        </w:numPr>
        <w:ind w:left="0" w:hanging="0"/>
        <w:jc w:val="center"/>
        <w:rPr>
          <w:lang w:val="ru-RU"/>
        </w:rPr>
      </w:pPr>
      <w:bookmarkStart w:id="40" w:name="_Toc46743519"/>
      <w:bookmarkStart w:id="41" w:name="_Toc51339699"/>
      <w:bookmarkEnd w:id="40"/>
      <w:bookmarkEnd w:id="41"/>
      <w:r>
        <w:rPr/>
        <w:t>2. Требования к документации по ценообразованию на этапе закупки</w:t>
      </w:r>
    </w:p>
    <w:p>
      <w:pPr>
        <w:pStyle w:val="Normal"/>
        <w:numPr>
          <w:ilvl w:val="0"/>
          <w:numId w:val="40"/>
        </w:numPr>
        <w:spacing w:before="120" w:after="120"/>
        <w:contextualSpacing/>
        <w:jc w:val="both"/>
        <w:rPr>
          <w:rFonts w:eastAsia="Calibri"/>
          <w:vanish/>
          <w:sz w:val="24"/>
          <w:szCs w:val="24"/>
        </w:rPr>
      </w:pPr>
      <w:r>
        <w:rPr>
          <w:rFonts w:eastAsia="Calibri"/>
          <w:vanish/>
          <w:sz w:val="24"/>
          <w:szCs w:val="24"/>
        </w:rPr>
      </w:r>
    </w:p>
    <w:p>
      <w:pPr>
        <w:pStyle w:val="Normal"/>
        <w:numPr>
          <w:ilvl w:val="0"/>
          <w:numId w:val="41"/>
        </w:numPr>
        <w:spacing w:before="120" w:after="120"/>
        <w:contextualSpacing/>
        <w:jc w:val="both"/>
        <w:rPr>
          <w:rFonts w:eastAsia="Calibri"/>
          <w:vanish/>
          <w:sz w:val="24"/>
          <w:szCs w:val="24"/>
        </w:rPr>
      </w:pPr>
      <w:r>
        <w:rPr>
          <w:rFonts w:eastAsia="Calibri"/>
          <w:vanish/>
          <w:sz w:val="24"/>
          <w:szCs w:val="24"/>
        </w:rPr>
      </w:r>
    </w:p>
    <w:p>
      <w:pPr>
        <w:pStyle w:val="Normal"/>
        <w:numPr>
          <w:ilvl w:val="0"/>
          <w:numId w:val="42"/>
        </w:numPr>
        <w:spacing w:before="120" w:after="120"/>
        <w:contextualSpacing/>
        <w:jc w:val="both"/>
        <w:rPr>
          <w:rFonts w:eastAsia="Calibri"/>
          <w:vanish/>
          <w:sz w:val="24"/>
          <w:szCs w:val="24"/>
        </w:rPr>
      </w:pPr>
      <w:r>
        <w:rPr>
          <w:rFonts w:eastAsia="Calibri"/>
          <w:vanish/>
          <w:sz w:val="24"/>
          <w:szCs w:val="24"/>
        </w:rPr>
      </w:r>
    </w:p>
    <w:p>
      <w:pPr>
        <w:pStyle w:val="Normal"/>
        <w:numPr>
          <w:ilvl w:val="1"/>
          <w:numId w:val="43"/>
        </w:numPr>
        <w:spacing w:before="120" w:after="60"/>
        <w:ind w:left="0" w:hanging="0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Начальная максимальная цена договора составляет:</w:t>
      </w:r>
    </w:p>
    <w:tbl>
      <w:tblPr>
        <w:tblStyle w:val="42"/>
        <w:tblW w:w="991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670"/>
        <w:gridCol w:w="4627"/>
        <w:gridCol w:w="1828"/>
        <w:gridCol w:w="1785"/>
      </w:tblGrid>
      <w:tr>
        <w:trPr/>
        <w:tc>
          <w:tcPr>
            <w:tcW w:w="1670" w:type="dxa"/>
            <w:tcBorders/>
          </w:tcPr>
          <w:p>
            <w:pPr>
              <w:pStyle w:val="Normal"/>
              <w:widowControl w:val="false"/>
              <w:suppressAutoHyphens w:val="true"/>
              <w:spacing w:before="120" w:after="120"/>
              <w:contextualSpacing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val="ru-RU" w:eastAsia="en-US" w:bidi="ar-SA"/>
              </w:rPr>
              <w:t>Номер лота</w:t>
            </w:r>
          </w:p>
        </w:tc>
        <w:tc>
          <w:tcPr>
            <w:tcW w:w="4627" w:type="dxa"/>
            <w:tcBorders/>
          </w:tcPr>
          <w:p>
            <w:pPr>
              <w:pStyle w:val="Normal"/>
              <w:widowControl w:val="false"/>
              <w:suppressAutoHyphens w:val="true"/>
              <w:spacing w:before="120" w:after="120"/>
              <w:contextualSpacing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val="ru-RU" w:eastAsia="en-US" w:bidi="ar-SA"/>
              </w:rPr>
              <w:t>Наименование закупаемой продукции / предмет договора</w:t>
            </w:r>
          </w:p>
        </w:tc>
        <w:tc>
          <w:tcPr>
            <w:tcW w:w="1828" w:type="dxa"/>
            <w:tcBorders/>
          </w:tcPr>
          <w:p>
            <w:pPr>
              <w:pStyle w:val="Normal"/>
              <w:widowControl w:val="false"/>
              <w:suppressAutoHyphens w:val="true"/>
              <w:spacing w:before="120" w:after="120"/>
              <w:contextualSpacing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val="ru-RU" w:eastAsia="en-US" w:bidi="ar-SA"/>
              </w:rPr>
              <w:t>Плановая стоимость без НДС, руб. коп.</w:t>
            </w:r>
          </w:p>
        </w:tc>
        <w:tc>
          <w:tcPr>
            <w:tcW w:w="1785" w:type="dxa"/>
            <w:tcBorders/>
          </w:tcPr>
          <w:p>
            <w:pPr>
              <w:pStyle w:val="Normal"/>
              <w:widowControl w:val="false"/>
              <w:suppressAutoHyphens w:val="true"/>
              <w:spacing w:before="120" w:after="120"/>
              <w:contextualSpacing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val="ru-RU" w:eastAsia="en-US" w:bidi="ar-SA"/>
              </w:rPr>
              <w:t>Плановая стоимость с НДС, руб. коп.</w:t>
            </w:r>
          </w:p>
        </w:tc>
      </w:tr>
      <w:tr>
        <w:trPr>
          <w:trHeight w:val="379" w:hRule="atLeast"/>
        </w:trPr>
        <w:tc>
          <w:tcPr>
            <w:tcW w:w="1670" w:type="dxa"/>
            <w:tcBorders/>
          </w:tcPr>
          <w:p>
            <w:pPr>
              <w:pStyle w:val="Normal"/>
              <w:widowControl w:val="false"/>
              <w:suppressAutoHyphens w:val="true"/>
              <w:spacing w:before="120" w:after="120"/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4627" w:type="dxa"/>
            <w:tcBorders/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pacing w:before="120" w:after="120"/>
              <w:jc w:val="both"/>
              <w:rPr>
                <w:rFonts w:eastAsia="Calibri"/>
                <w:b/>
                <w:sz w:val="24"/>
                <w:szCs w:val="24"/>
                <w:lang w:eastAsia="x-none"/>
              </w:rPr>
            </w:pPr>
            <w:r>
              <w:rPr>
                <w:rFonts w:eastAsia="Times New Roman" w:cs="Times New Roman"/>
                <w:bCs/>
                <w:iCs/>
                <w:color w:val="auto"/>
                <w:kern w:val="0"/>
                <w:sz w:val="24"/>
                <w:szCs w:val="24"/>
                <w:lang w:val="ru-RU" w:eastAsia="ru-RU" w:bidi="ar-SA"/>
              </w:rPr>
              <w:t>ОКПД2 70.22.15 Оказание консультационных услуг в формате проведения семинара по теме: «Организация корпоративного управления в группе РусГидро» по изучению ключевых изменений корпоративного законодательства, а также планируемых изменений в области корпоративного управления для руководителей и специалистов Группы РусГидро в г. Красноярске.</w:t>
            </w:r>
          </w:p>
        </w:tc>
        <w:tc>
          <w:tcPr>
            <w:tcW w:w="1828" w:type="dxa"/>
            <w:tcBorders/>
          </w:tcPr>
          <w:p>
            <w:pPr>
              <w:pStyle w:val="Normal"/>
              <w:widowControl w:val="false"/>
              <w:suppressAutoHyphens w:val="true"/>
              <w:spacing w:before="120" w:after="120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1785" w:type="dxa"/>
            <w:tcBorders/>
          </w:tcPr>
          <w:p>
            <w:pPr>
              <w:pStyle w:val="Normal"/>
              <w:widowControl w:val="false"/>
              <w:suppressAutoHyphens w:val="true"/>
              <w:spacing w:before="120" w:after="120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  <w:bookmarkStart w:id="42" w:name="_GoBack_Копия_1"/>
            <w:bookmarkStart w:id="43" w:name="_GoBack_Копия_1"/>
            <w:bookmarkEnd w:id="43"/>
          </w:p>
        </w:tc>
      </w:tr>
    </w:tbl>
    <w:p>
      <w:pPr>
        <w:pStyle w:val="Normal"/>
        <w:numPr>
          <w:ilvl w:val="1"/>
          <w:numId w:val="44"/>
        </w:numPr>
        <w:spacing w:before="60" w:after="60"/>
        <w:ind w:left="0" w:hanging="0"/>
        <w:contextualSpacing/>
        <w:jc w:val="both"/>
        <w:rPr>
          <w:rFonts w:eastAsia="Calibri"/>
          <w:sz w:val="24"/>
          <w:szCs w:val="24"/>
        </w:rPr>
      </w:pPr>
      <w:bookmarkStart w:id="44" w:name="_GoBack_Копия_1_Копия_1"/>
      <w:bookmarkEnd w:id="44"/>
      <w:r>
        <w:rPr>
          <w:rFonts w:eastAsia="Calibri"/>
          <w:sz w:val="24"/>
          <w:szCs w:val="24"/>
        </w:rPr>
        <w:t>При наличии у Участника права на освобождение от начисления и уплаты НДС в соответствии с действующим законодательством РФ в составе закупочной документации должна быть предоставлена заверенная копия документа, подтверждающего данное право:</w:t>
      </w:r>
    </w:p>
    <w:p>
      <w:pPr>
        <w:pStyle w:val="Normal"/>
        <w:numPr>
          <w:ilvl w:val="0"/>
          <w:numId w:val="45"/>
        </w:numPr>
        <w:tabs>
          <w:tab w:val="clear" w:pos="720"/>
          <w:tab w:val="left" w:pos="1134" w:leader="none"/>
        </w:tabs>
        <w:spacing w:before="60" w:after="60"/>
        <w:ind w:left="0" w:hanging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Уведомления о применении УСН;</w:t>
      </w:r>
    </w:p>
    <w:p>
      <w:pPr>
        <w:pStyle w:val="Normal"/>
        <w:numPr>
          <w:ilvl w:val="0"/>
          <w:numId w:val="46"/>
        </w:numPr>
        <w:tabs>
          <w:tab w:val="clear" w:pos="720"/>
          <w:tab w:val="left" w:pos="1134" w:leader="none"/>
        </w:tabs>
        <w:spacing w:before="60" w:after="60"/>
        <w:ind w:left="0" w:hanging="0"/>
        <w:jc w:val="both"/>
        <w:rPr>
          <w:sz w:val="24"/>
          <w:szCs w:val="24"/>
        </w:rPr>
      </w:pPr>
      <w:r>
        <w:rPr>
          <w:sz w:val="24"/>
          <w:szCs w:val="24"/>
        </w:rPr>
        <w:t>Иной документ, оформленный уполномоченным органом.</w:t>
      </w:r>
    </w:p>
    <w:p>
      <w:pPr>
        <w:pStyle w:val="Normal"/>
        <w:tabs>
          <w:tab w:val="clear" w:pos="720"/>
          <w:tab w:val="left" w:pos="0" w:leader="none"/>
        </w:tabs>
        <w:spacing w:before="60" w:after="60"/>
        <w:jc w:val="both"/>
        <w:rPr>
          <w:sz w:val="24"/>
          <w:szCs w:val="24"/>
        </w:rPr>
      </w:pPr>
      <w:r>
        <w:rPr>
          <w:sz w:val="24"/>
          <w:szCs w:val="24"/>
        </w:rPr>
        <w:t>В этом случае, все документы, содержащие порядок начисления НДС должны быть заполнены с указанием следующей информации – «НДС не облагается, на основании (далее следует ссылка на документ, подтверждающий право на освобождение)».</w:t>
      </w:r>
    </w:p>
    <w:p>
      <w:pPr>
        <w:pStyle w:val="Heading1"/>
        <w:keepLines/>
        <w:numPr>
          <w:ilvl w:val="0"/>
          <w:numId w:val="0"/>
        </w:numPr>
        <w:ind w:left="357" w:hanging="0"/>
        <w:rPr>
          <w:lang w:val="ru-RU"/>
        </w:rPr>
      </w:pPr>
      <w:r>
        <w:rPr>
          <w:lang w:val="ru-RU"/>
        </w:rPr>
      </w:r>
    </w:p>
    <w:p>
      <w:pPr>
        <w:pStyle w:val="Heading1"/>
        <w:keepLines/>
        <w:numPr>
          <w:ilvl w:val="0"/>
          <w:numId w:val="3"/>
        </w:numPr>
        <w:ind w:left="357" w:hanging="357"/>
        <w:jc w:val="center"/>
        <w:rPr>
          <w:lang w:val="ru-RU"/>
        </w:rPr>
      </w:pPr>
      <w:bookmarkStart w:id="45" w:name="_Toc208218153"/>
      <w:bookmarkStart w:id="46" w:name="_Toc53395937"/>
      <w:bookmarkStart w:id="47" w:name="_Toc53393312"/>
      <w:r>
        <w:rPr>
          <w:lang w:val="ru-RU"/>
        </w:rPr>
        <w:t>Требования к документации</w:t>
      </w:r>
      <w:bookmarkEnd w:id="46"/>
      <w:bookmarkEnd w:id="47"/>
      <w:r>
        <w:rPr>
          <w:lang w:val="ru-RU"/>
        </w:rPr>
        <w:t xml:space="preserve"> на этапе закупки</w:t>
      </w:r>
      <w:bookmarkEnd w:id="45"/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 xml:space="preserve">1. Технико-коммерческое предложение (ТКП) по форме Приложения № 1 к настоящим Техническим требованиям. 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2. Сводную таблицу стоимости услуг по форме Приложения № 2 к настоящим Техническим требованиям;</w:t>
      </w:r>
    </w:p>
    <w:p>
      <w:pPr>
        <w:pStyle w:val="Normal"/>
        <w:rPr>
          <w:iCs/>
          <w:caps/>
        </w:rPr>
      </w:pPr>
      <w:r>
        <w:rPr>
          <w:sz w:val="24"/>
          <w:szCs w:val="24"/>
        </w:rPr>
        <w:t>3. Анкету по форме Приложении № 3 к настоящим Техническим требованиям.</w:t>
      </w:r>
    </w:p>
    <w:p>
      <w:pPr>
        <w:pStyle w:val="Normal"/>
        <w:rPr>
          <w:sz w:val="24"/>
        </w:rPr>
      </w:pPr>
      <w:r>
        <w:rPr>
          <w:sz w:val="24"/>
        </w:rPr>
      </w:r>
    </w:p>
    <w:p>
      <w:pPr>
        <w:pStyle w:val="Normal"/>
        <w:widowControl w:val="false"/>
        <w:tabs>
          <w:tab w:val="clear" w:pos="720"/>
          <w:tab w:val="left" w:pos="426" w:leader="none"/>
        </w:tabs>
        <w:ind w:left="6160" w:hanging="0"/>
        <w:jc w:val="right"/>
        <w:rPr>
          <w:sz w:val="24"/>
        </w:rPr>
      </w:pPr>
      <w:r>
        <w:rPr>
          <w:sz w:val="24"/>
        </w:rPr>
      </w:r>
    </w:p>
    <w:p>
      <w:pPr>
        <w:pStyle w:val="Normal"/>
        <w:widowControl w:val="false"/>
        <w:tabs>
          <w:tab w:val="clear" w:pos="720"/>
          <w:tab w:val="left" w:pos="426" w:leader="none"/>
        </w:tabs>
        <w:ind w:left="6160" w:hanging="0"/>
        <w:jc w:val="right"/>
        <w:rPr>
          <w:sz w:val="24"/>
        </w:rPr>
      </w:pPr>
      <w:r>
        <w:rPr>
          <w:sz w:val="24"/>
        </w:rPr>
      </w:r>
    </w:p>
    <w:p>
      <w:pPr>
        <w:pStyle w:val="Normal"/>
        <w:widowControl w:val="false"/>
        <w:tabs>
          <w:tab w:val="clear" w:pos="720"/>
          <w:tab w:val="left" w:pos="426" w:leader="none"/>
        </w:tabs>
        <w:ind w:left="6160" w:hanging="0"/>
        <w:jc w:val="right"/>
        <w:rPr>
          <w:sz w:val="24"/>
        </w:rPr>
      </w:pPr>
      <w:r>
        <w:rPr>
          <w:sz w:val="24"/>
        </w:rPr>
      </w:r>
    </w:p>
    <w:p>
      <w:pPr>
        <w:pStyle w:val="Normal"/>
        <w:widowControl w:val="false"/>
        <w:tabs>
          <w:tab w:val="clear" w:pos="720"/>
          <w:tab w:val="left" w:pos="426" w:leader="none"/>
        </w:tabs>
        <w:ind w:left="6160" w:hanging="0"/>
        <w:jc w:val="right"/>
        <w:rPr>
          <w:sz w:val="24"/>
        </w:rPr>
      </w:pPr>
      <w:r>
        <w:rPr>
          <w:sz w:val="24"/>
        </w:rPr>
      </w:r>
    </w:p>
    <w:p>
      <w:pPr>
        <w:pStyle w:val="Normal"/>
        <w:widowControl w:val="false"/>
        <w:tabs>
          <w:tab w:val="clear" w:pos="720"/>
          <w:tab w:val="left" w:pos="426" w:leader="none"/>
        </w:tabs>
        <w:ind w:left="6160" w:hanging="0"/>
        <w:jc w:val="right"/>
        <w:rPr>
          <w:sz w:val="24"/>
        </w:rPr>
      </w:pPr>
      <w:r>
        <w:rPr>
          <w:sz w:val="24"/>
        </w:rPr>
      </w:r>
    </w:p>
    <w:p>
      <w:pPr>
        <w:pStyle w:val="Normal"/>
        <w:widowControl w:val="false"/>
        <w:tabs>
          <w:tab w:val="clear" w:pos="720"/>
          <w:tab w:val="left" w:pos="426" w:leader="none"/>
        </w:tabs>
        <w:ind w:left="6160" w:hanging="0"/>
        <w:jc w:val="right"/>
        <w:rPr>
          <w:sz w:val="24"/>
        </w:rPr>
      </w:pPr>
      <w:r>
        <w:rPr>
          <w:sz w:val="24"/>
        </w:rPr>
      </w:r>
    </w:p>
    <w:p>
      <w:pPr>
        <w:pStyle w:val="Normal"/>
        <w:widowControl w:val="false"/>
        <w:tabs>
          <w:tab w:val="clear" w:pos="720"/>
          <w:tab w:val="left" w:pos="426" w:leader="none"/>
        </w:tabs>
        <w:ind w:left="6160" w:hanging="0"/>
        <w:jc w:val="right"/>
        <w:rPr>
          <w:sz w:val="24"/>
        </w:rPr>
      </w:pPr>
      <w:r>
        <w:rPr>
          <w:sz w:val="24"/>
        </w:rPr>
      </w:r>
    </w:p>
    <w:p>
      <w:pPr>
        <w:pStyle w:val="Normal"/>
        <w:widowControl w:val="false"/>
        <w:tabs>
          <w:tab w:val="clear" w:pos="720"/>
          <w:tab w:val="left" w:pos="426" w:leader="none"/>
        </w:tabs>
        <w:ind w:left="6160" w:hanging="0"/>
        <w:jc w:val="right"/>
        <w:rPr>
          <w:sz w:val="24"/>
        </w:rPr>
      </w:pPr>
      <w:r>
        <w:rPr>
          <w:sz w:val="24"/>
        </w:rPr>
      </w:r>
    </w:p>
    <w:p>
      <w:pPr>
        <w:pStyle w:val="Normal"/>
        <w:widowControl w:val="false"/>
        <w:tabs>
          <w:tab w:val="clear" w:pos="720"/>
          <w:tab w:val="left" w:pos="426" w:leader="none"/>
        </w:tabs>
        <w:ind w:left="6160" w:hanging="0"/>
        <w:jc w:val="right"/>
        <w:rPr>
          <w:sz w:val="24"/>
        </w:rPr>
      </w:pPr>
      <w:r>
        <w:rPr>
          <w:sz w:val="24"/>
        </w:rPr>
      </w:r>
    </w:p>
    <w:p>
      <w:pPr>
        <w:pStyle w:val="Normal"/>
        <w:widowControl w:val="false"/>
        <w:tabs>
          <w:tab w:val="clear" w:pos="720"/>
          <w:tab w:val="left" w:pos="426" w:leader="none"/>
        </w:tabs>
        <w:ind w:left="6160" w:hanging="0"/>
        <w:jc w:val="right"/>
        <w:rPr>
          <w:sz w:val="24"/>
        </w:rPr>
      </w:pPr>
      <w:r>
        <w:rPr>
          <w:sz w:val="24"/>
        </w:rPr>
      </w:r>
    </w:p>
    <w:p>
      <w:pPr>
        <w:pStyle w:val="Normal"/>
        <w:widowControl w:val="false"/>
        <w:tabs>
          <w:tab w:val="clear" w:pos="720"/>
          <w:tab w:val="left" w:pos="426" w:leader="none"/>
        </w:tabs>
        <w:ind w:left="6160" w:hanging="0"/>
        <w:jc w:val="right"/>
        <w:rPr>
          <w:sz w:val="24"/>
        </w:rPr>
      </w:pPr>
      <w:r>
        <w:rPr>
          <w:sz w:val="24"/>
        </w:rPr>
      </w:r>
    </w:p>
    <w:p>
      <w:pPr>
        <w:pStyle w:val="Normal"/>
        <w:widowControl w:val="false"/>
        <w:tabs>
          <w:tab w:val="clear" w:pos="720"/>
          <w:tab w:val="left" w:pos="426" w:leader="none"/>
        </w:tabs>
        <w:ind w:left="6160" w:hanging="0"/>
        <w:jc w:val="right"/>
        <w:rPr>
          <w:sz w:val="24"/>
        </w:rPr>
      </w:pPr>
      <w:r>
        <w:rPr>
          <w:sz w:val="24"/>
        </w:rPr>
      </w:r>
    </w:p>
    <w:p>
      <w:pPr>
        <w:pStyle w:val="Normal"/>
        <w:widowControl w:val="false"/>
        <w:tabs>
          <w:tab w:val="clear" w:pos="720"/>
          <w:tab w:val="left" w:pos="426" w:leader="none"/>
        </w:tabs>
        <w:ind w:left="6160" w:hanging="0"/>
        <w:jc w:val="right"/>
        <w:rPr>
          <w:sz w:val="24"/>
        </w:rPr>
      </w:pPr>
      <w:r>
        <w:rPr>
          <w:sz w:val="24"/>
        </w:rPr>
      </w:r>
    </w:p>
    <w:p>
      <w:pPr>
        <w:pStyle w:val="Normal"/>
        <w:widowControl w:val="false"/>
        <w:tabs>
          <w:tab w:val="clear" w:pos="720"/>
          <w:tab w:val="left" w:pos="426" w:leader="none"/>
        </w:tabs>
        <w:ind w:left="6160" w:hanging="0"/>
        <w:jc w:val="right"/>
        <w:rPr>
          <w:sz w:val="24"/>
        </w:rPr>
      </w:pPr>
      <w:r>
        <w:rPr>
          <w:sz w:val="24"/>
        </w:rPr>
      </w:r>
    </w:p>
    <w:p>
      <w:pPr>
        <w:pStyle w:val="Normal"/>
        <w:widowControl w:val="false"/>
        <w:tabs>
          <w:tab w:val="clear" w:pos="720"/>
          <w:tab w:val="left" w:pos="426" w:leader="none"/>
        </w:tabs>
        <w:ind w:left="6160" w:hanging="0"/>
        <w:jc w:val="right"/>
        <w:rPr>
          <w:sz w:val="24"/>
        </w:rPr>
      </w:pPr>
      <w:r>
        <w:rPr>
          <w:sz w:val="24"/>
        </w:rPr>
      </w:r>
    </w:p>
    <w:p>
      <w:pPr>
        <w:pStyle w:val="Normal"/>
        <w:widowControl w:val="false"/>
        <w:tabs>
          <w:tab w:val="clear" w:pos="720"/>
          <w:tab w:val="left" w:pos="426" w:leader="none"/>
        </w:tabs>
        <w:ind w:left="6160" w:hanging="0"/>
        <w:jc w:val="right"/>
        <w:rPr>
          <w:sz w:val="24"/>
        </w:rPr>
      </w:pPr>
      <w:r>
        <w:rPr>
          <w:sz w:val="24"/>
        </w:rPr>
      </w:r>
    </w:p>
    <w:p>
      <w:pPr>
        <w:pStyle w:val="Normal"/>
        <w:widowControl w:val="false"/>
        <w:tabs>
          <w:tab w:val="clear" w:pos="720"/>
          <w:tab w:val="left" w:pos="426" w:leader="none"/>
        </w:tabs>
        <w:ind w:left="6160" w:hanging="0"/>
        <w:jc w:val="right"/>
        <w:rPr>
          <w:sz w:val="24"/>
        </w:rPr>
      </w:pPr>
      <w:r>
        <w:rPr>
          <w:sz w:val="24"/>
        </w:rPr>
      </w:r>
    </w:p>
    <w:p>
      <w:pPr>
        <w:pStyle w:val="Normal"/>
        <w:widowControl w:val="false"/>
        <w:tabs>
          <w:tab w:val="clear" w:pos="720"/>
          <w:tab w:val="left" w:pos="426" w:leader="none"/>
        </w:tabs>
        <w:ind w:left="6160" w:hanging="0"/>
        <w:jc w:val="right"/>
        <w:rPr>
          <w:sz w:val="24"/>
        </w:rPr>
      </w:pPr>
      <w:r>
        <w:rPr>
          <w:sz w:val="24"/>
        </w:rPr>
        <w:t>Приложение № 1</w:t>
      </w:r>
    </w:p>
    <w:p>
      <w:pPr>
        <w:pStyle w:val="Normal"/>
        <w:widowControl w:val="false"/>
        <w:tabs>
          <w:tab w:val="clear" w:pos="720"/>
          <w:tab w:val="left" w:pos="426" w:leader="none"/>
        </w:tabs>
        <w:ind w:left="6160" w:hanging="0"/>
        <w:jc w:val="right"/>
        <w:rPr>
          <w:sz w:val="24"/>
        </w:rPr>
      </w:pPr>
      <w:r>
        <w:rPr>
          <w:sz w:val="24"/>
        </w:rPr>
        <w:t>к Техническим требованиям</w:t>
      </w:r>
    </w:p>
    <w:p>
      <w:pPr>
        <w:pStyle w:val="Normal"/>
        <w:widowControl w:val="false"/>
        <w:tabs>
          <w:tab w:val="clear" w:pos="720"/>
          <w:tab w:val="left" w:pos="426" w:leader="none"/>
        </w:tabs>
        <w:ind w:left="6160" w:hanging="0"/>
        <w:jc w:val="right"/>
        <w:rPr>
          <w:sz w:val="24"/>
        </w:rPr>
      </w:pPr>
      <w:r>
        <w:rPr>
          <w:sz w:val="24"/>
        </w:rPr>
      </w:r>
    </w:p>
    <w:tbl>
      <w:tblPr>
        <w:tblW w:w="992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9921"/>
      </w:tblGrid>
      <w:tr>
        <w:trPr/>
        <w:tc>
          <w:tcPr>
            <w:tcW w:w="9921" w:type="dxa"/>
            <w:tcBorders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Форма «Технико-коммерческое предложение»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начало формы</w:t>
            </w:r>
          </w:p>
        </w:tc>
      </w:tr>
    </w:tbl>
    <w:p>
      <w:pPr>
        <w:pStyle w:val="Normal"/>
        <w:tabs>
          <w:tab w:val="clear" w:pos="720"/>
          <w:tab w:val="left" w:pos="5812" w:leader="none"/>
        </w:tabs>
        <w:jc w:val="center"/>
        <w:rPr>
          <w:i/>
          <w:i/>
          <w:sz w:val="24"/>
          <w:szCs w:val="24"/>
        </w:rPr>
      </w:pPr>
      <w:r>
        <w:rPr>
          <w:i/>
          <w:sz w:val="24"/>
          <w:szCs w:val="24"/>
        </w:rPr>
        <w:t>На официальном бланке участника</w:t>
      </w:r>
    </w:p>
    <w:p>
      <w:pPr>
        <w:pStyle w:val="Normal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Технико-коммерческое предложение</w:t>
      </w:r>
    </w:p>
    <w:p>
      <w:pPr>
        <w:pStyle w:val="Normal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tbl>
      <w:tblPr>
        <w:tblW w:w="3509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675"/>
        <w:gridCol w:w="1135"/>
        <w:gridCol w:w="1698"/>
      </w:tblGrid>
      <w:tr>
        <w:trPr/>
        <w:tc>
          <w:tcPr>
            <w:tcW w:w="1810" w:type="dxa"/>
            <w:gridSpan w:val="2"/>
            <w:tcBorders/>
          </w:tcPr>
          <w:p>
            <w:pPr>
              <w:pStyle w:val="Normal"/>
              <w:widowControl w:val="false"/>
              <w:spacing w:lineRule="auto" w:line="252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Исходящий №</w:t>
            </w:r>
          </w:p>
        </w:tc>
        <w:tc>
          <w:tcPr>
            <w:tcW w:w="1698" w:type="dxa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</w:tr>
      <w:tr>
        <w:trPr/>
        <w:tc>
          <w:tcPr>
            <w:tcW w:w="675" w:type="dxa"/>
            <w:tcBorders/>
          </w:tcPr>
          <w:p>
            <w:pPr>
              <w:pStyle w:val="Normal"/>
              <w:widowControl w:val="false"/>
              <w:spacing w:lineRule="auto" w:line="252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от</w:t>
            </w:r>
          </w:p>
        </w:tc>
        <w:tc>
          <w:tcPr>
            <w:tcW w:w="2833" w:type="dxa"/>
            <w:gridSpan w:val="2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</w:tr>
      <w:tr>
        <w:trPr/>
        <w:tc>
          <w:tcPr>
            <w:tcW w:w="675" w:type="dxa"/>
            <w:tcBorders/>
          </w:tcPr>
          <w:p>
            <w:pPr>
              <w:pStyle w:val="Normal"/>
              <w:widowControl w:val="false"/>
              <w:spacing w:lineRule="auto" w:line="252"/>
              <w:jc w:val="center"/>
              <w:rPr>
                <w:sz w:val="24"/>
                <w:szCs w:val="24"/>
                <w:vertAlign w:val="superscript"/>
                <w:lang w:eastAsia="en-US"/>
              </w:rPr>
            </w:pPr>
            <w:r>
              <w:rPr>
                <w:sz w:val="24"/>
                <w:szCs w:val="24"/>
                <w:vertAlign w:val="superscript"/>
                <w:lang w:eastAsia="en-US"/>
              </w:rPr>
            </w:r>
          </w:p>
        </w:tc>
        <w:tc>
          <w:tcPr>
            <w:tcW w:w="2833" w:type="dxa"/>
            <w:gridSpan w:val="2"/>
            <w:tcBorders/>
          </w:tcPr>
          <w:p>
            <w:pPr>
              <w:pStyle w:val="Normal"/>
              <w:widowControl w:val="false"/>
              <w:spacing w:lineRule="auto" w:line="252"/>
              <w:jc w:val="center"/>
              <w:rPr>
                <w:sz w:val="24"/>
                <w:szCs w:val="24"/>
                <w:vertAlign w:val="superscript"/>
                <w:lang w:eastAsia="en-US"/>
              </w:rPr>
            </w:pPr>
            <w:r>
              <w:rPr>
                <w:sz w:val="24"/>
                <w:szCs w:val="24"/>
                <w:vertAlign w:val="superscript"/>
                <w:lang w:eastAsia="en-US"/>
              </w:rPr>
              <w:t>(дата)</w:t>
            </w:r>
          </w:p>
        </w:tc>
      </w:tr>
    </w:tbl>
    <w:p>
      <w:pPr>
        <w:pStyle w:val="Normal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tbl>
      <w:tblPr>
        <w:tblW w:w="5000" w:type="pct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9656"/>
        <w:gridCol w:w="264"/>
      </w:tblGrid>
      <w:tr>
        <w:trPr/>
        <w:tc>
          <w:tcPr>
            <w:tcW w:w="9920" w:type="dxa"/>
            <w:gridSpan w:val="2"/>
            <w:tcBorders/>
          </w:tcPr>
          <w:p>
            <w:pPr>
              <w:pStyle w:val="Normal"/>
              <w:widowControl w:val="false"/>
              <w:spacing w:lineRule="auto" w:line="252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На ваш исх. № ___ от «___» _____________ 2026 г., изучив Технические требования Заказчика, в рамках закупки на право заключения договора </w:t>
            </w:r>
            <w:r>
              <w:rPr>
                <w:rFonts w:eastAsia="Times New Roman" w:cs="Times New Roman"/>
                <w:bCs/>
                <w:color w:val="auto"/>
                <w:kern w:val="0"/>
                <w:sz w:val="24"/>
                <w:szCs w:val="24"/>
                <w:lang w:val="ru-RU" w:eastAsia="ru-RU" w:bidi="ar-SA"/>
              </w:rPr>
              <w:t>ОКПД2 70.22.15 Оказание консультационных услуг в формате проведения семинара по теме: «Организация корпоративного управления в группе РусГидро» по изучению ключевых изменений корпоративного законодательства, а также планируемых изменений в области корпоративного управления для руководителей и специалистов Группы РусГидро в г. Красноярске.</w:t>
            </w:r>
          </w:p>
        </w:tc>
      </w:tr>
      <w:tr>
        <w:trPr/>
        <w:tc>
          <w:tcPr>
            <w:tcW w:w="9920" w:type="dxa"/>
            <w:gridSpan w:val="2"/>
            <w:tcBorders>
              <w:bottom w:val="single" w:sz="6" w:space="0" w:color="000000"/>
            </w:tcBorders>
          </w:tcPr>
          <w:p>
            <w:pPr>
              <w:pStyle w:val="Normal"/>
              <w:widowControl w:val="false"/>
              <w:spacing w:lineRule="auto" w:line="252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</w:tr>
      <w:tr>
        <w:trPr/>
        <w:tc>
          <w:tcPr>
            <w:tcW w:w="9656" w:type="dxa"/>
            <w:tcBorders/>
          </w:tcPr>
          <w:p>
            <w:pPr>
              <w:pStyle w:val="Normal"/>
              <w:widowControl w:val="false"/>
              <w:spacing w:lineRule="auto" w:line="252"/>
              <w:jc w:val="center"/>
              <w:rPr>
                <w:sz w:val="24"/>
                <w:szCs w:val="24"/>
                <w:vertAlign w:val="superscript"/>
                <w:lang w:eastAsia="en-US"/>
              </w:rPr>
            </w:pPr>
            <w:r>
              <w:rPr>
                <w:sz w:val="24"/>
                <w:szCs w:val="24"/>
                <w:vertAlign w:val="superscript"/>
                <w:lang w:eastAsia="en-US"/>
              </w:rPr>
              <w:t>(полное наименование организации с указанием организационно-правой формы и ИНН)</w:t>
            </w:r>
          </w:p>
        </w:tc>
        <w:tc>
          <w:tcPr>
            <w:tcW w:w="264" w:type="dxa"/>
            <w:tcBorders/>
          </w:tcPr>
          <w:p>
            <w:pPr>
              <w:pStyle w:val="Normal"/>
              <w:widowControl w:val="false"/>
              <w:spacing w:lineRule="auto" w:line="252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</w:tr>
      <w:tr>
        <w:trPr/>
        <w:tc>
          <w:tcPr>
            <w:tcW w:w="9656" w:type="dxa"/>
            <w:tcBorders>
              <w:bottom w:val="single" w:sz="6" w:space="0" w:color="000000"/>
            </w:tcBorders>
          </w:tcPr>
          <w:p>
            <w:pPr>
              <w:pStyle w:val="Normal"/>
              <w:widowControl w:val="false"/>
              <w:spacing w:lineRule="auto" w:line="252"/>
              <w:jc w:val="both"/>
              <w:rPr>
                <w:b/>
                <w:i/>
                <w:i/>
                <w:sz w:val="24"/>
                <w:szCs w:val="24"/>
                <w:lang w:eastAsia="en-US"/>
              </w:rPr>
            </w:pPr>
            <w:r>
              <w:rPr>
                <w:b/>
                <w:i/>
                <w:sz w:val="24"/>
                <w:szCs w:val="24"/>
                <w:lang w:eastAsia="en-US"/>
              </w:rPr>
            </w:r>
          </w:p>
        </w:tc>
        <w:tc>
          <w:tcPr>
            <w:tcW w:w="264" w:type="dxa"/>
            <w:tcBorders/>
          </w:tcPr>
          <w:p>
            <w:pPr>
              <w:pStyle w:val="Normal"/>
              <w:widowControl w:val="false"/>
              <w:spacing w:lineRule="auto" w:line="252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,</w:t>
            </w:r>
          </w:p>
        </w:tc>
      </w:tr>
      <w:tr>
        <w:trPr/>
        <w:tc>
          <w:tcPr>
            <w:tcW w:w="9656" w:type="dxa"/>
            <w:tcBorders>
              <w:top w:val="single" w:sz="6" w:space="0" w:color="000000"/>
            </w:tcBorders>
          </w:tcPr>
          <w:p>
            <w:pPr>
              <w:pStyle w:val="Normal"/>
              <w:widowControl w:val="false"/>
              <w:spacing w:lineRule="auto" w:line="252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vertAlign w:val="superscript"/>
                <w:lang w:eastAsia="en-US"/>
              </w:rPr>
              <w:t>(юридический адрес)</w:t>
            </w:r>
          </w:p>
        </w:tc>
        <w:tc>
          <w:tcPr>
            <w:tcW w:w="264" w:type="dxa"/>
            <w:tcBorders/>
          </w:tcPr>
          <w:p>
            <w:pPr>
              <w:pStyle w:val="Normal"/>
              <w:widowControl w:val="false"/>
              <w:spacing w:lineRule="auto" w:line="252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</w:tr>
      <w:tr>
        <w:trPr/>
        <w:tc>
          <w:tcPr>
            <w:tcW w:w="9656" w:type="dxa"/>
            <w:tcBorders>
              <w:bottom w:val="single" w:sz="6" w:space="0" w:color="000000"/>
            </w:tcBorders>
          </w:tcPr>
          <w:p>
            <w:pPr>
              <w:pStyle w:val="Normal"/>
              <w:widowControl w:val="false"/>
              <w:spacing w:lineRule="auto" w:line="252"/>
              <w:jc w:val="both"/>
              <w:rPr>
                <w:b/>
                <w:i/>
                <w:i/>
                <w:sz w:val="24"/>
                <w:szCs w:val="24"/>
                <w:lang w:eastAsia="en-US"/>
              </w:rPr>
            </w:pPr>
            <w:r>
              <w:rPr>
                <w:b/>
                <w:i/>
                <w:sz w:val="24"/>
                <w:szCs w:val="24"/>
                <w:lang w:eastAsia="en-US"/>
              </w:rPr>
            </w:r>
          </w:p>
        </w:tc>
        <w:tc>
          <w:tcPr>
            <w:tcW w:w="264" w:type="dxa"/>
            <w:tcBorders/>
          </w:tcPr>
          <w:p>
            <w:pPr>
              <w:pStyle w:val="Normal"/>
              <w:widowControl w:val="false"/>
              <w:spacing w:lineRule="auto" w:line="252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,</w:t>
            </w:r>
          </w:p>
        </w:tc>
      </w:tr>
      <w:tr>
        <w:trPr/>
        <w:tc>
          <w:tcPr>
            <w:tcW w:w="9656" w:type="dxa"/>
            <w:tcBorders>
              <w:top w:val="single" w:sz="6" w:space="0" w:color="000000"/>
            </w:tcBorders>
          </w:tcPr>
          <w:p>
            <w:pPr>
              <w:pStyle w:val="Normal"/>
              <w:widowControl w:val="false"/>
              <w:spacing w:lineRule="auto" w:line="252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vertAlign w:val="superscript"/>
                <w:lang w:eastAsia="en-US"/>
              </w:rPr>
              <w:t>(почтовый адрес)</w:t>
            </w:r>
          </w:p>
        </w:tc>
        <w:tc>
          <w:tcPr>
            <w:tcW w:w="264" w:type="dxa"/>
            <w:tcBorders/>
          </w:tcPr>
          <w:p>
            <w:pPr>
              <w:pStyle w:val="Normal"/>
              <w:widowControl w:val="false"/>
              <w:spacing w:lineRule="auto" w:line="252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</w:tr>
    </w:tbl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сообщаем следующее:</w:t>
      </w:r>
    </w:p>
    <w:p>
      <w:pPr>
        <w:pStyle w:val="Normal"/>
        <w:numPr>
          <w:ilvl w:val="0"/>
          <w:numId w:val="47"/>
        </w:numPr>
        <w:spacing w:before="120" w:after="120"/>
        <w:ind w:left="420" w:hanging="420"/>
        <w:contextualSpacing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Готовы оказать услуги в </w:t>
      </w:r>
      <w:r>
        <w:rPr>
          <w:rFonts w:eastAsia="Calibri"/>
          <w:sz w:val="24"/>
          <w:szCs w:val="24"/>
          <w:u w:val="single"/>
        </w:rPr>
        <w:t>полном соответствии</w:t>
      </w:r>
      <w:r>
        <w:rPr>
          <w:rFonts w:eastAsia="Calibri"/>
          <w:sz w:val="24"/>
          <w:szCs w:val="24"/>
        </w:rPr>
        <w:t xml:space="preserve"> с требованиями Заказчика в части объема, сроков, программы и места оказания услуг.</w:t>
      </w:r>
    </w:p>
    <w:p>
      <w:pPr>
        <w:pStyle w:val="Normal"/>
        <w:numPr>
          <w:ilvl w:val="0"/>
          <w:numId w:val="48"/>
        </w:numPr>
        <w:spacing w:before="120" w:after="120"/>
        <w:ind w:left="420" w:hanging="420"/>
        <w:contextualSpacing/>
        <w:jc w:val="both"/>
        <w:rPr>
          <w:rFonts w:eastAsia="Calibri"/>
          <w:sz w:val="24"/>
          <w:szCs w:val="24"/>
        </w:rPr>
      </w:pPr>
      <w:r>
        <w:rPr>
          <w:rFonts w:eastAsia="Calibri"/>
          <w:kern w:val="2"/>
          <w:sz w:val="24"/>
          <w:szCs w:val="24"/>
          <w:highlight w:val="lightGray"/>
          <w:u w:val="single"/>
        </w:rPr>
        <w:t>Организация/ФИО</w:t>
      </w:r>
      <w:r>
        <w:rPr>
          <w:rFonts w:eastAsia="Calibri"/>
          <w:kern w:val="2"/>
          <w:sz w:val="24"/>
          <w:szCs w:val="24"/>
          <w:highlight w:val="lightGray"/>
        </w:rPr>
        <w:t xml:space="preserve"> (указываются данные Участника закупки – краткое наименование)</w:t>
      </w:r>
      <w:r>
        <w:rPr>
          <w:rFonts w:eastAsia="Calibri"/>
          <w:kern w:val="2"/>
          <w:sz w:val="24"/>
          <w:szCs w:val="24"/>
        </w:rPr>
        <w:t xml:space="preserve"> обладает гражданской правоспособностью в полном объеме для заключения и исполнения договора, в том числе наличием регистрации и отсутствием банкротства, стадии ликвидации или приостановления деятельности.</w:t>
      </w:r>
    </w:p>
    <w:p>
      <w:pPr>
        <w:pStyle w:val="Normal"/>
        <w:tabs>
          <w:tab w:val="clear" w:pos="720"/>
          <w:tab w:val="left" w:pos="1134" w:leader="none"/>
        </w:tabs>
        <w:ind w:left="-105" w:hanging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before="0" w:after="0"/>
        <w:contextualSpacing/>
        <w:rPr>
          <w:kern w:val="2"/>
          <w:sz w:val="24"/>
          <w:szCs w:val="24"/>
        </w:rPr>
      </w:pPr>
      <w:r>
        <w:rPr>
          <w:kern w:val="2"/>
          <w:sz w:val="24"/>
          <w:szCs w:val="24"/>
        </w:rPr>
      </w:r>
    </w:p>
    <w:p>
      <w:pPr>
        <w:pStyle w:val="Normal"/>
        <w:spacing w:before="0" w:after="0"/>
        <w:contextualSpacing/>
        <w:rPr>
          <w:kern w:val="2"/>
          <w:sz w:val="24"/>
          <w:szCs w:val="24"/>
        </w:rPr>
      </w:pPr>
      <w:r>
        <w:rPr>
          <w:kern w:val="2"/>
          <w:sz w:val="24"/>
          <w:szCs w:val="24"/>
        </w:rPr>
      </w:r>
    </w:p>
    <w:tbl>
      <w:tblPr>
        <w:tblW w:w="464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2093"/>
        <w:gridCol w:w="2550"/>
      </w:tblGrid>
      <w:tr>
        <w:trPr/>
        <w:tc>
          <w:tcPr>
            <w:tcW w:w="4643" w:type="dxa"/>
            <w:gridSpan w:val="2"/>
            <w:tcBorders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4643" w:type="dxa"/>
            <w:gridSpan w:val="2"/>
            <w:tcBorders>
              <w:top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vertAlign w:val="superscript"/>
              </w:rPr>
              <w:t>(должность)</w:t>
            </w:r>
          </w:p>
        </w:tc>
      </w:tr>
      <w:tr>
        <w:trPr/>
        <w:tc>
          <w:tcPr>
            <w:tcW w:w="2093" w:type="dxa"/>
            <w:tcBorders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50" w:type="dxa"/>
            <w:tcBorders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53" w:hRule="atLeast"/>
        </w:trPr>
        <w:tc>
          <w:tcPr>
            <w:tcW w:w="2093" w:type="dxa"/>
            <w:tcBorders>
              <w:top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  <w:vertAlign w:val="superscript"/>
              </w:rPr>
              <w:t>(подпись)</w:t>
            </w:r>
          </w:p>
        </w:tc>
        <w:tc>
          <w:tcPr>
            <w:tcW w:w="2550" w:type="dxa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  <w:vertAlign w:val="superscript"/>
              </w:rPr>
              <w:t>(расшифровка подписи)</w:t>
            </w:r>
          </w:p>
          <w:p>
            <w:pPr>
              <w:pStyle w:val="Normal"/>
              <w:widowControl w:val="false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  <w:vertAlign w:val="superscript"/>
              </w:rPr>
              <w:t>М..П.</w:t>
            </w:r>
          </w:p>
        </w:tc>
      </w:tr>
    </w:tbl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9921"/>
      </w:tblGrid>
      <w:tr>
        <w:trPr/>
        <w:tc>
          <w:tcPr>
            <w:tcW w:w="9921" w:type="dxa"/>
            <w:tcBorders>
              <w:top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конец формы</w:t>
            </w:r>
          </w:p>
        </w:tc>
      </w:tr>
    </w:tbl>
    <w:p>
      <w:pPr>
        <w:pStyle w:val="Normal"/>
        <w:keepNext w:val="true"/>
        <w:numPr>
          <w:ilvl w:val="0"/>
          <w:numId w:val="0"/>
        </w:numPr>
        <w:ind w:left="6160" w:hanging="0"/>
        <w:jc w:val="right"/>
        <w:outlineLvl w:val="0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</w:r>
    </w:p>
    <w:p>
      <w:pPr>
        <w:pStyle w:val="Normal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</w:r>
      <w:r>
        <w:br w:type="page"/>
      </w:r>
    </w:p>
    <w:p>
      <w:pPr>
        <w:pStyle w:val="Normal"/>
        <w:keepNext w:val="true"/>
        <w:numPr>
          <w:ilvl w:val="0"/>
          <w:numId w:val="0"/>
        </w:numPr>
        <w:ind w:left="6160" w:hanging="0"/>
        <w:jc w:val="right"/>
        <w:outlineLvl w:val="0"/>
        <w:rPr>
          <w:rFonts w:eastAsia="Calibri"/>
          <w:b/>
          <w:sz w:val="24"/>
          <w:szCs w:val="24"/>
        </w:rPr>
      </w:pPr>
      <w:bookmarkStart w:id="48" w:name="_Toc204680162"/>
      <w:r>
        <w:rPr>
          <w:rFonts w:eastAsia="Calibri"/>
          <w:b/>
          <w:sz w:val="24"/>
          <w:szCs w:val="24"/>
        </w:rPr>
        <w:t>Приложение № 2</w:t>
      </w:r>
      <w:bookmarkStart w:id="49" w:name="_Toc138867091"/>
      <w:bookmarkStart w:id="50" w:name="_Toc140673545"/>
      <w:bookmarkStart w:id="51" w:name="_Toc143774637"/>
      <w:r>
        <w:rPr>
          <w:rFonts w:eastAsia="Calibri"/>
          <w:b/>
          <w:sz w:val="24"/>
          <w:szCs w:val="24"/>
        </w:rPr>
        <w:br/>
        <w:t>к Техническим требованиям</w:t>
      </w:r>
      <w:bookmarkEnd w:id="48"/>
      <w:bookmarkEnd w:id="49"/>
      <w:bookmarkEnd w:id="50"/>
      <w:bookmarkEnd w:id="51"/>
    </w:p>
    <w:p>
      <w:pPr>
        <w:pStyle w:val="Normal"/>
        <w:widowControl w:val="false"/>
        <w:tabs>
          <w:tab w:val="clear" w:pos="720"/>
          <w:tab w:val="left" w:pos="426" w:leader="none"/>
        </w:tabs>
        <w:ind w:left="6160" w:hanging="700"/>
        <w:jc w:val="right"/>
        <w:rPr>
          <w:sz w:val="24"/>
        </w:rPr>
      </w:pPr>
      <w:r>
        <w:rPr>
          <w:sz w:val="24"/>
        </w:rPr>
      </w:r>
    </w:p>
    <w:tbl>
      <w:tblPr>
        <w:tblW w:w="9921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9921"/>
      </w:tblGrid>
      <w:tr>
        <w:trPr/>
        <w:tc>
          <w:tcPr>
            <w:tcW w:w="9921" w:type="dxa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Форма «Сводная таблица стоимости услуг»</w:t>
            </w:r>
          </w:p>
          <w:p>
            <w:pPr>
              <w:pStyle w:val="Normal"/>
              <w:widowControl w:val="false"/>
              <w:spacing w:lineRule="auto" w:line="252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начало формы</w:t>
            </w:r>
          </w:p>
        </w:tc>
      </w:tr>
    </w:tbl>
    <w:p>
      <w:pPr>
        <w:pStyle w:val="Normal"/>
        <w:tabs>
          <w:tab w:val="clear" w:pos="720"/>
          <w:tab w:val="left" w:pos="5812" w:leader="none"/>
        </w:tabs>
        <w:jc w:val="center"/>
        <w:rPr>
          <w:i/>
          <w:i/>
          <w:sz w:val="24"/>
          <w:szCs w:val="24"/>
        </w:rPr>
      </w:pPr>
      <w:r>
        <w:rPr>
          <w:i/>
          <w:sz w:val="24"/>
          <w:szCs w:val="24"/>
        </w:rPr>
        <w:t>На официальном бланке участника</w:t>
      </w:r>
    </w:p>
    <w:p>
      <w:pPr>
        <w:pStyle w:val="Normal"/>
        <w:widowControl w:val="false"/>
        <w:tabs>
          <w:tab w:val="clear" w:pos="720"/>
          <w:tab w:val="left" w:pos="426" w:leader="none"/>
        </w:tabs>
        <w:spacing w:before="60" w:after="60"/>
        <w:jc w:val="right"/>
        <w:rPr>
          <w:i/>
          <w:i/>
          <w:sz w:val="24"/>
        </w:rPr>
      </w:pPr>
      <w:r>
        <w:rPr>
          <w:i/>
          <w:sz w:val="24"/>
        </w:rPr>
      </w:r>
    </w:p>
    <w:p>
      <w:pPr>
        <w:pStyle w:val="Normal"/>
        <w:shd w:val="clear" w:color="auto" w:fill="FFFFFF"/>
        <w:jc w:val="center"/>
        <w:rPr>
          <w:b/>
          <w:bCs/>
        </w:rPr>
      </w:pPr>
      <w:r>
        <w:rPr>
          <w:b/>
          <w:bCs/>
        </w:rPr>
        <w:t>Сводная таблица стоимости услуг</w:t>
      </w:r>
    </w:p>
    <w:p>
      <w:pPr>
        <w:pStyle w:val="Normal"/>
        <w:shd w:val="clear" w:color="auto" w:fill="FFFFFF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tbl>
      <w:tblPr>
        <w:tblW w:w="513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700"/>
        <w:gridCol w:w="445"/>
        <w:gridCol w:w="1464"/>
        <w:gridCol w:w="1528"/>
      </w:tblGrid>
      <w:tr>
        <w:trPr/>
        <w:tc>
          <w:tcPr>
            <w:tcW w:w="5137" w:type="dxa"/>
            <w:gridSpan w:val="4"/>
            <w:tcBorders/>
          </w:tcPr>
          <w:p>
            <w:pPr>
              <w:pStyle w:val="Normal"/>
              <w:widowControl w:val="false"/>
              <w:spacing w:lineRule="auto" w:line="252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Приложение № 1 к исходящему</w:t>
            </w:r>
          </w:p>
        </w:tc>
      </w:tr>
      <w:tr>
        <w:trPr/>
        <w:tc>
          <w:tcPr>
            <w:tcW w:w="1700" w:type="dxa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445" w:type="dxa"/>
            <w:tcBorders/>
          </w:tcPr>
          <w:p>
            <w:pPr>
              <w:pStyle w:val="Normal"/>
              <w:widowControl w:val="false"/>
              <w:spacing w:lineRule="auto" w:line="252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1464" w:type="dxa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1528" w:type="dxa"/>
            <w:tcBorders/>
          </w:tcPr>
          <w:p>
            <w:pPr>
              <w:pStyle w:val="Normal"/>
              <w:widowControl w:val="false"/>
              <w:spacing w:lineRule="auto" w:line="252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</w:tr>
    </w:tbl>
    <w:p>
      <w:pPr>
        <w:pStyle w:val="Normal"/>
        <w:shd w:val="clear" w:color="auto" w:fill="FFFFFF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63"/>
        <w:gridCol w:w="3790"/>
        <w:gridCol w:w="1171"/>
        <w:gridCol w:w="1134"/>
        <w:gridCol w:w="1850"/>
        <w:gridCol w:w="1412"/>
      </w:tblGrid>
      <w:tr>
        <w:trPr>
          <w:trHeight w:val="1006" w:hRule="atLeast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№</w:t>
            </w:r>
          </w:p>
          <w:p>
            <w:pPr>
              <w:pStyle w:val="Normal"/>
              <w:widowControl w:val="false"/>
              <w:spacing w:lineRule="auto" w:line="252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п/п</w:t>
            </w: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Наименование услуг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Ед. </w:t>
            </w:r>
          </w:p>
          <w:p>
            <w:pPr>
              <w:pStyle w:val="Normal"/>
              <w:widowControl w:val="false"/>
              <w:spacing w:lineRule="auto" w:line="252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изм-я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Кол-во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Цена за единицу измерения без НДС,</w:t>
              <w:br/>
              <w:t>руб. коп.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Стоимость без НДС,</w:t>
              <w:br/>
              <w:t xml:space="preserve">руб. коп. </w:t>
            </w:r>
          </w:p>
        </w:tc>
      </w:tr>
      <w:tr>
        <w:trPr>
          <w:trHeight w:val="409" w:hRule="atLeast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49"/>
              </w:numPr>
              <w:spacing w:lineRule="auto" w:line="252" w:before="0" w:after="0"/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</w:r>
          </w:p>
        </w:tc>
        <w:tc>
          <w:tcPr>
            <w:tcW w:w="3790" w:type="dxa"/>
            <w:tcBorders/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pacing w:before="120" w:after="120"/>
              <w:jc w:val="both"/>
              <w:rPr>
                <w:rFonts w:eastAsia="Calibri"/>
                <w:b/>
                <w:sz w:val="24"/>
                <w:szCs w:val="24"/>
                <w:lang w:eastAsia="x-none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4"/>
                <w:szCs w:val="24"/>
                <w:lang w:val="ru-RU" w:eastAsia="ru-RU" w:bidi="ar-SA"/>
              </w:rPr>
              <w:t>ОКПД2 70.22.15 Оказание консультационных услуг в формате проведения семинара по теме: «Организация корпоративного управления в группе РусГидро» по изучению ключевых изменений корпоративного законодательства, а также планируемых изменений в области корпоративного управления для руководителей и специалистов Группы РусГидро в г. Красноярске.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усл.ед.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</w:tr>
      <w:tr>
        <w:trPr/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79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ИТОГО: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</w:tr>
      <w:tr>
        <w:trPr/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79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НДС ___%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</w:tr>
      <w:tr>
        <w:trPr/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79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ВСЕГО: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</w:tr>
    </w:tbl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20"/>
          <w:tab w:val="left" w:pos="5812" w:leader="none"/>
        </w:tabs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tbl>
      <w:tblPr>
        <w:tblW w:w="4359" w:type="dxa"/>
        <w:jc w:val="left"/>
        <w:tblInd w:w="392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808"/>
        <w:gridCol w:w="2550"/>
      </w:tblGrid>
      <w:tr>
        <w:trPr/>
        <w:tc>
          <w:tcPr>
            <w:tcW w:w="4358" w:type="dxa"/>
            <w:gridSpan w:val="2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</w:tr>
      <w:tr>
        <w:trPr/>
        <w:tc>
          <w:tcPr>
            <w:tcW w:w="4358" w:type="dxa"/>
            <w:gridSpan w:val="2"/>
            <w:tcBorders>
              <w:top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vertAlign w:val="superscript"/>
                <w:lang w:eastAsia="en-US"/>
              </w:rPr>
              <w:t>(должность)</w:t>
            </w:r>
          </w:p>
        </w:tc>
      </w:tr>
      <w:tr>
        <w:trPr/>
        <w:tc>
          <w:tcPr>
            <w:tcW w:w="1808" w:type="dxa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2550" w:type="dxa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</w:tr>
      <w:tr>
        <w:trPr>
          <w:trHeight w:val="53" w:hRule="atLeast"/>
        </w:trPr>
        <w:tc>
          <w:tcPr>
            <w:tcW w:w="1808" w:type="dxa"/>
            <w:tcBorders>
              <w:top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/>
              <w:jc w:val="center"/>
              <w:rPr>
                <w:sz w:val="24"/>
                <w:szCs w:val="24"/>
                <w:vertAlign w:val="superscript"/>
                <w:lang w:eastAsia="en-US"/>
              </w:rPr>
            </w:pPr>
            <w:r>
              <w:rPr>
                <w:sz w:val="24"/>
                <w:szCs w:val="24"/>
                <w:vertAlign w:val="superscript"/>
                <w:lang w:eastAsia="en-US"/>
              </w:rPr>
              <w:t>(подпись)</w:t>
            </w:r>
          </w:p>
        </w:tc>
        <w:tc>
          <w:tcPr>
            <w:tcW w:w="2550" w:type="dxa"/>
            <w:tcBorders/>
          </w:tcPr>
          <w:p>
            <w:pPr>
              <w:pStyle w:val="Normal"/>
              <w:widowControl w:val="false"/>
              <w:spacing w:lineRule="auto" w:line="252"/>
              <w:jc w:val="center"/>
              <w:rPr>
                <w:sz w:val="24"/>
                <w:szCs w:val="24"/>
                <w:vertAlign w:val="superscript"/>
                <w:lang w:eastAsia="en-US"/>
              </w:rPr>
            </w:pPr>
            <w:r>
              <w:rPr>
                <w:sz w:val="24"/>
                <w:szCs w:val="24"/>
                <w:vertAlign w:val="superscript"/>
                <w:lang w:eastAsia="en-US"/>
              </w:rPr>
              <w:t>(расшифровка подписи)</w:t>
            </w:r>
          </w:p>
          <w:p>
            <w:pPr>
              <w:pStyle w:val="Normal"/>
              <w:widowControl w:val="false"/>
              <w:spacing w:lineRule="auto" w:line="252"/>
              <w:rPr>
                <w:sz w:val="24"/>
                <w:szCs w:val="24"/>
                <w:vertAlign w:val="superscript"/>
                <w:lang w:eastAsia="en-US"/>
              </w:rPr>
            </w:pPr>
            <w:r>
              <w:rPr>
                <w:sz w:val="24"/>
                <w:szCs w:val="24"/>
                <w:vertAlign w:val="superscript"/>
                <w:lang w:eastAsia="en-US"/>
              </w:rPr>
              <w:t>М..П.</w:t>
            </w:r>
          </w:p>
        </w:tc>
      </w:tr>
    </w:tbl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tbl>
      <w:tblPr>
        <w:tblW w:w="5000" w:type="pct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9921"/>
      </w:tblGrid>
      <w:tr>
        <w:trPr/>
        <w:tc>
          <w:tcPr>
            <w:tcW w:w="9921" w:type="dxa"/>
            <w:tcBorders>
              <w:top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конец формы</w:t>
            </w:r>
          </w:p>
        </w:tc>
      </w:tr>
    </w:tbl>
    <w:p>
      <w:pPr>
        <w:pStyle w:val="Normal"/>
        <w:keepNext w:val="true"/>
        <w:numPr>
          <w:ilvl w:val="0"/>
          <w:numId w:val="0"/>
        </w:numPr>
        <w:ind w:left="700" w:hanging="0"/>
        <w:jc w:val="right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br w:type="page"/>
      </w:r>
    </w:p>
    <w:p>
      <w:pPr>
        <w:pStyle w:val="Normal"/>
        <w:keepNext w:val="true"/>
        <w:numPr>
          <w:ilvl w:val="0"/>
          <w:numId w:val="0"/>
        </w:numPr>
        <w:ind w:left="6160" w:hanging="0"/>
        <w:jc w:val="right"/>
        <w:outlineLvl w:val="0"/>
        <w:rPr>
          <w:rFonts w:eastAsia="Calibri"/>
          <w:b/>
          <w:sz w:val="24"/>
          <w:szCs w:val="24"/>
        </w:rPr>
      </w:pPr>
      <w:bookmarkStart w:id="52" w:name="_Toc168671937"/>
      <w:bookmarkStart w:id="53" w:name="_Toc168597088"/>
      <w:bookmarkStart w:id="54" w:name="_Toc204680163"/>
      <w:r>
        <w:rPr>
          <w:rFonts w:eastAsia="Calibri"/>
          <w:b/>
          <w:sz w:val="24"/>
          <w:szCs w:val="24"/>
        </w:rPr>
        <w:t>Приложение № 3</w:t>
      </w:r>
      <w:bookmarkStart w:id="55" w:name="_Toc138867093"/>
      <w:bookmarkStart w:id="56" w:name="_Toc140673547"/>
      <w:bookmarkStart w:id="57" w:name="_Toc143774639"/>
      <w:r>
        <w:rPr>
          <w:rFonts w:eastAsia="Calibri"/>
          <w:b/>
          <w:sz w:val="24"/>
          <w:szCs w:val="24"/>
        </w:rPr>
        <w:br/>
        <w:t>к Техническим требованиям</w:t>
      </w:r>
      <w:bookmarkEnd w:id="52"/>
      <w:bookmarkEnd w:id="53"/>
      <w:bookmarkEnd w:id="54"/>
      <w:bookmarkEnd w:id="55"/>
      <w:bookmarkEnd w:id="56"/>
      <w:bookmarkEnd w:id="57"/>
    </w:p>
    <w:p>
      <w:pPr>
        <w:pStyle w:val="Normal"/>
        <w:widowControl w:val="false"/>
        <w:tabs>
          <w:tab w:val="clear" w:pos="720"/>
          <w:tab w:val="left" w:pos="426" w:leader="none"/>
        </w:tabs>
        <w:ind w:left="6160" w:hanging="700"/>
        <w:jc w:val="right"/>
        <w:rPr>
          <w:sz w:val="24"/>
        </w:rPr>
      </w:pPr>
      <w:r>
        <w:rPr>
          <w:sz w:val="24"/>
        </w:rPr>
      </w:r>
    </w:p>
    <w:tbl>
      <w:tblPr>
        <w:tblW w:w="9920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9920"/>
      </w:tblGrid>
      <w:tr>
        <w:trPr/>
        <w:tc>
          <w:tcPr>
            <w:tcW w:w="9920" w:type="dxa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Форма «Анкета Участника»</w:t>
            </w:r>
          </w:p>
          <w:p>
            <w:pPr>
              <w:pStyle w:val="Normal"/>
              <w:widowControl w:val="false"/>
              <w:spacing w:lineRule="auto" w:line="252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начало формы</w:t>
            </w:r>
          </w:p>
        </w:tc>
      </w:tr>
    </w:tbl>
    <w:p>
      <w:pPr>
        <w:pStyle w:val="Normal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tbl>
      <w:tblPr>
        <w:tblW w:w="513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700"/>
        <w:gridCol w:w="445"/>
        <w:gridCol w:w="1464"/>
        <w:gridCol w:w="1528"/>
      </w:tblGrid>
      <w:tr>
        <w:trPr/>
        <w:tc>
          <w:tcPr>
            <w:tcW w:w="5137" w:type="dxa"/>
            <w:gridSpan w:val="4"/>
            <w:tcBorders/>
          </w:tcPr>
          <w:p>
            <w:pPr>
              <w:pStyle w:val="Normal"/>
              <w:widowControl w:val="false"/>
              <w:spacing w:lineRule="auto" w:line="252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  <w:p>
            <w:pPr>
              <w:pStyle w:val="Normal"/>
              <w:widowControl w:val="false"/>
              <w:spacing w:lineRule="auto" w:line="252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Приложение № 2 к исходящему</w:t>
            </w:r>
          </w:p>
        </w:tc>
      </w:tr>
      <w:tr>
        <w:trPr/>
        <w:tc>
          <w:tcPr>
            <w:tcW w:w="1700" w:type="dxa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445" w:type="dxa"/>
            <w:tcBorders/>
          </w:tcPr>
          <w:p>
            <w:pPr>
              <w:pStyle w:val="Normal"/>
              <w:widowControl w:val="false"/>
              <w:spacing w:lineRule="auto" w:line="252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1464" w:type="dxa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1528" w:type="dxa"/>
            <w:tcBorders/>
          </w:tcPr>
          <w:p>
            <w:pPr>
              <w:pStyle w:val="Normal"/>
              <w:widowControl w:val="false"/>
              <w:spacing w:lineRule="auto" w:line="252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</w:tr>
    </w:tbl>
    <w:p>
      <w:pPr>
        <w:pStyle w:val="Normal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center"/>
        <w:rPr>
          <w:b/>
        </w:rPr>
      </w:pPr>
      <w:r>
        <w:rPr>
          <w:b/>
        </w:rPr>
        <w:t>Анкета Участника закупки</w:t>
      </w:r>
    </w:p>
    <w:p>
      <w:pPr>
        <w:pStyle w:val="Normal"/>
        <w:tabs>
          <w:tab w:val="clear" w:pos="720"/>
          <w:tab w:val="left" w:pos="5812" w:leader="none"/>
        </w:tabs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06"/>
        <w:gridCol w:w="4945"/>
        <w:gridCol w:w="4470"/>
      </w:tblGrid>
      <w:tr>
        <w:trPr>
          <w:tblHeader w:val="true"/>
          <w:trHeight w:val="240" w:hRule="atLeast"/>
          <w:cantSplit w:val="true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pacing w:lineRule="auto" w:line="252" w:before="60" w:after="60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№ </w:t>
            </w:r>
            <w:r>
              <w:rPr>
                <w:b/>
                <w:sz w:val="20"/>
                <w:szCs w:val="20"/>
                <w:lang w:eastAsia="en-US"/>
              </w:rPr>
              <w:t>п/п</w:t>
            </w: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pacing w:lineRule="auto" w:line="252" w:before="60" w:after="60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Наименование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pacing w:lineRule="auto" w:line="252" w:before="60" w:after="60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Сведения об Участнике </w:t>
              <w:br/>
            </w:r>
            <w:r>
              <w:rPr>
                <w:b/>
                <w:i/>
                <w:sz w:val="20"/>
                <w:szCs w:val="20"/>
                <w:shd w:fill="BFBFBF" w:val="clear"/>
                <w:lang w:eastAsia="en-US"/>
              </w:rPr>
              <w:t>(заполняется Участником)</w:t>
            </w:r>
          </w:p>
        </w:tc>
      </w:tr>
      <w:tr>
        <w:trPr>
          <w:cantSplit w:val="true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50"/>
              </w:numPr>
              <w:spacing w:lineRule="auto" w:line="252" w:before="60" w:after="60"/>
              <w:ind w:left="0" w:hanging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60" w:after="6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Полное наименование Участника с указанием организационно-правовой формы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60" w:after="6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</w:tr>
      <w:tr>
        <w:trPr>
          <w:cantSplit w:val="true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51"/>
              </w:numPr>
              <w:spacing w:lineRule="auto" w:line="252" w:before="60" w:after="60"/>
              <w:ind w:left="0" w:hanging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60" w:after="6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Сокращенное наименование Участника с указанием организационно-правовой формы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60" w:after="6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</w:tr>
      <w:tr>
        <w:trPr>
          <w:cantSplit w:val="true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52"/>
              </w:numPr>
              <w:spacing w:lineRule="auto" w:line="252" w:before="60" w:after="60"/>
              <w:ind w:left="0" w:hanging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60" w:after="6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Принадлежность к субъектам МСП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60" w:after="6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</w:tr>
      <w:tr>
        <w:trPr>
          <w:cantSplit w:val="true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53"/>
              </w:numPr>
              <w:spacing w:lineRule="auto" w:line="252" w:before="60" w:after="60"/>
              <w:ind w:left="0" w:hanging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60" w:after="6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Свидетельство о постановке на налоговый учет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60" w:after="6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</w:tr>
      <w:tr>
        <w:trPr>
          <w:cantSplit w:val="true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54"/>
              </w:numPr>
              <w:spacing w:lineRule="auto" w:line="252" w:before="60" w:after="60"/>
              <w:ind w:left="0" w:hanging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60" w:after="6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Орган, осуществляющий функции и полномочия учредителя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60" w:after="6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</w:tr>
      <w:tr>
        <w:trPr>
          <w:cantSplit w:val="true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55"/>
              </w:numPr>
              <w:spacing w:lineRule="auto" w:line="252" w:before="60" w:after="60"/>
              <w:ind w:left="0" w:hanging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60" w:after="6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Участника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60" w:after="6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</w:tr>
      <w:tr>
        <w:trPr>
          <w:cantSplit w:val="true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56"/>
              </w:numPr>
              <w:spacing w:lineRule="auto" w:line="252" w:before="60" w:after="60"/>
              <w:ind w:left="0" w:hanging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60" w:after="6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КПП Участника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60" w:after="6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</w:tr>
      <w:tr>
        <w:trPr>
          <w:cantSplit w:val="true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57"/>
              </w:numPr>
              <w:spacing w:lineRule="auto" w:line="252" w:before="60" w:after="60"/>
              <w:ind w:left="0" w:hanging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60" w:after="6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ОГРН Участника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60" w:after="6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</w:tr>
      <w:tr>
        <w:trPr>
          <w:cantSplit w:val="true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58"/>
              </w:numPr>
              <w:spacing w:lineRule="auto" w:line="252" w:before="60" w:after="60"/>
              <w:ind w:left="0" w:hanging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60" w:after="6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ОКПО Участника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60" w:after="6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</w:tr>
      <w:tr>
        <w:trPr>
          <w:cantSplit w:val="true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59"/>
              </w:numPr>
              <w:spacing w:lineRule="auto" w:line="252" w:before="60" w:after="60"/>
              <w:ind w:left="0" w:hanging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60" w:after="6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ОКТМО Участника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60" w:after="6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</w:tr>
      <w:tr>
        <w:trPr>
          <w:cantSplit w:val="true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60"/>
              </w:numPr>
              <w:spacing w:lineRule="auto" w:line="252" w:before="60" w:after="60"/>
              <w:ind w:left="0" w:hanging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60" w:after="6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Место нахождения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60" w:after="6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</w:tr>
      <w:tr>
        <w:trPr>
          <w:cantSplit w:val="true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61"/>
              </w:numPr>
              <w:spacing w:lineRule="auto" w:line="252" w:before="60" w:after="60"/>
              <w:ind w:left="0" w:hanging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60" w:after="6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Почтовый адрес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60" w:after="6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</w:tr>
      <w:tr>
        <w:trPr>
          <w:cantSplit w:val="true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62"/>
              </w:numPr>
              <w:spacing w:lineRule="auto" w:line="252" w:before="60" w:after="60"/>
              <w:ind w:left="0" w:hanging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60" w:after="6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Филиалы: перечислить наименования и почтовые адреса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60" w:after="6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</w:tr>
      <w:tr>
        <w:trPr>
          <w:cantSplit w:val="true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63"/>
              </w:numPr>
              <w:spacing w:lineRule="auto" w:line="252" w:before="60" w:after="60"/>
              <w:ind w:left="0" w:hanging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60" w:after="6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Банковские реквизиты (наименование и адрес банка, номер расчетного счета Участника в банке, телефоны банка, прочие банковские реквизиты)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60" w:after="6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</w:tr>
      <w:tr>
        <w:trPr>
          <w:cantSplit w:val="true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64"/>
              </w:numPr>
              <w:spacing w:lineRule="auto" w:line="252" w:before="60" w:after="60"/>
              <w:ind w:left="0" w:hanging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60" w:after="6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Телефоны Участника (с указанием кода города)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60" w:after="6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</w:tr>
      <w:tr>
        <w:trPr>
          <w:cantSplit w:val="true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65"/>
              </w:numPr>
              <w:spacing w:lineRule="auto" w:line="252" w:before="60" w:after="60"/>
              <w:ind w:left="0" w:hanging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60" w:after="6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Адрес электронной почты Участника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60" w:after="6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</w:tr>
      <w:tr>
        <w:trPr>
          <w:cantSplit w:val="true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66"/>
              </w:numPr>
              <w:spacing w:lineRule="auto" w:line="252" w:before="60" w:after="60"/>
              <w:ind w:left="0" w:hanging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60" w:after="6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Ф.И.О. руководителя Участника, имеющего право подписи согласно учредительным документам Участника, с указанием должности, контактного телефона 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60" w:after="6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</w:tr>
      <w:tr>
        <w:trPr>
          <w:cantSplit w:val="true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67"/>
              </w:numPr>
              <w:spacing w:lineRule="auto" w:line="252" w:before="60" w:after="60"/>
              <w:ind w:left="0" w:hanging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60" w:after="6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Ф.И.О. главного бухгалтера Участника или лица, исполняющего его функции, с указанием должности, контактного телефона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60" w:after="6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</w:tr>
      <w:tr>
        <w:trPr>
          <w:cantSplit w:val="true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68"/>
              </w:numPr>
              <w:spacing w:lineRule="auto" w:line="252" w:before="60" w:after="60"/>
              <w:ind w:left="0" w:hanging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60" w:after="6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Ф.И.О. ответственного лица Участника с указанием должности и контактного телефона, а также адреса электронной почты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60" w:after="6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</w:tr>
    </w:tbl>
    <w:p>
      <w:pPr>
        <w:pStyle w:val="Normal"/>
        <w:tabs>
          <w:tab w:val="clear" w:pos="720"/>
          <w:tab w:val="left" w:pos="5812" w:leader="none"/>
        </w:tabs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tabs>
          <w:tab w:val="clear" w:pos="720"/>
          <w:tab w:val="left" w:pos="5812" w:leader="none"/>
        </w:tabs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tbl>
      <w:tblPr>
        <w:tblW w:w="4581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2065"/>
        <w:gridCol w:w="2515"/>
      </w:tblGrid>
      <w:tr>
        <w:trPr>
          <w:trHeight w:val="164" w:hRule="atLeast"/>
        </w:trPr>
        <w:tc>
          <w:tcPr>
            <w:tcW w:w="4580" w:type="dxa"/>
            <w:gridSpan w:val="2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</w:tr>
      <w:tr>
        <w:trPr>
          <w:trHeight w:val="158" w:hRule="atLeast"/>
        </w:trPr>
        <w:tc>
          <w:tcPr>
            <w:tcW w:w="4580" w:type="dxa"/>
            <w:gridSpan w:val="2"/>
            <w:tcBorders>
              <w:top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vertAlign w:val="superscript"/>
                <w:lang w:eastAsia="en-US"/>
              </w:rPr>
              <w:t>(должность)</w:t>
            </w:r>
          </w:p>
        </w:tc>
      </w:tr>
      <w:tr>
        <w:trPr>
          <w:trHeight w:val="81" w:hRule="atLeast"/>
        </w:trPr>
        <w:tc>
          <w:tcPr>
            <w:tcW w:w="2065" w:type="dxa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2515" w:type="dxa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</w:tr>
      <w:tr>
        <w:trPr>
          <w:trHeight w:val="158" w:hRule="atLeast"/>
        </w:trPr>
        <w:tc>
          <w:tcPr>
            <w:tcW w:w="2065" w:type="dxa"/>
            <w:tcBorders>
              <w:top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/>
              <w:jc w:val="center"/>
              <w:rPr>
                <w:sz w:val="24"/>
                <w:szCs w:val="24"/>
                <w:vertAlign w:val="superscript"/>
                <w:lang w:eastAsia="en-US"/>
              </w:rPr>
            </w:pPr>
            <w:r>
              <w:rPr>
                <w:sz w:val="24"/>
                <w:szCs w:val="24"/>
                <w:vertAlign w:val="superscript"/>
                <w:lang w:eastAsia="en-US"/>
              </w:rPr>
              <w:t>(подпись)</w:t>
            </w:r>
          </w:p>
        </w:tc>
        <w:tc>
          <w:tcPr>
            <w:tcW w:w="2515" w:type="dxa"/>
            <w:tcBorders/>
          </w:tcPr>
          <w:p>
            <w:pPr>
              <w:pStyle w:val="Normal"/>
              <w:widowControl w:val="false"/>
              <w:spacing w:lineRule="auto" w:line="252"/>
              <w:jc w:val="center"/>
              <w:rPr>
                <w:sz w:val="24"/>
                <w:szCs w:val="24"/>
                <w:vertAlign w:val="superscript"/>
                <w:lang w:eastAsia="en-US"/>
              </w:rPr>
            </w:pPr>
            <w:r>
              <w:rPr>
                <w:sz w:val="24"/>
                <w:szCs w:val="24"/>
                <w:vertAlign w:val="superscript"/>
                <w:lang w:eastAsia="en-US"/>
              </w:rPr>
              <w:t>(расшифровка подписи)</w:t>
            </w:r>
          </w:p>
        </w:tc>
      </w:tr>
      <w:tr>
        <w:trPr>
          <w:trHeight w:val="164" w:hRule="atLeast"/>
        </w:trPr>
        <w:tc>
          <w:tcPr>
            <w:tcW w:w="4580" w:type="dxa"/>
            <w:gridSpan w:val="2"/>
            <w:tcBorders/>
          </w:tcPr>
          <w:p>
            <w:pPr>
              <w:pStyle w:val="Normal"/>
              <w:widowControl w:val="false"/>
              <w:spacing w:lineRule="auto" w:line="252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М.П.</w:t>
            </w:r>
          </w:p>
        </w:tc>
      </w:tr>
    </w:tbl>
    <w:p>
      <w:pPr>
        <w:pStyle w:val="Normal"/>
        <w:tabs>
          <w:tab w:val="clear" w:pos="720"/>
          <w:tab w:val="left" w:pos="9781" w:leader="none"/>
        </w:tabs>
        <w:rPr>
          <w:sz w:val="24"/>
          <w:szCs w:val="24"/>
        </w:rPr>
      </w:pPr>
      <w:r>
        <w:rPr>
          <w:sz w:val="24"/>
          <w:szCs w:val="24"/>
        </w:rPr>
      </w:r>
    </w:p>
    <w:tbl>
      <w:tblPr>
        <w:tblStyle w:val="210"/>
        <w:tblW w:w="5000" w:type="pct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9921"/>
      </w:tblGrid>
      <w:tr>
        <w:trPr/>
        <w:tc>
          <w:tcPr>
            <w:tcW w:w="9921" w:type="dxa"/>
            <w:tcBorders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9781" w:leader="none"/>
              </w:tabs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en-US" w:bidi="ar-SA"/>
              </w:rPr>
              <w:t>конец формы</w:t>
            </w:r>
          </w:p>
        </w:tc>
      </w:tr>
    </w:tbl>
    <w:p>
      <w:pPr>
        <w:pStyle w:val="Normal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rPr>
          <w:b/>
          <w:sz w:val="24"/>
          <w:szCs w:val="24"/>
        </w:rPr>
      </w:pPr>
      <w:r>
        <w:rPr/>
      </w:r>
    </w:p>
    <w:sectPr>
      <w:headerReference w:type="default" r:id="rId7"/>
      <w:headerReference w:type="first" r:id="rId8"/>
      <w:footnotePr>
        <w:numFmt w:val="decimal"/>
      </w:footnotePr>
      <w:type w:val="nextPage"/>
      <w:pgSz w:w="11906" w:h="16838"/>
      <w:pgMar w:left="1134" w:right="851" w:gutter="0" w:header="680" w:top="1134" w:footer="0" w:bottom="992"/>
      <w:pgNumType w:fmt="decimal"/>
      <w:formProt w:val="false"/>
      <w:titlePg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Roboto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FootnoteText"/>
        <w:widowControl w:val="false"/>
        <w:jc w:val="both"/>
        <w:rPr/>
      </w:pPr>
      <w:r>
        <w:rPr>
          <w:rStyle w:val="Style"/>
        </w:rPr>
        <w:footnoteRef/>
      </w:r>
      <w:r>
        <w:rPr/>
        <w:t>В соответствии с Положением о Филиале ПАО «РусГидро» - «КорУнГ» основной деятельностью, которого является осуществление образовательных функций в части проведения программ повышения квалификации и профессиональной переподготовки кадров юридических лиц любой формы собственности, физических лиц, функции обучения, других видов поддержки и развития персонала Группы РусГидро, а также профессионализации детей и молодежи.</w:t>
      </w:r>
    </w:p>
  </w:footnote>
</w:footnote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0" distT="0" distB="0" distL="0" distR="0" simplePos="0" locked="0" layoutInCell="0" allowOverlap="1" relativeHeight="2" wp14:anchorId="35D96727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 wp14:anchorId="35D96727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4</w:t>
    </w:r>
    <w:r>
      <w:rPr/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10</w:t>
    </w:r>
    <w:r>
      <w:rPr/>
      <w:fldChar w:fldCharType="end"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15</w:t>
    </w:r>
    <w:r>
      <w:rPr/>
      <w:fldChar w:fldCharType="end"/>
    </w:r>
  </w:p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2">
    <w:lvl w:ilvl="0">
      <w:start w:val="4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</w:abstractNum>
  <w:abstractNum w:abstractNumId="5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6"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2">
      <w:start w:val="2"/>
      <w:numFmt w:val="decimal"/>
      <w:lvlText w:val="%1.%2.%3"/>
      <w:lvlJc w:val="left"/>
      <w:pPr>
        <w:tabs>
          <w:tab w:val="num" w:pos="1440"/>
        </w:tabs>
        <w:ind w:left="1440" w:hanging="360"/>
      </w:pPr>
      <w:rPr>
        <w:b/>
        <w:bCs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360"/>
      </w:pPr>
      <w:rPr>
        <w:b/>
        <w:bCs/>
      </w:rPr>
    </w:lvl>
    <w:lvl w:ilvl="4">
      <w:start w:val="1"/>
      <w:numFmt w:val="decimal"/>
      <w:lvlText w:val="%1.%2.%3.%4.%5"/>
      <w:lvlJc w:val="left"/>
      <w:pPr>
        <w:tabs>
          <w:tab w:val="num" w:pos="2160"/>
        </w:tabs>
        <w:ind w:left="2160" w:hanging="360"/>
      </w:pPr>
      <w:rPr>
        <w:b/>
        <w:bCs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736" w:hanging="936"/>
      </w:pPr>
      <w:rPr>
        <w:b/>
        <w:bCs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240" w:hanging="1080"/>
      </w:pPr>
      <w:rPr>
        <w:b/>
        <w:bCs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3744" w:hanging="1224"/>
      </w:pPr>
      <w:rPr>
        <w:b/>
        <w:bCs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4320" w:hanging="1440"/>
      </w:pPr>
      <w:rPr>
        <w:b/>
        <w:bCs/>
      </w:rPr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9"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sz w:val="24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0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11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12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13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14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15">
    <w:lvl w:ilvl="0">
      <w:start w:val="1"/>
      <w:numFmt w:val="decimal"/>
      <w:lvlText w:val="%1."/>
      <w:lvlJc w:val="left"/>
      <w:pPr>
        <w:tabs>
          <w:tab w:val="num" w:pos="857"/>
        </w:tabs>
        <w:ind w:left="1637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94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10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0" w:hanging="180"/>
      </w:pPr>
      <w:rPr/>
    </w:lvl>
  </w:abstractNum>
  <w:abstractNum w:abstractNumId="16">
    <w:lvl w:ilvl="0">
      <w:start w:val="1"/>
      <w:numFmt w:val="decimal"/>
      <w:lvlText w:val="%1."/>
      <w:lvlJc w:val="left"/>
      <w:pPr>
        <w:tabs>
          <w:tab w:val="num" w:pos="857"/>
        </w:tabs>
        <w:ind w:left="1637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94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10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0" w:hanging="180"/>
      </w:pPr>
      <w:rPr/>
    </w:lvl>
  </w:abstractNum>
  <w:abstractNum w:abstractNumId="17">
    <w:lvl w:ilvl="0">
      <w:start w:val="1"/>
      <w:numFmt w:val="decimal"/>
      <w:lvlText w:val="%1."/>
      <w:lvlJc w:val="left"/>
      <w:pPr>
        <w:tabs>
          <w:tab w:val="num" w:pos="857"/>
        </w:tabs>
        <w:ind w:left="1637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94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10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0" w:hanging="180"/>
      </w:pPr>
      <w:rPr/>
    </w:lvl>
  </w:abstractNum>
  <w:abstractNum w:abstractNumId="18">
    <w:lvl w:ilvl="0">
      <w:start w:val="1"/>
      <w:numFmt w:val="decimal"/>
      <w:lvlText w:val="%1."/>
      <w:lvlJc w:val="left"/>
      <w:pPr>
        <w:tabs>
          <w:tab w:val="num" w:pos="857"/>
        </w:tabs>
        <w:ind w:left="1637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94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10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0" w:hanging="180"/>
      </w:pPr>
      <w:rPr/>
    </w:lvl>
  </w:abstractNum>
  <w:abstractNum w:abstractNumId="19"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0"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21"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22"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23"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24"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25"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26"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27"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28"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29"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0"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1"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2"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3"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4"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5"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6"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7"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8"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9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10"/>
    <w:lvlOverride w:ilvl="0">
      <w:startOverride w:val="1"/>
    </w:lvlOverride>
  </w:num>
  <w:num w:numId="41">
    <w:abstractNumId w:val="10"/>
  </w:num>
  <w:num w:numId="42">
    <w:abstractNumId w:val="10"/>
  </w:num>
  <w:num w:numId="43">
    <w:abstractNumId w:val="10"/>
  </w:num>
  <w:num w:numId="44">
    <w:abstractNumId w:val="10"/>
  </w:num>
  <w:num w:numId="45">
    <w:abstractNumId w:val="15"/>
    <w:lvlOverride w:ilvl="0">
      <w:startOverride w:val="1"/>
    </w:lvlOverride>
  </w:num>
  <w:num w:numId="46">
    <w:abstractNumId w:val="15"/>
  </w:num>
  <w:num w:numId="47">
    <w:abstractNumId w:val="15"/>
    <w:lvlOverride w:ilvl="0">
      <w:startOverride w:val="1"/>
    </w:lvlOverride>
  </w:num>
  <w:num w:numId="48">
    <w:abstractNumId w:val="15"/>
  </w:num>
  <w:num w:numId="49">
    <w:abstractNumId w:val="19"/>
    <w:lvlOverride w:ilvl="0">
      <w:startOverride w:val="1"/>
    </w:lvlOverride>
  </w:num>
  <w:num w:numId="50">
    <w:abstractNumId w:val="20"/>
    <w:lvlOverride w:ilvl="0">
      <w:startOverride w:val="1"/>
    </w:lvlOverride>
  </w:num>
  <w:num w:numId="51">
    <w:abstractNumId w:val="20"/>
  </w:num>
  <w:num w:numId="52">
    <w:abstractNumId w:val="20"/>
  </w:num>
  <w:num w:numId="53">
    <w:abstractNumId w:val="20"/>
  </w:num>
  <w:num w:numId="54">
    <w:abstractNumId w:val="20"/>
  </w:num>
  <w:num w:numId="55">
    <w:abstractNumId w:val="20"/>
  </w:num>
  <w:num w:numId="56">
    <w:abstractNumId w:val="20"/>
  </w:num>
  <w:num w:numId="57">
    <w:abstractNumId w:val="20"/>
  </w:num>
  <w:num w:numId="58">
    <w:abstractNumId w:val="20"/>
  </w:num>
  <w:num w:numId="59">
    <w:abstractNumId w:val="20"/>
  </w:num>
  <w:num w:numId="60">
    <w:abstractNumId w:val="20"/>
  </w:num>
  <w:num w:numId="61">
    <w:abstractNumId w:val="20"/>
  </w:num>
  <w:num w:numId="62">
    <w:abstractNumId w:val="20"/>
  </w:num>
  <w:num w:numId="63">
    <w:abstractNumId w:val="20"/>
  </w:num>
  <w:num w:numId="64">
    <w:abstractNumId w:val="20"/>
  </w:num>
  <w:num w:numId="65">
    <w:abstractNumId w:val="20"/>
  </w:num>
  <w:num w:numId="66">
    <w:abstractNumId w:val="20"/>
  </w:num>
  <w:num w:numId="67">
    <w:abstractNumId w:val="20"/>
  </w:num>
  <w:num w:numId="68">
    <w:abstractNumId w:val="20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footnotePr>
    <w:numFmt w:val="decimal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zh-TW" w:bidi="ar-SA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uiPriority="99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a2166f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next w:val="Normal"/>
    <w:link w:val="1"/>
    <w:qFormat/>
    <w:rsid w:val="00353a27"/>
    <w:pPr>
      <w:numPr>
        <w:ilvl w:val="0"/>
      </w:numPr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rsid w:val="00ea61a8"/>
    <w:pPr>
      <w:outlineLvl w:val="1"/>
    </w:pPr>
    <w:rPr/>
  </w:style>
  <w:style w:type="paragraph" w:styleId="Heading3">
    <w:name w:val="Heading 3"/>
    <w:basedOn w:val="Normal"/>
    <w:next w:val="Normal"/>
    <w:link w:val="3"/>
    <w:autoRedefine/>
    <w:qFormat/>
    <w:rsid w:val="00035e96"/>
    <w:pPr>
      <w:keepNext w:val="true"/>
      <w:numPr>
        <w:ilvl w:val="2"/>
        <w:numId w:val="3"/>
      </w:numPr>
      <w:spacing w:before="120" w:after="60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rsid w:val="006629c9"/>
    <w:pPr>
      <w:numPr>
        <w:ilvl w:val="0"/>
        <w:numId w:val="0"/>
      </w:numPr>
      <w:tabs>
        <w:tab w:val="clear" w:pos="720"/>
        <w:tab w:val="left" w:pos="0" w:leader="none"/>
      </w:tabs>
      <w:ind w:left="432" w:hanging="432"/>
      <w:outlineLvl w:val="3"/>
    </w:pPr>
    <w:rPr>
      <w:bCs/>
    </w:rPr>
  </w:style>
  <w:style w:type="paragraph" w:styleId="Heading5">
    <w:name w:val="Heading 5"/>
    <w:basedOn w:val="Normal"/>
    <w:next w:val="Normal"/>
    <w:link w:val="5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uiPriority w:val="9"/>
    <w:qFormat/>
    <w:rsid w:val="00d22f6d"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uiPriority w:val="9"/>
    <w:qFormat/>
    <w:rsid w:val="00d22f6d"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uiPriority w:val="9"/>
    <w:qFormat/>
    <w:rsid w:val="00d22f6d"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" w:customStyle="1">
    <w:name w:val="Символ сноски"/>
    <w:qFormat/>
    <w:rsid w:val="00d561d9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Pagenumber">
    <w:name w:val="page number"/>
    <w:basedOn w:val="DefaultParagraphFont"/>
    <w:qFormat/>
    <w:rsid w:val="006c2f3f"/>
    <w:rPr/>
  </w:style>
  <w:style w:type="character" w:styleId="Hyperlink">
    <w:name w:val="Hyperlink"/>
    <w:uiPriority w:val="99"/>
    <w:rsid w:val="006c2f3f"/>
    <w:rPr>
      <w:color w:val="0000FF"/>
      <w:u w:val="single"/>
    </w:rPr>
  </w:style>
  <w:style w:type="character" w:styleId="Annotationreference">
    <w:name w:val="annotation reference"/>
    <w:semiHidden/>
    <w:qFormat/>
    <w:rsid w:val="00b714b0"/>
    <w:rPr>
      <w:sz w:val="16"/>
      <w:szCs w:val="16"/>
    </w:rPr>
  </w:style>
  <w:style w:type="character" w:styleId="Strong1" w:customStyle="1">
    <w:name w:val="Strong1"/>
    <w:uiPriority w:val="22"/>
    <w:qFormat/>
    <w:rsid w:val="00165965"/>
    <w:rPr>
      <w:b/>
      <w:bCs/>
    </w:rPr>
  </w:style>
  <w:style w:type="character" w:styleId="6" w:customStyle="1">
    <w:name w:val="Заголовок 6 Знак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styleId="7" w:customStyle="1">
    <w:name w:val="Заголовок 7 Знак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styleId="8" w:customStyle="1">
    <w:name w:val="Заголовок 8 Знак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styleId="1" w:customStyle="1">
    <w:name w:val="Заголовок 1 Знак"/>
    <w:qFormat/>
    <w:rsid w:val="00353a27"/>
    <w:rPr>
      <w:rFonts w:eastAsia="Calibri"/>
      <w:b/>
      <w:sz w:val="28"/>
      <w:szCs w:val="28"/>
      <w:lang w:val="x-none" w:eastAsia="x-none"/>
    </w:rPr>
  </w:style>
  <w:style w:type="character" w:styleId="2" w:customStyle="1">
    <w:name w:val="Заголовок 2 Знак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styleId="3" w:customStyle="1">
    <w:name w:val="Заголовок 3 Знак"/>
    <w:qFormat/>
    <w:rsid w:val="00035e96"/>
    <w:rPr>
      <w:rFonts w:eastAsia="Calibri"/>
      <w:b/>
      <w:sz w:val="24"/>
      <w:szCs w:val="24"/>
      <w:lang w:val="x-none" w:eastAsia="x-none"/>
    </w:rPr>
  </w:style>
  <w:style w:type="character" w:styleId="4" w:customStyle="1">
    <w:name w:val="Заголовок 4 Знак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styleId="5" w:customStyle="1">
    <w:name w:val="Заголовок 5 Знак"/>
    <w:uiPriority w:val="9"/>
    <w:qFormat/>
    <w:rsid w:val="00d22f6d"/>
    <w:rPr>
      <w:b/>
      <w:bCs/>
      <w:i/>
      <w:iCs/>
      <w:sz w:val="26"/>
      <w:szCs w:val="26"/>
    </w:rPr>
  </w:style>
  <w:style w:type="character" w:styleId="9" w:customStyle="1">
    <w:name w:val="Заголовок 9 Знак"/>
    <w:uiPriority w:val="9"/>
    <w:qFormat/>
    <w:rsid w:val="00d22f6d"/>
    <w:rPr>
      <w:rFonts w:ascii="Arial" w:hAnsi="Arial" w:cs="Arial"/>
      <w:sz w:val="22"/>
      <w:szCs w:val="22"/>
    </w:rPr>
  </w:style>
  <w:style w:type="character" w:styleId="Style1" w:customStyle="1">
    <w:name w:val="Название Знак"/>
    <w:link w:val="14"/>
    <w:uiPriority w:val="10"/>
    <w:qFormat/>
    <w:rsid w:val="00d22f6d"/>
    <w:rPr>
      <w:sz w:val="28"/>
    </w:rPr>
  </w:style>
  <w:style w:type="character" w:styleId="Style2" w:customStyle="1">
    <w:name w:val="Подзаголовок Знак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uiPriority w:val="20"/>
    <w:qFormat/>
    <w:rsid w:val="00d22f6d"/>
    <w:rPr>
      <w:i/>
      <w:iCs/>
    </w:rPr>
  </w:style>
  <w:style w:type="character" w:styleId="21" w:customStyle="1">
    <w:name w:val="Цитата 2 Знак"/>
    <w:link w:val="Quote"/>
    <w:uiPriority w:val="29"/>
    <w:qFormat/>
    <w:rsid w:val="00d22f6d"/>
    <w:rPr>
      <w:rFonts w:ascii="Calibri" w:hAnsi="Calibri" w:eastAsia="Calibri"/>
      <w:i/>
      <w:iCs/>
      <w:color w:val="000000"/>
      <w:lang w:val="x-none" w:eastAsia="x-none"/>
    </w:rPr>
  </w:style>
  <w:style w:type="character" w:styleId="Style3" w:customStyle="1">
    <w:name w:val="Выделенная цитата Знак"/>
    <w:link w:val="IntenseQuote"/>
    <w:uiPriority w:val="30"/>
    <w:qFormat/>
    <w:rsid w:val="00d22f6d"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uiPriority w:val="19"/>
    <w:qFormat/>
    <w:rsid w:val="00d22f6d"/>
    <w:rPr>
      <w:i/>
      <w:iCs/>
      <w:color w:val="808080"/>
    </w:rPr>
  </w:style>
  <w:style w:type="character" w:styleId="IntenseEmphasis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d22f6d"/>
    <w:rPr>
      <w:b/>
      <w:bCs/>
      <w:smallCaps/>
      <w:spacing w:val="5"/>
    </w:rPr>
  </w:style>
  <w:style w:type="character" w:styleId="Style4" w:customStyle="1">
    <w:name w:val="Электронная подпись Знак"/>
    <w:link w:val="E-mailSignature"/>
    <w:uiPriority w:val="99"/>
    <w:qFormat/>
    <w:rsid w:val="00d22f6d"/>
    <w:rPr>
      <w:rFonts w:eastAsia="Calibri"/>
      <w:sz w:val="24"/>
      <w:szCs w:val="24"/>
    </w:rPr>
  </w:style>
  <w:style w:type="character" w:styleId="11" w:customStyle="1">
    <w:name w:val="Подпункт Знак1"/>
    <w:link w:val="Style22"/>
    <w:qFormat/>
    <w:locked/>
    <w:rsid w:val="00d22f6d"/>
    <w:rPr>
      <w:sz w:val="28"/>
    </w:rPr>
  </w:style>
  <w:style w:type="character" w:styleId="Style5" w:customStyle="1">
    <w:name w:val="Текст сноски Знак"/>
    <w:qFormat/>
    <w:rsid w:val="00d22f6d"/>
    <w:rPr/>
  </w:style>
  <w:style w:type="character" w:styleId="Style6" w:customStyle="1">
    <w:name w:val="Основной текст Знак"/>
    <w:qFormat/>
    <w:rsid w:val="004459a5"/>
    <w:rPr>
      <w:sz w:val="28"/>
      <w:szCs w:val="28"/>
    </w:rPr>
  </w:style>
  <w:style w:type="character" w:styleId="Blk" w:customStyle="1">
    <w:name w:val="blk"/>
    <w:qFormat/>
    <w:rsid w:val="00431ace"/>
    <w:rPr/>
  </w:style>
  <w:style w:type="character" w:styleId="Style7" w:customStyle="1">
    <w:name w:val="Абзац списка Знак"/>
    <w:link w:val="ListParagraph"/>
    <w:uiPriority w:val="34"/>
    <w:qFormat/>
    <w:locked/>
    <w:rsid w:val="00310eb4"/>
    <w:rPr>
      <w:rFonts w:eastAsia="Calibri"/>
      <w:sz w:val="24"/>
      <w:szCs w:val="24"/>
    </w:rPr>
  </w:style>
  <w:style w:type="character" w:styleId="Style8" w:customStyle="1">
    <w:name w:val="комментарий"/>
    <w:qFormat/>
    <w:rsid w:val="0025139e"/>
    <w:rPr>
      <w:b/>
      <w:i/>
      <w:shd w:fill="FFFF99" w:val="clear"/>
    </w:rPr>
  </w:style>
  <w:style w:type="character" w:styleId="Style9" w:customStyle="1">
    <w:name w:val="Подподпункт Знак"/>
    <w:link w:val="Style30"/>
    <w:qFormat/>
    <w:locked/>
    <w:rsid w:val="0025139e"/>
    <w:rPr>
      <w:sz w:val="26"/>
      <w:szCs w:val="26"/>
    </w:rPr>
  </w:style>
  <w:style w:type="character" w:styleId="31" w:customStyle="1">
    <w:name w:val="УРОВЕНЬ_Абзац_тип3 Знак"/>
    <w:link w:val="35"/>
    <w:qFormat/>
    <w:rsid w:val="00b56f46"/>
    <w:rPr>
      <w:rFonts w:eastAsia="Calibri"/>
      <w:sz w:val="26"/>
      <w:szCs w:val="28"/>
      <w:lang w:eastAsia="en-US"/>
    </w:rPr>
  </w:style>
  <w:style w:type="character" w:styleId="Style10" w:customStyle="1">
    <w:name w:val="Верхний колонтитул Знак"/>
    <w:uiPriority w:val="99"/>
    <w:qFormat/>
    <w:rsid w:val="002f31af"/>
    <w:rPr>
      <w:sz w:val="24"/>
      <w:szCs w:val="24"/>
    </w:rPr>
  </w:style>
  <w:style w:type="character" w:styleId="Style11" w:customStyle="1">
    <w:name w:val="Текст примечания Знак"/>
    <w:link w:val="Annotationtext"/>
    <w:semiHidden/>
    <w:qFormat/>
    <w:rsid w:val="00dc0f7d"/>
    <w:rPr/>
  </w:style>
  <w:style w:type="character" w:styleId="Style12" w:customStyle="1">
    <w:name w:val="Текст концевой сноски Знак"/>
    <w:basedOn w:val="DefaultParagraphFont"/>
    <w:qFormat/>
    <w:rsid w:val="003879d4"/>
    <w:rPr/>
  </w:style>
  <w:style w:type="character" w:styleId="Style13" w:customStyle="1">
    <w:name w:val="Символ концевой сноски"/>
    <w:qFormat/>
    <w:rsid w:val="003879d4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22" w:customStyle="1">
    <w:name w:val="Пункт2 Знак"/>
    <w:link w:val="24"/>
    <w:qFormat/>
    <w:rsid w:val="00de52bc"/>
    <w:rPr>
      <w:b/>
      <w:sz w:val="28"/>
    </w:rPr>
  </w:style>
  <w:style w:type="character" w:styleId="12" w:customStyle="1">
    <w:name w:val="УРОВЕНЬ_1. Знак"/>
    <w:link w:val="18"/>
    <w:qFormat/>
    <w:rsid w:val="004a17ae"/>
    <w:rPr>
      <w:rFonts w:eastAsia="Calibri"/>
      <w:caps/>
      <w:sz w:val="28"/>
      <w:szCs w:val="28"/>
      <w:lang w:eastAsia="en-US"/>
    </w:rPr>
  </w:style>
  <w:style w:type="character" w:styleId="Style14" w:customStyle="1">
    <w:name w:val="Ссылка указателя"/>
    <w:qFormat/>
    <w:rPr/>
  </w:style>
  <w:style w:type="character" w:styleId="Strong">
    <w:name w:val="Strong"/>
    <w:qFormat/>
    <w:rPr>
      <w:b/>
      <w:bCs/>
    </w:rPr>
  </w:style>
  <w:style w:type="character" w:styleId="Style15" w:customStyle="1">
    <w:name w:val="Символ нумерации"/>
    <w:qFormat/>
    <w:rPr>
      <w:b/>
      <w:bCs/>
    </w:rPr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Arial Unicode MS"/>
      <w:sz w:val="28"/>
      <w:szCs w:val="28"/>
    </w:rPr>
  </w:style>
  <w:style w:type="paragraph" w:styleId="BodyText">
    <w:name w:val="Body Text"/>
    <w:basedOn w:val="Normal"/>
    <w:link w:val="Style6"/>
    <w:rsid w:val="0076353a"/>
    <w:pPr>
      <w:spacing w:before="0" w:after="120"/>
    </w:pPr>
    <w:rPr/>
  </w:style>
  <w:style w:type="paragraph" w:styleId="List">
    <w:name w:val="List"/>
    <w:basedOn w:val="BodyText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Arial Unicode MS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Arial Unicode MS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exheading1">
    <w:name w:val="index heading1"/>
    <w:basedOn w:val="Title"/>
    <w:qFormat/>
    <w:pPr/>
    <w:rPr/>
  </w:style>
  <w:style w:type="paragraph" w:styleId="Style18" w:customStyle="1">
    <w:name w:val="Название раздела инструкции"/>
    <w:basedOn w:val="Normal"/>
    <w:autoRedefine/>
    <w:qFormat/>
    <w:rsid w:val="00275328"/>
    <w:pPr>
      <w:jc w:val="center"/>
    </w:pPr>
    <w:rPr>
      <w:b/>
    </w:rPr>
  </w:style>
  <w:style w:type="paragraph" w:styleId="Style19" w:customStyle="1">
    <w:name w:val="Раздел положения"/>
    <w:basedOn w:val="Normal"/>
    <w:autoRedefine/>
    <w:qFormat/>
    <w:rsid w:val="007475ee"/>
    <w:pPr>
      <w:numPr>
        <w:ilvl w:val="0"/>
        <w:numId w:val="1"/>
      </w:numPr>
      <w:spacing w:before="80" w:after="80"/>
      <w:jc w:val="center"/>
    </w:pPr>
    <w:rPr>
      <w:b/>
      <w:sz w:val="32"/>
      <w:szCs w:val="32"/>
    </w:rPr>
  </w:style>
  <w:style w:type="paragraph" w:styleId="Style20" w:customStyle="1">
    <w:name w:val="Подраздел раздела положения"/>
    <w:basedOn w:val="Normal"/>
    <w:autoRedefine/>
    <w:qFormat/>
    <w:rsid w:val="007475ee"/>
    <w:pPr>
      <w:numPr>
        <w:ilvl w:val="1"/>
        <w:numId w:val="1"/>
      </w:numPr>
      <w:spacing w:before="80" w:after="80"/>
      <w:jc w:val="both"/>
    </w:pPr>
    <w:rPr/>
  </w:style>
  <w:style w:type="paragraph" w:styleId="FootnoteText">
    <w:name w:val="Footnote Text"/>
    <w:basedOn w:val="Normal"/>
    <w:link w:val="Style5"/>
    <w:rsid w:val="00d561d9"/>
    <w:pPr/>
    <w:rPr>
      <w:sz w:val="20"/>
      <w:szCs w:val="20"/>
    </w:rPr>
  </w:style>
  <w:style w:type="paragraph" w:styleId="13" w:customStyle="1">
    <w:name w:val="Шапка 1"/>
    <w:basedOn w:val="Normal"/>
    <w:qFormat/>
    <w:rsid w:val="00d561d9"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23" w:customStyle="1">
    <w:name w:val="Шапка 2"/>
    <w:basedOn w:val="Normal"/>
    <w:qFormat/>
    <w:rsid w:val="00d561d9"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2" w:customStyle="1">
    <w:name w:val="Шапка 3"/>
    <w:basedOn w:val="Normal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4" w:customStyle="1">
    <w:name w:val="Название1"/>
    <w:basedOn w:val="Normal"/>
    <w:link w:val="Style1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Style21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10"/>
    <w:uiPriority w:val="99"/>
    <w:rsid w:val="0076353a"/>
    <w:pPr>
      <w:tabs>
        <w:tab w:val="clear" w:pos="720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BodyTextIndent">
    <w:name w:val="Body Text Indent"/>
    <w:basedOn w:val="Normal"/>
    <w:rsid w:val="0076353a"/>
    <w:pPr>
      <w:ind w:left="360" w:hanging="0"/>
    </w:pPr>
    <w:rPr>
      <w:sz w:val="24"/>
      <w:szCs w:val="24"/>
    </w:rPr>
  </w:style>
  <w:style w:type="paragraph" w:styleId="Footer">
    <w:name w:val="Footer"/>
    <w:basedOn w:val="Normal"/>
    <w:rsid w:val="0076353a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rsid w:val="0076353a"/>
    <w:pPr>
      <w:spacing w:lineRule="auto" w:line="480" w:before="0" w:after="120"/>
      <w:ind w:left="283" w:hanging="0"/>
    </w:pPr>
    <w:rPr/>
  </w:style>
  <w:style w:type="paragraph" w:styleId="BodyText3">
    <w:name w:val="Body Text 3"/>
    <w:basedOn w:val="Normal"/>
    <w:qFormat/>
    <w:rsid w:val="0076353a"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qFormat/>
    <w:rsid w:val="0076353a"/>
    <w:pPr>
      <w:spacing w:before="0" w:after="120"/>
      <w:ind w:left="283" w:hanging="0"/>
    </w:pPr>
    <w:rPr>
      <w:sz w:val="16"/>
      <w:szCs w:val="16"/>
    </w:rPr>
  </w:style>
  <w:style w:type="paragraph" w:styleId="BodyText2">
    <w:name w:val="Body Text 2"/>
    <w:basedOn w:val="Normal"/>
    <w:qFormat/>
    <w:rsid w:val="0076353a"/>
    <w:pPr>
      <w:spacing w:lineRule="auto" w:line="480" w:before="0" w:after="120"/>
    </w:pPr>
    <w:rPr/>
  </w:style>
  <w:style w:type="paragraph" w:styleId="BlockText">
    <w:name w:val="Block Text"/>
    <w:basedOn w:val="Normal"/>
    <w:qFormat/>
    <w:rsid w:val="0076353a"/>
    <w:pPr>
      <w:ind w:left="-567" w:right="-766" w:hanging="0"/>
      <w:jc w:val="center"/>
    </w:pPr>
    <w:rPr>
      <w:b/>
      <w:bCs/>
      <w:sz w:val="24"/>
      <w:szCs w:val="20"/>
    </w:rPr>
  </w:style>
  <w:style w:type="paragraph" w:styleId="Style22" w:customStyle="1">
    <w:name w:val="Подпункт"/>
    <w:basedOn w:val="Normal"/>
    <w:link w:val="11"/>
    <w:qFormat/>
    <w:rsid w:val="0076353a"/>
    <w:pPr>
      <w:tabs>
        <w:tab w:val="clear" w:pos="720"/>
        <w:tab w:val="left" w:pos="1134" w:leader="none"/>
      </w:tabs>
      <w:snapToGrid w:val="false"/>
      <w:spacing w:lineRule="auto" w:line="360"/>
      <w:ind w:left="1134" w:hanging="1134"/>
      <w:jc w:val="both"/>
    </w:pPr>
    <w:rPr>
      <w:szCs w:val="20"/>
      <w:lang w:val="x-none" w:eastAsia="x-none"/>
    </w:rPr>
  </w:style>
  <w:style w:type="paragraph" w:styleId="24" w:customStyle="1">
    <w:name w:val="Пункт2"/>
    <w:basedOn w:val="Normal"/>
    <w:link w:val="22"/>
    <w:qFormat/>
    <w:rsid w:val="0076353a"/>
    <w:pPr>
      <w:keepNext w:val="true"/>
      <w:tabs>
        <w:tab w:val="clear" w:pos="720"/>
        <w:tab w:val="left" w:pos="1134" w:leader="none"/>
      </w:tabs>
      <w:snapToGrid w:val="false"/>
      <w:spacing w:before="240" w:after="120"/>
      <w:ind w:left="1134" w:hanging="1134"/>
      <w:outlineLvl w:val="2"/>
    </w:pPr>
    <w:rPr>
      <w:b/>
      <w:szCs w:val="20"/>
    </w:rPr>
  </w:style>
  <w:style w:type="paragraph" w:styleId="TOC1">
    <w:name w:val="TOC 1"/>
    <w:basedOn w:val="Normal"/>
    <w:next w:val="Normal"/>
    <w:autoRedefine/>
    <w:uiPriority w:val="39"/>
    <w:rsid w:val="00c517de"/>
    <w:pPr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TOC3">
    <w:name w:val="TOC 3"/>
    <w:basedOn w:val="Normal"/>
    <w:next w:val="Normal"/>
    <w:autoRedefine/>
    <w:uiPriority w:val="39"/>
    <w:rsid w:val="003405e4"/>
    <w:pPr>
      <w:tabs>
        <w:tab w:val="clear" w:pos="720"/>
        <w:tab w:val="left" w:pos="1120" w:leader="none"/>
        <w:tab w:val="right" w:pos="9911" w:leader="dot"/>
      </w:tabs>
      <w:ind w:left="567" w:hanging="0"/>
    </w:pPr>
    <w:rPr>
      <w:rFonts w:cs="Calibri" w:cstheme="minorHAnsi"/>
      <w:sz w:val="20"/>
      <w:szCs w:val="20"/>
    </w:rPr>
  </w:style>
  <w:style w:type="paragraph" w:styleId="Style23" w:customStyle="1">
    <w:name w:val="Раздел регламента"/>
    <w:basedOn w:val="Normal"/>
    <w:qFormat/>
    <w:rsid w:val="00e228fa"/>
    <w:pPr/>
    <w:rPr/>
  </w:style>
  <w:style w:type="paragraph" w:styleId="Style24" w:customStyle="1">
    <w:name w:val="Приложение к регламенту"/>
    <w:basedOn w:val="Normal"/>
    <w:qFormat/>
    <w:rsid w:val="00e228fa"/>
    <w:pPr>
      <w:jc w:val="right"/>
    </w:pPr>
    <w:rPr/>
  </w:style>
  <w:style w:type="paragraph" w:styleId="TOC2">
    <w:name w:val="TOC 2"/>
    <w:basedOn w:val="Normal"/>
    <w:next w:val="Normal"/>
    <w:autoRedefine/>
    <w:uiPriority w:val="39"/>
    <w:rsid w:val="00693883"/>
    <w:pPr>
      <w:spacing w:before="240" w:after="0"/>
    </w:pPr>
    <w:rPr>
      <w:rFonts w:cs="Calibri" w:cstheme="minorHAnsi"/>
      <w:bCs/>
      <w:sz w:val="20"/>
      <w:szCs w:val="20"/>
    </w:rPr>
  </w:style>
  <w:style w:type="paragraph" w:styleId="BalloonText">
    <w:name w:val="Balloon Text"/>
    <w:basedOn w:val="Normal"/>
    <w:semiHidden/>
    <w:qFormat/>
    <w:rsid w:val="00197c91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11"/>
    <w:semiHidden/>
    <w:qFormat/>
    <w:rsid w:val="00b714b0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semiHidden/>
    <w:qFormat/>
    <w:rsid w:val="00b714b0"/>
    <w:pPr/>
    <w:rPr>
      <w:b/>
      <w:bCs/>
    </w:rPr>
  </w:style>
  <w:style w:type="paragraph" w:styleId="15" w:customStyle="1">
    <w:name w:val="Обычный (веб)1"/>
    <w:basedOn w:val="Normal"/>
    <w:uiPriority w:val="99"/>
    <w:qFormat/>
    <w:rsid w:val="002f559a"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next w:val="Normal"/>
    <w:autoRedefine/>
    <w:semiHidden/>
    <w:rsid w:val="00f57628"/>
    <w:pPr>
      <w:ind w:left="196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semiHidden/>
    <w:rsid w:val="00f57628"/>
    <w:pPr>
      <w:ind w:left="84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rsid w:val="007b3607"/>
    <w:pPr>
      <w:tabs>
        <w:tab w:val="clear" w:pos="720"/>
        <w:tab w:val="left" w:pos="1120" w:leader="none"/>
        <w:tab w:val="right" w:pos="9911" w:leader="none"/>
      </w:tabs>
      <w:ind w:left="567" w:hanging="0"/>
    </w:pPr>
    <w:rPr>
      <w:rFonts w:cs="Calibri" w:cstheme="minorHAnsi"/>
      <w:sz w:val="20"/>
      <w:szCs w:val="20"/>
    </w:rPr>
  </w:style>
  <w:style w:type="paragraph" w:styleId="25" w:customStyle="1">
    <w:name w:val="Раздел положения 2"/>
    <w:basedOn w:val="Normal"/>
    <w:qFormat/>
    <w:rsid w:val="002c1e0e"/>
    <w:pPr>
      <w:pageBreakBefore/>
      <w:jc w:val="both"/>
      <w:outlineLvl w:val="0"/>
    </w:pPr>
    <w:rPr>
      <w:b/>
    </w:rPr>
  </w:style>
  <w:style w:type="paragraph" w:styleId="Style25" w:customStyle="1">
    <w:name w:val="Знак Знак Знак Знак Знак Знак Знак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uiPriority w:val="1"/>
    <w:qFormat/>
    <w:rsid w:val="00d22f6d"/>
    <w:pPr>
      <w:spacing w:lineRule="auto" w:line="360"/>
    </w:pPr>
    <w:rPr>
      <w:rFonts w:eastAsia="Calibri"/>
      <w:sz w:val="24"/>
      <w:szCs w:val="24"/>
    </w:rPr>
  </w:style>
  <w:style w:type="paragraph" w:styleId="Caption11" w:customStyle="1">
    <w:name w:val="caption11"/>
    <w:basedOn w:val="Normal"/>
    <w:next w:val="Normal"/>
    <w:uiPriority w:val="35"/>
    <w:qFormat/>
    <w:rsid w:val="00d22f6d"/>
    <w:pPr/>
    <w:rPr>
      <w:rFonts w:eastAsia="Calibri"/>
      <w:b/>
      <w:bCs/>
      <w:color w:val="4F81BD"/>
      <w:sz w:val="18"/>
      <w:szCs w:val="18"/>
    </w:rPr>
  </w:style>
  <w:style w:type="paragraph" w:styleId="Subtitle">
    <w:name w:val="Subtitle"/>
    <w:basedOn w:val="Normal"/>
    <w:next w:val="Normal"/>
    <w:link w:val="Style2"/>
    <w:uiPriority w:val="11"/>
    <w:qFormat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link w:val="Style7"/>
    <w:uiPriority w:val="34"/>
    <w:qFormat/>
    <w:rsid w:val="00d22f6d"/>
    <w:pPr>
      <w:spacing w:before="0" w:after="0"/>
      <w:ind w:left="720" w:hanging="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next w:val="Normal"/>
    <w:link w:val="21"/>
    <w:uiPriority w:val="29"/>
    <w:qFormat/>
    <w:rsid w:val="00d22f6d"/>
    <w:pPr/>
    <w:rPr>
      <w:rFonts w:ascii="Calibri" w:hAnsi="Calibri" w:eastAsia="Calibri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Style3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Style16"/>
    <w:pPr/>
    <w:rPr/>
  </w:style>
  <w:style w:type="paragraph" w:styleId="TOCHeading">
    <w:name w:val="TOC Heading"/>
    <w:basedOn w:val="Heading1"/>
    <w:next w:val="Normal"/>
    <w:uiPriority w:val="39"/>
    <w:qFormat/>
    <w:rsid w:val="00d22f6d"/>
    <w:pPr>
      <w:keepLines/>
      <w:spacing w:before="480" w:after="6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4"/>
    <w:uiPriority w:val="99"/>
    <w:unhideWhenUsed/>
    <w:qFormat/>
    <w:rsid w:val="00d22f6d"/>
    <w:pPr/>
    <w:rPr>
      <w:rFonts w:eastAsia="Calibri"/>
      <w:sz w:val="24"/>
      <w:szCs w:val="24"/>
      <w:lang w:val="x-none" w:eastAsia="x-none"/>
    </w:rPr>
  </w:style>
  <w:style w:type="paragraph" w:styleId="Style26" w:customStyle="1">
    <w:name w:val="Знак"/>
    <w:basedOn w:val="Normal"/>
    <w:qFormat/>
    <w:rsid w:val="00d22f6d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3" w:customStyle="1">
    <w:name w:val="Нумерованный список ур3"/>
    <w:basedOn w:val="Normal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styleId="41" w:customStyle="1">
    <w:name w:val="Маркированный список 41"/>
    <w:basedOn w:val="Normal"/>
    <w:qFormat/>
    <w:rsid w:val="00d22f6d"/>
    <w:pPr>
      <w:numPr>
        <w:ilvl w:val="0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26" w:customStyle="1">
    <w:name w:val="Нумерованный список ур2"/>
    <w:basedOn w:val="Normal"/>
    <w:qFormat/>
    <w:rsid w:val="00d22f6d"/>
    <w:pPr>
      <w:numPr>
        <w:ilvl w:val="1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uiPriority w:val="99"/>
    <w:semiHidden/>
    <w:qFormat/>
    <w:rsid w:val="00d22f6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rsid w:val="00d22f6d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34" w:customStyle="1">
    <w:name w:val="Знак Знак3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27" w:customStyle="1">
    <w:name w:val="Пункт"/>
    <w:basedOn w:val="Normal"/>
    <w:qFormat/>
    <w:rsid w:val="00d22f6d"/>
    <w:pPr>
      <w:widowControl w:val="false"/>
      <w:tabs>
        <w:tab w:val="clear" w:pos="720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Cs w:val="20"/>
    </w:rPr>
  </w:style>
  <w:style w:type="paragraph" w:styleId="16" w:customStyle="1">
    <w:name w:val="Абзац списка1"/>
    <w:basedOn w:val="Normal"/>
    <w:qFormat/>
    <w:rsid w:val="00d22f6d"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28" w:customStyle="1">
    <w:name w:val="Таблица"/>
    <w:basedOn w:val="Normal"/>
    <w:qFormat/>
    <w:rsid w:val="0041356c"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29" w:customStyle="1">
    <w:name w:val="Таблица шапка"/>
    <w:basedOn w:val="Normal"/>
    <w:qFormat/>
    <w:rsid w:val="00f64089"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30" w:customStyle="1">
    <w:name w:val="Подподпункт"/>
    <w:basedOn w:val="Style22"/>
    <w:link w:val="Style9"/>
    <w:qFormat/>
    <w:rsid w:val="0025139e"/>
    <w:pPr>
      <w:tabs>
        <w:tab w:val="clear" w:pos="1134"/>
        <w:tab w:val="left" w:pos="5104" w:leader="none"/>
      </w:tabs>
      <w:snapToGrid w:val="true"/>
      <w:spacing w:lineRule="auto" w:line="240" w:before="120" w:after="0"/>
      <w:ind w:left="5104" w:hanging="567"/>
    </w:pPr>
    <w:rPr>
      <w:sz w:val="26"/>
      <w:szCs w:val="26"/>
      <w:lang w:val="ru-RU" w:eastAsia="ru-RU"/>
    </w:rPr>
  </w:style>
  <w:style w:type="paragraph" w:styleId="Style31" w:customStyle="1">
    <w:name w:val="УРОВЕНЬ_(а)"/>
    <w:basedOn w:val="ListParagraph"/>
    <w:qFormat/>
    <w:rsid w:val="00b56f46"/>
    <w:pPr>
      <w:numPr>
        <w:ilvl w:val="3"/>
        <w:numId w:val="4"/>
      </w:numPr>
      <w:spacing w:lineRule="exact" w:line="360" w:before="120" w:after="0"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-" w:customStyle="1">
    <w:name w:val="УРОВЕНЬ_-"/>
    <w:basedOn w:val="ListParagraph"/>
    <w:qFormat/>
    <w:rsid w:val="00b56f46"/>
    <w:pPr>
      <w:numPr>
        <w:ilvl w:val="4"/>
        <w:numId w:val="4"/>
      </w:numPr>
      <w:spacing w:lineRule="exact" w:line="360" w:before="120" w:after="0"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27" w:customStyle="1">
    <w:name w:val="УРОВЕНЬ_Абзац_тип2"/>
    <w:basedOn w:val="ListParagraph"/>
    <w:qFormat/>
    <w:rsid w:val="00b56f46"/>
    <w:pPr>
      <w:numPr>
        <w:ilvl w:val="6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35" w:customStyle="1">
    <w:name w:val="УРОВЕНЬ_Абзац_тип3"/>
    <w:basedOn w:val="ListParagraph"/>
    <w:link w:val="31"/>
    <w:qFormat/>
    <w:rsid w:val="00b56f46"/>
    <w:pPr>
      <w:numPr>
        <w:ilvl w:val="7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Style32" w:customStyle="1">
    <w:name w:val="УРОВЕНЬ_Подпись"/>
    <w:basedOn w:val="ListParagraph"/>
    <w:qFormat/>
    <w:rsid w:val="00b56f46"/>
    <w:pPr>
      <w:keepNext w:val="true"/>
      <w:numPr>
        <w:ilvl w:val="5"/>
        <w:numId w:val="4"/>
      </w:numPr>
      <w:spacing w:lineRule="exact" w:line="360" w:before="120" w:after="120"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17" w:customStyle="1">
    <w:name w:val="Стиль Заголовок 1 + по ширине"/>
    <w:basedOn w:val="Heading1"/>
    <w:qFormat/>
    <w:rsid w:val="005773b2"/>
    <w:pPr>
      <w:keepLines/>
      <w:numPr>
        <w:ilvl w:val="0"/>
        <w:numId w:val="0"/>
      </w:numPr>
      <w:tabs>
        <w:tab w:val="clear" w:pos="720"/>
        <w:tab w:val="left" w:pos="567" w:leader="none"/>
      </w:tabs>
      <w:spacing w:before="480" w:after="240"/>
      <w:ind w:left="567" w:hanging="567"/>
      <w:jc w:val="both"/>
    </w:pPr>
    <w:rPr>
      <w:rFonts w:ascii="Arial" w:hAnsi="Arial" w:eastAsia="Times New Roman"/>
      <w:bCs/>
      <w:kern w:val="2"/>
      <w:sz w:val="40"/>
      <w:szCs w:val="20"/>
      <w:lang w:val="ru-RU" w:eastAsia="ru-RU"/>
    </w:rPr>
  </w:style>
  <w:style w:type="paragraph" w:styleId="EndnoteText">
    <w:name w:val="Endnote Text"/>
    <w:basedOn w:val="Normal"/>
    <w:link w:val="Style12"/>
    <w:rsid w:val="003879d4"/>
    <w:pPr/>
    <w:rPr>
      <w:sz w:val="20"/>
      <w:szCs w:val="20"/>
    </w:rPr>
  </w:style>
  <w:style w:type="paragraph" w:styleId="28" w:customStyle="1">
    <w:name w:val="Заголовок 2 КВВ"/>
    <w:basedOn w:val="Normal"/>
    <w:qFormat/>
    <w:rsid w:val="00cb35e8"/>
    <w:pPr>
      <w:keepNext w:val="true"/>
      <w:numPr>
        <w:ilvl w:val="0"/>
        <w:numId w:val="5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styleId="Style33" w:customStyle="1">
    <w:name w:val="Таблица текст"/>
    <w:basedOn w:val="Normal"/>
    <w:qFormat/>
    <w:rsid w:val="00343e95"/>
    <w:pPr>
      <w:spacing w:before="40" w:after="40"/>
      <w:ind w:left="57" w:right="57" w:hanging="0"/>
    </w:pPr>
    <w:rPr>
      <w:sz w:val="24"/>
      <w:szCs w:val="26"/>
    </w:rPr>
  </w:style>
  <w:style w:type="paragraph" w:styleId="NormalWeb">
    <w:name w:val="Normal (Web)"/>
    <w:basedOn w:val="Normal"/>
    <w:qFormat/>
    <w:pPr>
      <w:suppressAutoHyphens w:val="false"/>
    </w:pPr>
    <w:rPr>
      <w:sz w:val="24"/>
      <w:szCs w:val="24"/>
    </w:rPr>
  </w:style>
  <w:style w:type="paragraph" w:styleId="18" w:customStyle="1">
    <w:name w:val="УРОВЕНЬ_1."/>
    <w:basedOn w:val="ListParagraph"/>
    <w:link w:val="12"/>
    <w:qFormat/>
    <w:rsid w:val="004a17ae"/>
    <w:pPr>
      <w:keepNext w:val="true"/>
      <w:keepLines/>
      <w:spacing w:lineRule="auto" w:line="276" w:before="240" w:after="120"/>
      <w:ind w:left="0" w:hanging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next w:val="Normal"/>
    <w:autoRedefine/>
    <w:unhideWhenUsed/>
    <w:rsid w:val="00d849aa"/>
    <w:pPr>
      <w:ind w:left="112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nhideWhenUsed/>
    <w:rsid w:val="00d849aa"/>
    <w:pPr>
      <w:ind w:left="140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nhideWhenUsed/>
    <w:rsid w:val="00d849aa"/>
    <w:pPr>
      <w:ind w:left="168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Style34" w:customStyle="1">
    <w:name w:val="Содержимое врезки"/>
    <w:basedOn w:val="Normal"/>
    <w:qFormat/>
    <w:pPr/>
    <w:rPr/>
  </w:style>
  <w:style w:type="paragraph" w:styleId="Style35">
    <w:name w:val="Содержимое таблицы"/>
    <w:basedOn w:val="Normal"/>
    <w:qFormat/>
    <w:pPr>
      <w:widowControl w:val="false"/>
      <w:suppressLineNumbers/>
    </w:pPr>
    <w:rPr/>
  </w:style>
  <w:style w:type="paragraph" w:styleId="Style36">
    <w:name w:val="Заголовок таблицы"/>
    <w:basedOn w:val="Style35"/>
    <w:qFormat/>
    <w:pPr>
      <w:suppressLineNumbers/>
      <w:jc w:val="center"/>
    </w:pPr>
    <w:rPr>
      <w:b/>
      <w:bCs/>
    </w:rPr>
  </w:style>
  <w:style w:type="paragraph" w:styleId="Default">
    <w:name w:val="Default"/>
    <w:qFormat/>
    <w:pPr>
      <w:widowControl/>
      <w:suppressAutoHyphens w:val="true"/>
      <w:bidi w:val="0"/>
      <w:spacing w:before="0" w:after="0"/>
      <w:jc w:val="left"/>
    </w:pPr>
    <w:rPr>
      <w:rFonts w:ascii="Roboto" w:hAnsi="Roboto" w:eastAsia="Times New Roman" w:cs="Roboto"/>
      <w:color w:val="000000"/>
      <w:kern w:val="0"/>
      <w:sz w:val="24"/>
      <w:szCs w:val="24"/>
      <w:lang w:val="ru-RU" w:eastAsia="ru-RU" w:bidi="ar-SA"/>
    </w:rPr>
  </w:style>
  <w:style w:type="numbering" w:styleId="NoList" w:default="1">
    <w:name w:val="No List"/>
    <w:uiPriority w:val="99"/>
    <w:semiHidden/>
    <w:unhideWhenUsed/>
    <w:qFormat/>
  </w:style>
  <w:style w:type="numbering" w:styleId="19" w:customStyle="1">
    <w:name w:val="Стиль1"/>
    <w:uiPriority w:val="99"/>
    <w:qFormat/>
    <w:rsid w:val="00f001e4"/>
  </w:style>
  <w:style w:type="numbering" w:styleId="29" w:customStyle="1">
    <w:name w:val="Стиль2"/>
    <w:uiPriority w:val="99"/>
    <w:qFormat/>
    <w:rsid w:val="006629c9"/>
  </w:style>
  <w:style w:type="table" w:default="1" w:styleId="a5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ff6">
    <w:name w:val="Table Grid"/>
    <w:basedOn w:val="a5"/>
    <w:uiPriority w:val="39"/>
    <w:rsid w:val="0076353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b">
    <w:name w:val="Сетка таблицы1"/>
    <w:basedOn w:val="a5"/>
    <w:uiPriority w:val="39"/>
    <w:rsid w:val="00214b9f"/>
    <w:rPr>
      <w:rFonts w:asciiTheme="minorHAnsi" w:hAnsiTheme="minorHAnsi" w:eastAsiaTheme="minorHAnsi" w:cstheme="minorBidi"/>
      <w:lang w:eastAsia="en-US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39">
    <w:name w:val="Сетка таблицы3"/>
    <w:basedOn w:val="a5"/>
    <w:uiPriority w:val="39"/>
    <w:rsid w:val="00b538c4"/>
    <w:rPr>
      <w:lang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310">
    <w:name w:val="Сетка таблицы31"/>
    <w:basedOn w:val="a5"/>
    <w:uiPriority w:val="39"/>
    <w:rsid w:val="000d03b5"/>
    <w:rPr>
      <w:lang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10">
    <w:name w:val="Сетка таблицы21"/>
    <w:basedOn w:val="a5"/>
    <w:uiPriority w:val="39"/>
    <w:rsid w:val="00330632"/>
    <w:rPr>
      <w:lang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43">
    <w:name w:val="Сетка таблицы4"/>
    <w:basedOn w:val="a5"/>
    <w:uiPriority w:val="39"/>
    <w:rsid w:val="00ad2de8"/>
    <w:rPr>
      <w:lang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header" Target="header4.xml"/><Relationship Id="rId6" Type="http://schemas.openxmlformats.org/officeDocument/2006/relationships/header" Target="header5.xml"/><Relationship Id="rId7" Type="http://schemas.openxmlformats.org/officeDocument/2006/relationships/header" Target="header6.xml"/><Relationship Id="rId8" Type="http://schemas.openxmlformats.org/officeDocument/2006/relationships/header" Target="header7.xml"/><Relationship Id="rId9" Type="http://schemas.openxmlformats.org/officeDocument/2006/relationships/footnotes" Target="footnotes.xml"/><Relationship Id="rId10" Type="http://schemas.openxmlformats.org/officeDocument/2006/relationships/numbering" Target="numbering.xml"/><Relationship Id="rId11" Type="http://schemas.openxmlformats.org/officeDocument/2006/relationships/fontTable" Target="fontTable.xml"/><Relationship Id="rId12" Type="http://schemas.openxmlformats.org/officeDocument/2006/relationships/settings" Target="settings.xml"/><Relationship Id="rId13" Type="http://schemas.openxmlformats.org/officeDocument/2006/relationships/theme" Target="theme/theme1.xml"/><Relationship Id="rId14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DA4E24-EBD1-48E6-8E0E-4252E79CD8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2003</TotalTime>
  <Application>AlterOffice/3.4.0.9$Linux_X86_64 LibreOffice_project/b8daf9e823b1a5463a2f48435ddc2e8696e7d4fc</Application>
  <AppVersion>15.0000</AppVersion>
  <Pages>15</Pages>
  <Words>2295</Words>
  <Characters>15200</Characters>
  <CharactersWithSpaces>17242</CharactersWithSpaces>
  <Paragraphs>376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2025-08-04T06:40:00Z</dcterms:created>
  <dc:creator>Быстров Олег Геннадьевич</dc:creator>
  <dc:description/>
  <dc:language>ru-RU</dc:language>
  <cp:lastModifiedBy>prokopevaev@corp.gidroogk.com</cp:lastModifiedBy>
  <cp:lastPrinted>2023-04-19T09:10:00Z</cp:lastPrinted>
  <dcterms:modified xsi:type="dcterms:W3CDTF">2026-09-03T15:26:40Z</dcterms:modified>
  <cp:revision>125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