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5245" w:hanging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/>
        </w:rPr>
      </w:pPr>
      <w:r>
        <w:rPr>
          <w:rFonts w:eastAsia="Calibri" w:ascii="Times New Roman" w:hAnsi="Times New Roman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Calibri" w:ascii="Times New Roman" w:hAnsi="Times New Roman"/>
          <w:sz w:val="26"/>
          <w:szCs w:val="26"/>
        </w:rPr>
        <w:t>«ОКПД2  3</w:t>
      </w:r>
      <w:r>
        <w:rPr>
          <w:rFonts w:eastAsia="Calibri" w:ascii="Times New Roman" w:hAnsi="Times New Roman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3.20.39.900</w:t>
      </w:r>
      <w:r>
        <w:rPr>
          <w:rFonts w:eastAsia="Calibri" w:ascii="Times New Roman" w:hAnsi="Times New Roman"/>
          <w:sz w:val="26"/>
          <w:szCs w:val="26"/>
        </w:rPr>
        <w:t>. Оказание услуг по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em w:val="none"/>
        </w:rPr>
        <w:t xml:space="preserve"> инженерно-технической защите оконных проемов и кровель зданий ППУ-500кВ, ОПУ-500кВ, ППУ-110кВ, ППУ-220кВ, ЛАЗ административного корпуса Жигулевской ГЭС</w:t>
      </w:r>
      <w:r>
        <w:rPr>
          <w:rFonts w:eastAsia="Calibri" w:ascii="Times New Roman" w:hAnsi="Times New Roman"/>
          <w:sz w:val="26"/>
          <w:szCs w:val="26"/>
        </w:rPr>
        <w:t>»</w:t>
      </w:r>
    </w:p>
    <w:p>
      <w:pPr>
        <w:pStyle w:val="Normal"/>
        <w:tabs>
          <w:tab w:val="clear" w:pos="708"/>
          <w:tab w:val="left" w:pos="426" w:leader="none"/>
        </w:tabs>
        <w:spacing w:before="120" w:after="12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  <w:sz w:val="26"/>
        </w:rPr>
      </w:pPr>
      <w:r>
        <w:rPr>
          <w:rFonts w:eastAsia="Calibri" w:ascii="Times New Roman" w:hAnsi="Times New Roman"/>
          <w:sz w:val="26"/>
        </w:rPr>
      </w:r>
    </w:p>
    <w:p>
      <w:pPr>
        <w:pStyle w:val="Normal"/>
        <w:jc w:val="center"/>
        <w:rPr>
          <w:rFonts w:ascii="Times New Roman" w:hAnsi="Times New Roman" w:eastAsia="Calibri"/>
        </w:rPr>
      </w:pPr>
      <w:r>
        <w:rPr>
          <w:rFonts w:eastAsia="Calibri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Calibri"/>
        </w:rPr>
      </w:pPr>
      <w:r>
        <w:rPr>
          <w:rFonts w:eastAsia="Calibri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Calibri"/>
        </w:rPr>
      </w:pPr>
      <w:r>
        <w:rPr>
          <w:rFonts w:eastAsia="Calibri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Calibri"/>
        </w:rPr>
      </w:pPr>
      <w:r>
        <w:rPr>
          <w:rFonts w:eastAsia="Calibri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Calibri"/>
        </w:rPr>
      </w:pPr>
      <w:r>
        <w:rPr>
          <w:rFonts w:eastAsia="Calibri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Calibri"/>
        </w:rPr>
      </w:pPr>
      <w:r>
        <w:rPr>
          <w:rFonts w:eastAsia="Calibri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Calibri"/>
        </w:rPr>
      </w:pPr>
      <w:r>
        <w:rPr>
          <w:rFonts w:eastAsia="Calibri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Calibri"/>
        </w:rPr>
      </w:pPr>
      <w:r>
        <w:rPr>
          <w:rFonts w:eastAsia="Calibri" w:ascii="Times New Roman" w:hAnsi="Times New Roman"/>
        </w:rPr>
      </w:r>
    </w:p>
    <w:p>
      <w:pPr>
        <w:pStyle w:val="Normal"/>
        <w:keepNext w:val="true"/>
        <w:rPr>
          <w:rFonts w:ascii="Times New Roman" w:hAnsi="Times New Roman" w:eastAsia="Calibri"/>
          <w:b/>
          <w:sz w:val="28"/>
        </w:rPr>
      </w:pPr>
      <w:r>
        <w:rPr>
          <w:rFonts w:eastAsia="Calibri" w:ascii="Times New Roman" w:hAnsi="Times New Roman"/>
          <w:b/>
          <w:sz w:val="28"/>
        </w:rPr>
      </w:r>
    </w:p>
    <w:p>
      <w:pPr>
        <w:sectPr>
          <w:headerReference w:type="default" r:id="rId2"/>
          <w:type w:val="nextPage"/>
          <w:pgSz w:w="11906" w:h="16838"/>
          <w:pgMar w:left="1134" w:right="707" w:gutter="0" w:header="680" w:top="1134" w:footer="0" w:bottom="720"/>
          <w:pgNumType w:fmt="decimal"/>
          <w:formProt w:val="false"/>
          <w:textDirection w:val="lrTb"/>
          <w:docGrid w:type="default" w:linePitch="600" w:charSpace="32768"/>
        </w:sect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г. Жигулёвск</w:t>
      </w:r>
      <w:r>
        <w:br w:type="page"/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rStyle w:val="Style13"/>
              <w:rFonts w:cs="Times New Roman" w:ascii="Times New Roman" w:hAnsi="Times New Roman"/>
            </w:rPr>
            <w:instrText xml:space="preserve"> TOC \o "1-4" \h</w:instrText>
          </w:r>
          <w:r>
            <w:rPr>
              <w:rStyle w:val="Style13"/>
              <w:rFonts w:cs="Times New Roman" w:ascii="Times New Roman" w:hAnsi="Times New Roman"/>
            </w:rPr>
            <w:fldChar w:fldCharType="separate"/>
          </w:r>
          <w:hyperlink w:anchor="_Toc226037842">
            <w:r>
              <w:rPr>
                <w:rStyle w:val="Style13"/>
                <w:rFonts w:cs="Times New Roman" w:ascii="Times New Roman" w:hAnsi="Times New Roman"/>
              </w:rPr>
              <w:t>1.</w:t>
            </w:r>
            <w:r>
              <w:rPr>
                <w:rStyle w:val="Style13"/>
                <w:rFonts w:eastAsia="" w:cs="" w:ascii="Times New Roman" w:hAnsi="Times New Roman" w:cstheme="minorBidi" w:eastAsiaTheme="minorEastAsia"/>
                <w:b w:val="false"/>
                <w:bCs w:val="false"/>
                <w:color w:val="auto"/>
                <w:kern w:val="0"/>
                <w:sz w:val="22"/>
                <w:szCs w:val="22"/>
                <w:lang w:eastAsia="ru-RU" w:bidi="ar-SA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_Toc226037842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226037843">
            <w:r>
              <w:rPr>
                <w:rStyle w:val="Style13"/>
                <w:rFonts w:ascii="Times New Roman" w:hAnsi="Times New Roman"/>
              </w:rPr>
              <w:t>1.1.</w:t>
            </w:r>
            <w:r>
              <w:rPr>
                <w:rStyle w:val="Style13"/>
                <w:rFonts w:eastAsia="" w:cs="" w:ascii="Times New Roman" w:hAnsi="Times New Roman" w:cstheme="minorBidi" w:eastAsiaTheme="minorEastAsia"/>
                <w:b w:val="false"/>
                <w:bCs w:val="false"/>
                <w:color w:val="auto"/>
                <w:kern w:val="0"/>
                <w:sz w:val="22"/>
                <w:szCs w:val="22"/>
                <w:lang w:eastAsia="ru-RU" w:bidi="ar-SA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_Toc226037843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226037844">
            <w:r>
              <w:rPr>
                <w:rStyle w:val="Style13"/>
                <w:rFonts w:ascii="Times New Roman" w:hAnsi="Times New Roman"/>
              </w:rPr>
              <w:t>1.2.</w:t>
            </w:r>
            <w:r>
              <w:rPr>
                <w:rStyle w:val="Style13"/>
                <w:rFonts w:eastAsia="" w:cs="" w:ascii="Times New Roman" w:hAnsi="Times New Roman" w:cstheme="minorBidi" w:eastAsiaTheme="minorEastAsia"/>
                <w:b w:val="false"/>
                <w:bCs w:val="false"/>
                <w:color w:val="auto"/>
                <w:kern w:val="0"/>
                <w:sz w:val="22"/>
                <w:szCs w:val="22"/>
                <w:lang w:eastAsia="ru-RU" w:bidi="ar-SA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_Toc226037844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</w:rPr>
              <w:t>Наименование закупаемым услугам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226037845">
            <w:r>
              <w:rPr>
                <w:rStyle w:val="Style13"/>
                <w:rFonts w:ascii="Times New Roman" w:hAnsi="Times New Roman"/>
              </w:rPr>
              <w:t>1.3.</w:t>
            </w:r>
            <w:r>
              <w:rPr>
                <w:rStyle w:val="Style13"/>
                <w:rFonts w:eastAsia="" w:cs="" w:ascii="Times New Roman" w:hAnsi="Times New Roman" w:cstheme="minorBidi" w:eastAsiaTheme="minorEastAsia"/>
                <w:b w:val="false"/>
                <w:bCs w:val="false"/>
                <w:color w:val="auto"/>
                <w:kern w:val="0"/>
                <w:sz w:val="22"/>
                <w:szCs w:val="22"/>
                <w:lang w:eastAsia="ru-RU" w:bidi="ar-SA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_Toc226037845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</w:rPr>
              <w:t>Цель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226037846">
            <w:r>
              <w:rPr>
                <w:rStyle w:val="Style13"/>
                <w:rFonts w:ascii="Times New Roman" w:hAnsi="Times New Roman"/>
              </w:rPr>
              <w:t>1.4.</w:t>
            </w:r>
            <w:r>
              <w:rPr>
                <w:rStyle w:val="Style13"/>
                <w:rFonts w:eastAsia="" w:cs="" w:ascii="Times New Roman" w:hAnsi="Times New Roman" w:cstheme="minorBidi" w:eastAsiaTheme="minorEastAsia"/>
                <w:b w:val="false"/>
                <w:bCs w:val="false"/>
                <w:color w:val="auto"/>
                <w:kern w:val="0"/>
                <w:sz w:val="22"/>
                <w:szCs w:val="22"/>
                <w:lang w:eastAsia="ru-RU" w:bidi="ar-SA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_Toc226037846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</w:rPr>
              <w:t>Существующее положение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226037847">
            <w:r>
              <w:rPr>
                <w:rStyle w:val="Style13"/>
                <w:rFonts w:cs="Times New Roman" w:ascii="Times New Roman" w:hAnsi="Times New Roman"/>
              </w:rPr>
              <w:t>2.</w:t>
            </w:r>
            <w:r>
              <w:rPr>
                <w:rStyle w:val="Style13"/>
                <w:rFonts w:eastAsia="" w:cs="" w:ascii="Times New Roman" w:hAnsi="Times New Roman" w:cstheme="minorBidi" w:eastAsiaTheme="minorEastAsia"/>
                <w:b w:val="false"/>
                <w:bCs w:val="false"/>
                <w:color w:val="auto"/>
                <w:kern w:val="0"/>
                <w:sz w:val="22"/>
                <w:szCs w:val="22"/>
                <w:lang w:eastAsia="ru-RU" w:bidi="ar-SA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_Toc226037847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</w:rPr>
              <w:t>Таблица 1. Перечень объектов заказчика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226037848">
            <w:r>
              <w:rPr>
                <w:rStyle w:val="Style13"/>
                <w:rFonts w:ascii="Times New Roman" w:hAnsi="Times New Roman"/>
              </w:rPr>
              <w:t>2.1.1.</w:t>
            </w:r>
            <w:r>
              <w:rPr>
                <w:rStyle w:val="Style13"/>
                <w:rFonts w:eastAsia="" w:cs="" w:ascii="Times New Roman" w:hAnsi="Times New Roman" w:cstheme="minorBidi" w:eastAsiaTheme="minorEastAsia"/>
                <w:color w:val="auto"/>
                <w:kern w:val="0"/>
                <w:sz w:val="22"/>
                <w:szCs w:val="22"/>
                <w:lang w:eastAsia="ru-RU" w:bidi="ar-SA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_Toc226037848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</w:rPr>
              <w:t>Основание на оказание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226037849">
            <w:r>
              <w:rPr>
                <w:rStyle w:val="Style13"/>
                <w:rFonts w:ascii="Times New Roman" w:hAnsi="Times New Roman"/>
              </w:rPr>
              <w:t>2.2.</w:t>
            </w:r>
            <w:r>
              <w:rPr>
                <w:rStyle w:val="Style13"/>
                <w:rFonts w:eastAsia="" w:cs="" w:ascii="Times New Roman" w:hAnsi="Times New Roman" w:cstheme="minorBidi" w:eastAsiaTheme="minorEastAsia"/>
                <w:b w:val="false"/>
                <w:bCs w:val="false"/>
                <w:color w:val="auto"/>
                <w:kern w:val="0"/>
                <w:sz w:val="22"/>
                <w:szCs w:val="22"/>
                <w:lang w:eastAsia="ru-RU" w:bidi="ar-SA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_Toc226037849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226037850">
            <w:r>
              <w:rPr>
                <w:rStyle w:val="Style13"/>
                <w:rFonts w:cs="Times New Roman" w:ascii="Times New Roman" w:hAnsi="Times New Roman"/>
              </w:rPr>
              <w:t>3.</w:t>
            </w:r>
            <w:r>
              <w:rPr>
                <w:rStyle w:val="Style13"/>
                <w:rFonts w:eastAsia="" w:cs="" w:ascii="Times New Roman" w:hAnsi="Times New Roman" w:cstheme="minorBidi" w:eastAsiaTheme="minorEastAsia"/>
                <w:b w:val="false"/>
                <w:bCs w:val="false"/>
                <w:color w:val="auto"/>
                <w:kern w:val="0"/>
                <w:sz w:val="22"/>
                <w:szCs w:val="22"/>
                <w:lang w:eastAsia="ru-RU" w:bidi="ar-SA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_Toc226037850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</w:rPr>
              <w:t>Требования к объемам и срокам оказания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226037851">
            <w:r>
              <w:rPr>
                <w:rStyle w:val="Style13"/>
                <w:rFonts w:ascii="Times New Roman" w:hAnsi="Times New Roman"/>
              </w:rPr>
              <w:t>3.1.1.</w:t>
            </w:r>
            <w:r>
              <w:rPr>
                <w:rStyle w:val="Style13"/>
                <w:rFonts w:eastAsia="" w:cs="" w:ascii="Times New Roman" w:hAnsi="Times New Roman" w:cstheme="minorBidi" w:eastAsiaTheme="minorEastAsia"/>
                <w:color w:val="auto"/>
                <w:kern w:val="0"/>
                <w:sz w:val="22"/>
                <w:szCs w:val="22"/>
                <w:lang w:eastAsia="ru-RU" w:bidi="ar-SA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_Toc226037851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</w:rPr>
              <w:t>Требования к объёмам и срокам оказания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226037852">
            <w:r>
              <w:rPr>
                <w:rStyle w:val="Style13"/>
                <w:rFonts w:ascii="Times New Roman" w:hAnsi="Times New Roman"/>
              </w:rPr>
              <w:t>3.1.2.</w:t>
            </w:r>
            <w:r>
              <w:rPr>
                <w:rStyle w:val="Style13"/>
                <w:rFonts w:eastAsia="" w:cs="" w:ascii="Times New Roman" w:hAnsi="Times New Roman" w:cstheme="minorBidi" w:eastAsiaTheme="minorEastAsia"/>
                <w:color w:val="auto"/>
                <w:kern w:val="0"/>
                <w:sz w:val="22"/>
                <w:szCs w:val="22"/>
                <w:lang w:eastAsia="ru-RU" w:bidi="ar-SA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_Toc226037852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</w:rPr>
              <w:t>Требования к срокам оказания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226037853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_Toc226037853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</w:rPr>
              <w:t>Таблица 3. Требования по срокам оказания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2"/>
            <w:tabs>
              <w:tab w:val="clear" w:pos="708"/>
              <w:tab w:val="right" w:pos="9911" w:leader="dot"/>
            </w:tabs>
            <w:rPr/>
          </w:pPr>
          <w:hyperlink w:anchor="_Toc226037854">
            <w:bookmarkStart w:id="0" w:name="_GoBack"/>
            <w:r>
              <w:rPr>
                <w:rStyle w:val="Style13"/>
                <w:rFonts w:ascii="Times New Roman" w:hAnsi="Times New Roman"/>
                <w:sz w:val="24"/>
                <w:szCs w:val="24"/>
              </w:rPr>
              <w:t>4.Требования к качеству продукции</w:t>
            </w:r>
            <w:bookmarkEnd w:id="0"/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_Toc226037854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22603785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_Toc226037855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3"/>
                <w:rFonts w:ascii="Times New Roman" w:hAnsi="Times New Roman"/>
              </w:rPr>
              <w:t>Таблица 4. Требования к качеству оказания услуг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226037856">
            <w:r>
              <w:rPr>
                <w:rStyle w:val="Style13"/>
                <w:rFonts w:ascii="Times New Roman" w:hAnsi="Times New Roman"/>
              </w:rPr>
              <w:t>5. Требования к документации по ценообразованию на этапе закупки</w:t>
              <w:tab/>
              <w:t>1</w:t>
            </w:r>
          </w:hyperlink>
          <w:r>
            <w:rPr>
              <w:rFonts w:ascii="Times New Roman" w:hAnsi="Times New Roman"/>
            </w:rPr>
            <w:t>5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226037857">
            <w:r>
              <w:rPr>
                <w:rStyle w:val="Style13"/>
                <w:rFonts w:ascii="Times New Roman" w:hAnsi="Times New Roman"/>
              </w:rPr>
              <w:t>6. Требования к документации по ценообразованию на этапе заключения (исполнения) договора</w:t>
              <w:tab/>
              <w:t>1</w:t>
            </w:r>
          </w:hyperlink>
          <w:r>
            <w:rPr>
              <w:rFonts w:ascii="Times New Roman" w:hAnsi="Times New Roman"/>
            </w:rPr>
            <w:t>5</w:t>
          </w:r>
        </w:p>
        <w:p>
          <w:pPr>
            <w:pStyle w:val="Normal"/>
            <w:tabs>
              <w:tab w:val="clear" w:pos="708"/>
              <w:tab w:val="right" w:pos="9911" w:leader="dot"/>
            </w:tabs>
            <w:rPr/>
          </w:pPr>
          <w:r>
            <w:rPr>
              <w:rFonts w:ascii="Times New Roman" w:hAnsi="Times New Roman"/>
              <w:b/>
              <w:bCs/>
            </w:rPr>
            <w:t>7.</w:t>
          </w:r>
          <w:r>
            <w:rPr>
              <w:rFonts w:ascii="Times New Roman" w:hAnsi="Times New Roman"/>
            </w:rPr>
            <w:t xml:space="preserve"> </w:t>
          </w:r>
          <w:r>
            <w:rPr>
              <w:rFonts w:ascii="Times New Roman" w:hAnsi="Times New Roman"/>
              <w:b/>
              <w:bCs/>
            </w:rPr>
            <w:t>Приложения</w:t>
          </w:r>
          <w:hyperlink w:anchor="_Toc226037857">
            <w:r>
              <w:rPr>
                <w:rStyle w:val="Style13"/>
                <w:rFonts w:ascii="Times New Roman" w:hAnsi="Times New Roman"/>
                <w:b/>
                <w:bCs/>
              </w:rPr>
              <w:tab/>
              <w:t>1</w:t>
            </w:r>
          </w:hyperlink>
          <w:r>
            <w:rPr>
              <w:rFonts w:ascii="Times New Roman" w:hAnsi="Times New Roman"/>
              <w:b/>
              <w:bCs/>
            </w:rPr>
            <w:t>5</w:t>
          </w:r>
          <w:r>
            <w:rPr>
              <w:b/>
              <w:bCs/>
              <w:rFonts w:ascii="Times New Roman" w:hAnsi="Times New Roman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rPr>
          <w:rFonts w:ascii="Times New Roman" w:hAnsi="Times New Roman" w:eastAsia="" w:cs="" w:cstheme="minorBidi" w:eastAsiaTheme="minorEastAsia"/>
          <w:b w:val="false"/>
          <w:bCs w:val="false"/>
          <w:color w:val="auto"/>
          <w:kern w:val="0"/>
          <w:sz w:val="22"/>
          <w:szCs w:val="22"/>
          <w:lang w:eastAsia="ru-RU" w:bidi="ar-SA"/>
        </w:rPr>
      </w:pPr>
      <w:r>
        <w:rPr>
          <w:rFonts w:eastAsia="" w:cs="" w:cstheme="minorBidi" w:eastAsiaTheme="minorEastAsia" w:ascii="Times New Roman" w:hAnsi="Times New Roman"/>
          <w:b w:val="false"/>
          <w:bCs w:val="false"/>
          <w:color w:val="auto"/>
          <w:kern w:val="0"/>
          <w:sz w:val="22"/>
          <w:szCs w:val="22"/>
          <w:lang w:eastAsia="ru-RU" w:bidi="ar-SA"/>
        </w:rPr>
      </w:r>
    </w:p>
    <w:p>
      <w:pPr>
        <w:pStyle w:val="TOC1"/>
        <w:tabs>
          <w:tab w:val="left" w:pos="708" w:leader="none"/>
          <w:tab w:val="right" w:pos="9921" w:leader="dot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OC1"/>
        <w:tabs>
          <w:tab w:val="clear" w:pos="708"/>
          <w:tab w:val="right" w:pos="560" w:leader="dot"/>
          <w:tab w:val="right" w:pos="9911" w:leader="dot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Calibri"/>
          <w:b/>
          <w:i/>
          <w:i/>
          <w:sz w:val="22"/>
        </w:rPr>
      </w:pPr>
      <w:r>
        <w:rPr>
          <w:rFonts w:eastAsia="Calibri" w:cs="Calibri" w:ascii="Times New Roman" w:hAnsi="Times New Roman"/>
          <w:b/>
          <w:i/>
          <w:sz w:val="22"/>
        </w:rPr>
      </w:r>
    </w:p>
    <w:p>
      <w:pPr>
        <w:pStyle w:val="Heading1"/>
        <w:rPr>
          <w:rFonts w:ascii="Times New Roman" w:hAnsi="Times New Roman"/>
        </w:rPr>
      </w:pPr>
      <w:bookmarkStart w:id="1" w:name="_Toc226035807"/>
      <w:bookmarkStart w:id="2" w:name="_Toc226037842"/>
      <w:r>
        <w:rPr>
          <w:rFonts w:ascii="Times New Roman" w:hAnsi="Times New Roman"/>
        </w:rPr>
        <w:t>Общие сведения</w:t>
      </w:r>
      <w:bookmarkEnd w:id="1"/>
      <w:bookmarkEnd w:id="2"/>
    </w:p>
    <w:p>
      <w:pPr>
        <w:pStyle w:val="Heading2"/>
        <w:rPr>
          <w:rFonts w:ascii="Times New Roman" w:hAnsi="Times New Roman"/>
        </w:rPr>
      </w:pPr>
      <w:bookmarkStart w:id="3" w:name="_Toc226035808"/>
      <w:bookmarkStart w:id="4" w:name="_Toc226037843"/>
      <w:r>
        <w:rPr>
          <w:rFonts w:ascii="Times New Roman" w:hAnsi="Times New Roman"/>
        </w:rPr>
        <w:t>Обозначения и сокращения</w:t>
      </w:r>
      <w:bookmarkEnd w:id="3"/>
      <w:bookmarkEnd w:id="4"/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Филиал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ПАО «РусГидро» - «Жигулевская ГЭС»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7"/>
                <w:lang w:val="en-US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Нормативно-технические документы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СМР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Строительно-монтажные работы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ППР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Проект производства работ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7"/>
                <w:rFonts w:ascii="Times New Roman" w:hAnsi="Times New Roman"/>
                <w:b w:val="false"/>
                <w:bCs w:val="false"/>
                <w:i w:val="false"/>
                <w:sz w:val="24"/>
                <w:szCs w:val="24"/>
                <w:shd w:fill="FFFFFF" w:val="clear"/>
                <w:lang w:val="en-US"/>
              </w:rPr>
              <w:t>ТГ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Трансформаторная группа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7"/>
                <w:rFonts w:ascii="Times New Roman" w:hAnsi="Times New Roman"/>
                <w:b w:val="false"/>
                <w:bCs w:val="false"/>
                <w:i w:val="false"/>
                <w:sz w:val="24"/>
                <w:szCs w:val="24"/>
                <w:shd w:fill="FFFFFF" w:val="clear"/>
                <w:lang w:val="en-US"/>
              </w:rPr>
              <w:t>ГЭС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Гидротехнические сооружения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Линейный аппаратный зал на 4-м этаже административного корпуса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БПЛА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Беспилотные летательные аппараты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СВН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Средства воздушного нападения</w:t>
            </w:r>
          </w:p>
        </w:tc>
      </w:tr>
    </w:tbl>
    <w:p>
      <w:pPr>
        <w:pStyle w:val="Normal"/>
        <w:keepNext w:val="true"/>
        <w:keepLines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Normal"/>
        <w:keepNext w:val="true"/>
        <w:keepLines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rPr>
          <w:rFonts w:ascii="Times New Roman" w:hAnsi="Times New Roman"/>
        </w:rPr>
      </w:pPr>
      <w:bookmarkStart w:id="5" w:name="_Toc226035809"/>
      <w:bookmarkStart w:id="6" w:name="_Toc226037844"/>
      <w:r>
        <w:rPr>
          <w:rFonts w:ascii="Times New Roman" w:hAnsi="Times New Roman"/>
        </w:rPr>
        <w:t>Наименование закупаем</w:t>
      </w:r>
      <w:bookmarkEnd w:id="5"/>
      <w:bookmarkEnd w:id="6"/>
      <w:r>
        <w:rPr>
          <w:rFonts w:ascii="Times New Roman" w:hAnsi="Times New Roman"/>
        </w:rPr>
        <w:t>ых услуг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«ОКПД2 33.20.39.900. Оказание услуг по инженерно-технической защите оконных проемов и кровель зданий ППУ-500кВ, ОПУ-500кВ, ППУ-110кВ, ППУ-220кВ, ЛАЗ административного корпуса Жигулевской ГЭС»</w:t>
      </w:r>
    </w:p>
    <w:p>
      <w:pPr>
        <w:pStyle w:val="Normal"/>
        <w:tabs>
          <w:tab w:val="clear" w:pos="708"/>
          <w:tab w:val="left" w:pos="426" w:leader="none"/>
        </w:tabs>
        <w:spacing w:before="120" w:after="120"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Heading2"/>
        <w:rPr>
          <w:rFonts w:ascii="Times New Roman" w:hAnsi="Times New Roman"/>
        </w:rPr>
      </w:pPr>
      <w:bookmarkStart w:id="7" w:name="_Toc226035810"/>
      <w:bookmarkStart w:id="8" w:name="_Toc226037845"/>
      <w:r>
        <w:rPr>
          <w:rFonts w:ascii="Times New Roman" w:hAnsi="Times New Roman"/>
        </w:rPr>
        <w:t xml:space="preserve">Цель </w:t>
      </w:r>
      <w:bookmarkEnd w:id="7"/>
      <w:bookmarkEnd w:id="8"/>
      <w:r>
        <w:rPr>
          <w:rFonts w:ascii="Times New Roman" w:hAnsi="Times New Roman"/>
        </w:rPr>
        <w:t>оказания услуг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shd w:fill="FFFFFF" w:val="clear"/>
        </w:rPr>
        <w:tab/>
        <w:t>Целью оказания услуг является защита от разрушающих воздействий БПЛА окон и кровель зданий Филиала ПАО «РусГидро» – «Жигулевская ГЭС».</w:t>
      </w:r>
    </w:p>
    <w:p>
      <w:pPr>
        <w:pStyle w:val="Normal"/>
        <w:ind w:firstLine="68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  <w:t>В соответствии паспортом безопасности филиала ПАО «РусГидро» - «Жигулевская ГЭС» от 07.07.2025 года (инв. № 562с от 26.09.2025) базовой угрозой является нападение на объект с помощью беспилотных летательных аппаратов (БПЛА).</w:t>
      </w:r>
    </w:p>
    <w:p>
      <w:pPr>
        <w:pStyle w:val="Normal"/>
        <w:ind w:firstLine="737"/>
        <w:jc w:val="both"/>
        <w:rPr/>
      </w:pPr>
      <w:r>
        <w:rPr>
          <w:rFonts w:ascii="Times New Roman" w:hAnsi="Times New Roman"/>
          <w:shd w:fill="auto" w:val="clear"/>
        </w:rPr>
        <w:t xml:space="preserve">Для атаки наиболее вероятно использование таранного удара БПЛА («камикадзе») самолетного типа, среднего или тяжёлого класса («Бобёр», «Лютый», </w:t>
      </w:r>
      <w:r>
        <w:rPr>
          <w:rStyle w:val="Strong"/>
          <w:rFonts w:ascii="Times New Roman" w:hAnsi="Times New Roman"/>
          <w:b w:val="false"/>
          <w:bCs w:val="false"/>
          <w:shd w:fill="auto" w:val="clear"/>
        </w:rPr>
        <w:t>UJ-25</w:t>
      </w:r>
      <w:r>
        <w:rPr>
          <w:rFonts w:ascii="Times New Roman" w:hAnsi="Times New Roman"/>
          <w:shd w:fill="auto" w:val="clear"/>
        </w:rPr>
        <w:t xml:space="preserve">), движущегося со скоростью 130 — 200 км/ч, с массой боевой части от 20 до 80 кг.  </w:t>
      </w:r>
    </w:p>
    <w:p>
      <w:pPr>
        <w:pStyle w:val="Normal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rPr>
          <w:rFonts w:ascii="Times New Roman" w:hAnsi="Times New Roman"/>
          <w:shd w:fill="FFFFFF" w:val="clear"/>
        </w:rPr>
      </w:pPr>
      <w:r>
        <w:rPr>
          <w:rFonts w:ascii="Times New Roman" w:hAnsi="Times New Roman"/>
          <w:shd w:fill="FFFFFF" w:val="clear"/>
        </w:rPr>
      </w:r>
    </w:p>
    <w:p>
      <w:pPr>
        <w:pStyle w:val="Heading2"/>
        <w:rPr>
          <w:rFonts w:ascii="Times New Roman" w:hAnsi="Times New Roman"/>
        </w:rPr>
      </w:pPr>
      <w:bookmarkStart w:id="9" w:name="_Toc226037846"/>
      <w:bookmarkStart w:id="10" w:name="_Toc226035811"/>
      <w:r>
        <w:rPr>
          <w:rFonts w:ascii="Times New Roman" w:hAnsi="Times New Roman"/>
        </w:rPr>
        <w:t>Существующее положение</w:t>
      </w:r>
      <w:bookmarkEnd w:id="9"/>
      <w:bookmarkEnd w:id="10"/>
    </w:p>
    <w:p>
      <w:pPr>
        <w:pStyle w:val="Normal"/>
        <w:tabs>
          <w:tab w:val="clear" w:pos="708"/>
          <w:tab w:val="left" w:pos="426" w:leader="none"/>
        </w:tabs>
        <w:spacing w:before="120" w:after="240"/>
        <w:rPr>
          <w:rFonts w:ascii="Times New Roman" w:hAnsi="Times New Roman"/>
        </w:rPr>
      </w:pPr>
      <w:r>
        <w:rPr>
          <w:rFonts w:ascii="Times New Roman" w:hAnsi="Times New Roman"/>
        </w:rPr>
        <w:t>Жигулёвская ГЭС расположена по адресу: Российская Федерация, 445350, Самарская область, город Жигулевск, Московское шоссе, дом 2.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-6"/>
          <w:kern w:val="0"/>
          <w:sz w:val="24"/>
          <w:szCs w:val="24"/>
          <w:shd w:fill="auto" w:val="clear"/>
          <w:lang w:val="ru-RU" w:eastAsia="ru-RU" w:bidi="ar-SA"/>
        </w:rPr>
        <w:t>В целях исполнения приказа ПАО «РусГидро» от 30.06.2026 №474</w:t>
        <w:br/>
        <w:t>«О пассивной защите важнейших объектов Группы РусГидро» в</w:t>
      </w:r>
      <w:r>
        <w:rPr>
          <w:rFonts w:ascii="Times New Roman" w:hAnsi="Times New Roman"/>
          <w:shd w:fill="auto" w:val="clear"/>
        </w:rPr>
        <w:t xml:space="preserve"> рамках Протокола совместного совещания о  выполнении мероприятий по повышению защищенности Жигулевской ГЭС, предлагаемых технических решениях и сроках их реализации от 13 августа 2026 года существует необходимость оказания услуг по инженерно-технической защите оконных проемов и кровель зданий ППУ ОРУ-110кВ, 220кВ, 500кВ, ОПУ-500кВ, и окон помещения ЛАЗ административного корпуса.</w:t>
      </w:r>
    </w:p>
    <w:p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b/>
        </w:rPr>
        <w:t>Иные требования и сведения общего характера</w:t>
      </w:r>
    </w:p>
    <w:p>
      <w:pPr>
        <w:pStyle w:val="Heading2"/>
        <w:numPr>
          <w:ilvl w:val="0"/>
          <w:numId w:val="0"/>
        </w:numPr>
        <w:ind w:left="432" w:hanging="0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Требования к участникам закупки: отсутствие в реестре недобросовестных поставщиков ФАС.</w:t>
      </w:r>
      <w:r>
        <w:rPr>
          <w:rFonts w:ascii="Times New Roman" w:hAnsi="Times New Roman"/>
          <w:b w:val="false"/>
          <w:bCs w:val="false"/>
        </w:rPr>
        <w:t xml:space="preserve">  </w:t>
      </w:r>
    </w:p>
    <w:p>
      <w:pPr>
        <w:pStyle w:val="Normal"/>
        <w:tabs>
          <w:tab w:val="clear" w:pos="708"/>
          <w:tab w:val="left" w:pos="426" w:leader="none"/>
        </w:tabs>
        <w:spacing w:before="120" w:after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850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Normal"/>
        <w:tabs>
          <w:tab w:val="clear" w:pos="708"/>
          <w:tab w:val="left" w:pos="426" w:leader="none"/>
        </w:tabs>
        <w:spacing w:before="120" w:after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1"/>
        <w:ind w:left="993" w:hanging="426"/>
        <w:rPr>
          <w:rFonts w:ascii="Times New Roman" w:hAnsi="Times New Roman"/>
        </w:rPr>
      </w:pPr>
      <w:bookmarkStart w:id="11" w:name="_Toc226035812"/>
      <w:bookmarkStart w:id="12" w:name="_Toc226037847"/>
      <w:r>
        <w:rPr>
          <w:rFonts w:ascii="Times New Roman" w:hAnsi="Times New Roman"/>
        </w:rPr>
        <w:t>Таблица 1. Перечень объектов заказчика</w:t>
      </w:r>
      <w:bookmarkEnd w:id="11"/>
      <w:bookmarkEnd w:id="12"/>
    </w:p>
    <w:tbl>
      <w:tblPr>
        <w:tblW w:w="9968" w:type="dxa"/>
        <w:jc w:val="left"/>
        <w:tblInd w:w="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55"/>
        <w:gridCol w:w="2220"/>
        <w:gridCol w:w="1815"/>
        <w:gridCol w:w="2145"/>
        <w:gridCol w:w="3233"/>
      </w:tblGrid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Расположение объекта </w:t>
              <w:br/>
            </w:r>
            <w:r>
              <w:rPr>
                <w:rFonts w:ascii="Times New Roman" w:hAnsi="Times New Roman"/>
                <w:i/>
                <w:iCs/>
              </w:rPr>
              <w:t>(место оказания услуг)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Примечания</w:t>
            </w:r>
          </w:p>
        </w:tc>
      </w:tr>
      <w:tr>
        <w:trPr/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</w:tr>
      <w:tr>
        <w:trPr>
          <w:trHeight w:val="652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1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и кровли  здания ППУ-500кВ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18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Филиал ПАО “РусГидро”-“Жигулевская ГЭС”, Российская Федерация, Самарская обл., г. Жигулевск, Московское шоссе д.2, 445350,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001127</w:t>
            </w:r>
          </w:p>
        </w:tc>
        <w:tc>
          <w:tcPr>
            <w:tcW w:w="32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Эксплуатирующая организация: Филиал ПАО “РусГидро”-“Жигулевская ГЭС”</w:t>
            </w:r>
          </w:p>
        </w:tc>
      </w:tr>
      <w:tr>
        <w:trPr>
          <w:trHeight w:val="652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2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и кровли  здания ОПУ-500кВ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10056</w:t>
            </w:r>
          </w:p>
        </w:tc>
        <w:tc>
          <w:tcPr>
            <w:tcW w:w="32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52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3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и кровли  здания ППУ-220кВ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10009</w:t>
            </w:r>
          </w:p>
        </w:tc>
        <w:tc>
          <w:tcPr>
            <w:tcW w:w="32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52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4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и кровли  здания ППУ-110кВ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10008</w:t>
            </w:r>
          </w:p>
        </w:tc>
        <w:tc>
          <w:tcPr>
            <w:tcW w:w="32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52" w:hRule="atLeast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5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ЛАЗ административного корпуса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18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10003</w:t>
            </w:r>
          </w:p>
        </w:tc>
        <w:tc>
          <w:tcPr>
            <w:tcW w:w="32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Heading3"/>
        <w:numPr>
          <w:ilvl w:val="0"/>
          <w:numId w:val="0"/>
        </w:numPr>
        <w:ind w:left="72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3"/>
        <w:rPr>
          <w:rFonts w:ascii="Times New Roman" w:hAnsi="Times New Roman"/>
        </w:rPr>
      </w:pPr>
      <w:bookmarkStart w:id="13" w:name="_Toc226035813"/>
      <w:bookmarkStart w:id="14" w:name="_Toc226037848"/>
      <w:r>
        <w:rPr>
          <w:rFonts w:ascii="Times New Roman" w:hAnsi="Times New Roman"/>
        </w:rPr>
        <w:t xml:space="preserve">Основание на </w:t>
      </w:r>
      <w:bookmarkEnd w:id="13"/>
      <w:bookmarkEnd w:id="14"/>
      <w:r>
        <w:rPr>
          <w:rFonts w:ascii="Times New Roman" w:hAnsi="Times New Roman"/>
        </w:rPr>
        <w:t>оказание услуг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  Исполнение поручения Президента Российской Федерации от 10.04.2026 № Пр-867.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СЗ №2.141-ДСП от 08.07.2026 о повышении уровня защищенности персонала осуществляющего функции оперативно-технологического управления объектами и сохранения управляемости оборудованием объектов гидрогенерации ПАО «РусГидро».</w:t>
      </w:r>
    </w:p>
    <w:p>
      <w:pPr>
        <w:pStyle w:val="ListParagraph"/>
        <w:ind w:left="2356" w:hanging="108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ind w:left="1728" w:hanging="108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bookmarkStart w:id="15" w:name="_Toc226037849"/>
      <w:bookmarkStart w:id="16" w:name="_Toc226035814"/>
      <w:r>
        <w:rPr>
          <w:rFonts w:ascii="Times New Roman" w:hAnsi="Times New Roman"/>
        </w:rPr>
        <w:t xml:space="preserve">Информация в отношении исполнения договора, </w:t>
      </w:r>
      <w:bookmarkStart w:id="17" w:name="_Hlk46492347"/>
      <w:r>
        <w:rPr>
          <w:rFonts w:ascii="Times New Roman" w:hAnsi="Times New Roman"/>
        </w:rPr>
        <w:t xml:space="preserve">которая должна быть учтена при подготовке заявки </w:t>
      </w:r>
      <w:bookmarkEnd w:id="17"/>
      <w:r>
        <w:rPr>
          <w:rFonts w:ascii="Times New Roman" w:hAnsi="Times New Roman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5"/>
      <w:bookmarkEnd w:id="16"/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2.2.1. Заказчик назначает представителя для оперативного рассмотрения и решения технических и организационных вопросов, связанных с оказанием услуг.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Для оказания услуг Заказчик предоставляет автомобильные краны, на безвозмездной основе в соответствии с Приказом ПАО «РусГидро» от 29.10.2021 №1013 «Методика выполнения процесса взаимодействия персонала филиалов ПАО «РусГидро» и подрядных организаций при эксплуатации подъемных сооружений». При безвозмездной форме предоставления </w:t>
      </w:r>
      <w:r>
        <w:rPr>
          <w:rFonts w:ascii="Times New Roman" w:hAnsi="Times New Roman"/>
          <w:bCs/>
        </w:rPr>
        <w:t>Исполнитель</w:t>
      </w:r>
      <w:r>
        <w:rPr>
          <w:rFonts w:ascii="Times New Roman" w:hAnsi="Times New Roman"/>
        </w:rPr>
        <w:t xml:space="preserve"> обязан исключить из расчетов на оказание услуг затраты на использование кранов, где используются данные грузоподъёмные механизмы.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Заказчик обеспечивает </w:t>
      </w:r>
      <w:r>
        <w:rPr>
          <w:rFonts w:ascii="Times New Roman" w:hAnsi="Times New Roman"/>
          <w:bCs/>
        </w:rPr>
        <w:t>Исполнителю</w:t>
      </w:r>
      <w:r>
        <w:rPr>
          <w:rFonts w:ascii="Times New Roman" w:hAnsi="Times New Roman"/>
        </w:rPr>
        <w:t xml:space="preserve"> возможность подключения  к имеющимся у Заказчика бытовым источникам электроснабжения, водоснабжения, канализации для целей оказания услуг.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2.2.4 Ознакомление </w:t>
      </w:r>
      <w:r>
        <w:rPr>
          <w:rFonts w:ascii="Times New Roman" w:hAnsi="Times New Roman"/>
          <w:bCs/>
        </w:rPr>
        <w:t>Исполнителя</w:t>
      </w:r>
      <w:r>
        <w:rPr>
          <w:rFonts w:ascii="Times New Roman" w:hAnsi="Times New Roman"/>
        </w:rPr>
        <w:t xml:space="preserve"> с локальными нормативными актами заказчика, устанавливающими требования по охране труда, промышленной и пожарной безопасности, охране окружающей среды, правилами пропускного и внутриобъектового режима Заказчика. Предоставление </w:t>
      </w:r>
      <w:r>
        <w:rPr>
          <w:rFonts w:ascii="Times New Roman" w:hAnsi="Times New Roman"/>
          <w:bCs/>
        </w:rPr>
        <w:t>Исполнителю</w:t>
      </w:r>
      <w:r>
        <w:rPr>
          <w:rFonts w:ascii="Times New Roman" w:hAnsi="Times New Roman"/>
        </w:rPr>
        <w:t xml:space="preserve"> необходимой для оказания услуг конструкторскую, проектную документацию, в том числе: план размещения объектов, схемы транспортных перемещений внутри цехов и на территории электростанции, схемы постов энергоносителей.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Услуги предоставляются Заказчиком без дополнительной платы со стороны </w:t>
      </w:r>
      <w:r>
        <w:rPr>
          <w:rFonts w:ascii="Times New Roman" w:hAnsi="Times New Roman"/>
          <w:bCs/>
        </w:rPr>
        <w:t>Исполнителя</w:t>
      </w:r>
      <w:r>
        <w:rPr>
          <w:rFonts w:ascii="Times New Roman" w:hAnsi="Times New Roman"/>
        </w:rPr>
        <w:t>: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Электроэнергия: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Вода;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Содержание пожарной и сторожевой охраны;</w:t>
      </w:r>
    </w:p>
    <w:p>
      <w:pPr>
        <w:pStyle w:val="Heading1"/>
        <w:ind w:left="4820" w:hanging="5038"/>
        <w:rPr>
          <w:rFonts w:ascii="Times New Roman" w:hAnsi="Times New Roman"/>
        </w:rPr>
      </w:pPr>
      <w:bookmarkStart w:id="18" w:name="_Toc226037850"/>
      <w:bookmarkStart w:id="19" w:name="_Toc226035815"/>
      <w:bookmarkEnd w:id="19"/>
      <w:r>
        <w:rPr>
          <w:rFonts w:ascii="Times New Roman" w:hAnsi="Times New Roman"/>
        </w:rPr>
        <w:t xml:space="preserve">Требования к объемам и срокам </w:t>
      </w:r>
      <w:bookmarkEnd w:id="18"/>
      <w:r>
        <w:rPr>
          <w:rFonts w:ascii="Times New Roman" w:hAnsi="Times New Roman"/>
        </w:rPr>
        <w:t>оказания услуг</w:t>
      </w:r>
    </w:p>
    <w:p>
      <w:pPr>
        <w:pStyle w:val="Heading3"/>
        <w:rPr>
          <w:rFonts w:ascii="Times New Roman" w:hAnsi="Times New Roman"/>
        </w:rPr>
      </w:pPr>
      <w:bookmarkStart w:id="20" w:name="_Toc226035816"/>
      <w:bookmarkStart w:id="21" w:name="_Toc226037851"/>
      <w:r>
        <w:rPr>
          <w:rFonts w:ascii="Times New Roman" w:hAnsi="Times New Roman"/>
        </w:rPr>
        <w:t xml:space="preserve">Требования к объёмам и срокам </w:t>
      </w:r>
      <w:bookmarkEnd w:id="20"/>
      <w:bookmarkEnd w:id="21"/>
      <w:r>
        <w:rPr>
          <w:rFonts w:ascii="Times New Roman" w:hAnsi="Times New Roman"/>
        </w:rPr>
        <w:t xml:space="preserve">оказания услуг </w:t>
      </w:r>
    </w:p>
    <w:p>
      <w:pPr>
        <w:pStyle w:val="Heading1"/>
        <w:numPr>
          <w:ilvl w:val="0"/>
          <w:numId w:val="0"/>
        </w:numPr>
        <w:ind w:left="1134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80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9"/>
        <w:gridCol w:w="3819"/>
        <w:gridCol w:w="2656"/>
        <w:gridCol w:w="2660"/>
      </w:tblGrid>
      <w:tr>
        <w:trPr/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услуг / этапа оказания услуг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</w:p>
        </w:tc>
      </w:tr>
      <w:tr>
        <w:trPr/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>
        <w:trPr/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3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и кровли  здания ППУ-500кВ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53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/>
                <w:i/>
                <w:i/>
              </w:rPr>
            </w:pPr>
            <w:r>
              <w:rPr>
                <w:rFonts w:ascii="Times New Roman" w:hAnsi="Times New Roman"/>
                <w:i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В соответствии  с ВО №425205 (Приложение №2 к настоящим ТТ)</w:t>
            </w:r>
          </w:p>
        </w:tc>
      </w:tr>
      <w:tr>
        <w:trPr>
          <w:trHeight w:val="572" w:hRule="atLeast"/>
        </w:trPr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2.</w:t>
            </w:r>
          </w:p>
        </w:tc>
        <w:tc>
          <w:tcPr>
            <w:tcW w:w="3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и кровли  здания ОПУ-500кВ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53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В соответствии  с ВО №425228 (Приложение №2 к настоящим ТТ)</w:t>
            </w:r>
          </w:p>
        </w:tc>
      </w:tr>
      <w:tr>
        <w:trPr>
          <w:trHeight w:val="840" w:hRule="atLeast"/>
        </w:trPr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3.</w:t>
            </w:r>
          </w:p>
        </w:tc>
        <w:tc>
          <w:tcPr>
            <w:tcW w:w="3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и кровли  здания ППУ-220кВ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53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В соответствии  с ВО №425226 (Приложение №2 к настоящим ТТ)</w:t>
            </w:r>
          </w:p>
        </w:tc>
      </w:tr>
      <w:tr>
        <w:trPr>
          <w:trHeight w:val="840" w:hRule="atLeast"/>
        </w:trPr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4.</w:t>
            </w:r>
          </w:p>
        </w:tc>
        <w:tc>
          <w:tcPr>
            <w:tcW w:w="3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и кровли  здания ППУ-110кВ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53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В соответствии  с ВО №42527 (Приложение №2 к настоящим ТТ)</w:t>
            </w:r>
          </w:p>
        </w:tc>
      </w:tr>
      <w:tr>
        <w:trPr>
          <w:trHeight w:val="840" w:hRule="atLeast"/>
        </w:trPr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5.</w:t>
            </w:r>
          </w:p>
        </w:tc>
        <w:tc>
          <w:tcPr>
            <w:tcW w:w="3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ЛАЗ административного корпуса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53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В соответствии  с ВО №425229 (Приложение №2 к настоящим ТТ)</w:t>
            </w:r>
          </w:p>
        </w:tc>
      </w:tr>
    </w:tbl>
    <w:p>
      <w:pPr>
        <w:pStyle w:val="Heading3"/>
        <w:rPr>
          <w:rFonts w:ascii="Times New Roman" w:hAnsi="Times New Roman"/>
        </w:rPr>
      </w:pPr>
      <w:bookmarkStart w:id="22" w:name="_Toc226035818"/>
      <w:bookmarkStart w:id="23" w:name="_Toc226037852"/>
      <w:r>
        <w:rPr>
          <w:rFonts w:ascii="Times New Roman" w:hAnsi="Times New Roman"/>
        </w:rPr>
        <w:t xml:space="preserve">Требования к срокам </w:t>
      </w:r>
      <w:bookmarkEnd w:id="22"/>
      <w:bookmarkEnd w:id="23"/>
      <w:r>
        <w:rPr>
          <w:rFonts w:ascii="Times New Roman" w:hAnsi="Times New Roman"/>
        </w:rPr>
        <w:t>оказания услуг</w:t>
      </w:r>
    </w:p>
    <w:p>
      <w:pPr>
        <w:pStyle w:val="Heading1"/>
        <w:numPr>
          <w:ilvl w:val="0"/>
          <w:numId w:val="0"/>
        </w:numPr>
        <w:ind w:left="0" w:hanging="0"/>
        <w:rPr>
          <w:rFonts w:ascii="Times New Roman" w:hAnsi="Times New Roman"/>
        </w:rPr>
      </w:pPr>
      <w:bookmarkStart w:id="24" w:name="_Toc226037853"/>
      <w:bookmarkStart w:id="25" w:name="_Toc226035819"/>
      <w:r>
        <w:rPr>
          <w:rFonts w:ascii="Times New Roman" w:hAnsi="Times New Roman"/>
          <w:sz w:val="24"/>
        </w:rPr>
        <w:t xml:space="preserve">Таблица 3. </w:t>
      </w:r>
      <w:bookmarkStart w:id="26" w:name="_Hlk50465284"/>
      <w:r>
        <w:rPr>
          <w:rFonts w:ascii="Times New Roman" w:hAnsi="Times New Roman"/>
          <w:sz w:val="24"/>
        </w:rPr>
        <w:t xml:space="preserve">Требования по срокам </w:t>
      </w:r>
      <w:bookmarkEnd w:id="24"/>
      <w:bookmarkEnd w:id="25"/>
      <w:bookmarkEnd w:id="26"/>
      <w:r>
        <w:rPr>
          <w:rFonts w:ascii="Times New Roman" w:hAnsi="Times New Roman"/>
          <w:sz w:val="24"/>
        </w:rPr>
        <w:t>оказания услуг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78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69"/>
        <w:gridCol w:w="2679"/>
        <w:gridCol w:w="3221"/>
        <w:gridCol w:w="3211"/>
      </w:tblGrid>
      <w:tr>
        <w:trPr/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услуг/ этапа оказания услуг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началу срока оказания услуг / этапа оказания услуг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окончанию срока оказания услуг / этапа оказания услуг</w:t>
            </w:r>
          </w:p>
        </w:tc>
      </w:tr>
      <w:tr>
        <w:trPr/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2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и кровли  здания ППУ-500кВ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3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С даты, следующей за датой заключения договора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(плановая дата 07.09.2026г.)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30.10.2026</w:t>
            </w:r>
          </w:p>
        </w:tc>
      </w:tr>
      <w:tr>
        <w:trPr/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2.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и кровли  здания ОПУ-500кВ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С даты, следующей за датой заключения договора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(плановая дата 07.09.2026г.)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30.10.2026</w:t>
            </w:r>
          </w:p>
        </w:tc>
      </w:tr>
      <w:tr>
        <w:trPr/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3.</w:t>
            </w:r>
          </w:p>
        </w:tc>
        <w:tc>
          <w:tcPr>
            <w:tcW w:w="2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и кровли  здания ППУ-220кВ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3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С даты, следующей за датой заключения договора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(плановая дата 07.09.2026г.)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30.10.2026</w:t>
            </w:r>
          </w:p>
        </w:tc>
      </w:tr>
      <w:tr>
        <w:trPr/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4.</w:t>
            </w:r>
          </w:p>
        </w:tc>
        <w:tc>
          <w:tcPr>
            <w:tcW w:w="2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и кровли  здания ППУ-110кВ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3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С даты, следующей за датой заключения договора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(плановая дата 07.09.2026г.)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30.10.2026</w:t>
            </w:r>
          </w:p>
        </w:tc>
      </w:tr>
      <w:tr>
        <w:trPr/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5.</w:t>
            </w:r>
          </w:p>
        </w:tc>
        <w:tc>
          <w:tcPr>
            <w:tcW w:w="2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rPr>
                <w:rFonts w:ascii="Times New Roman" w:hAnsi="Times New Roman"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Оказание услуг по инженерно-технической защите оконных проемов ЛАЗ административного корпуса </w:t>
            </w:r>
            <w:r>
              <w:rPr>
                <w:rFonts w:ascii="Times New Roman" w:hAnsi="Times New Roman"/>
                <w:b w:val="false"/>
                <w:i/>
                <w:iCs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Жигулевской ГЭС</w:t>
            </w:r>
          </w:p>
        </w:tc>
        <w:tc>
          <w:tcPr>
            <w:tcW w:w="3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С даты, следующей за датой заключения договора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(плановая дата 07.09.2026г.)</w:t>
            </w:r>
          </w:p>
        </w:tc>
        <w:tc>
          <w:tcPr>
            <w:tcW w:w="3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30.10.2026</w:t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w="11906" w:h="16838"/>
          <w:pgMar w:left="1134" w:right="851" w:gutter="0" w:header="0" w:top="615" w:footer="0" w:bottom="720"/>
          <w:pgNumType w:fmt="decimal"/>
          <w:formProt w:val="false"/>
          <w:textDirection w:val="lrTb"/>
          <w:docGrid w:type="default" w:linePitch="600" w:charSpace="32768"/>
        </w:sectPr>
      </w:pPr>
      <w:r>
        <w:br w:type="page"/>
      </w:r>
    </w:p>
    <w:p>
      <w:pPr>
        <w:pStyle w:val="Heading2"/>
        <w:numPr>
          <w:ilvl w:val="0"/>
          <w:numId w:val="0"/>
        </w:numPr>
        <w:ind w:left="0" w:hanging="0"/>
        <w:rPr>
          <w:rFonts w:ascii="Times New Roman" w:hAnsi="Times New Roman"/>
        </w:rPr>
      </w:pPr>
      <w:bookmarkStart w:id="27" w:name="_Toc226035820"/>
      <w:bookmarkStart w:id="28" w:name="_Toc226037854"/>
      <w:r>
        <w:rPr>
          <w:rFonts w:ascii="Times New Roman" w:hAnsi="Times New Roman"/>
        </w:rPr>
        <w:t xml:space="preserve">4.Требования к качеству </w:t>
      </w:r>
      <w:bookmarkEnd w:id="27"/>
      <w:bookmarkEnd w:id="28"/>
      <w:r>
        <w:rPr>
          <w:rFonts w:ascii="Times New Roman" w:hAnsi="Times New Roman"/>
        </w:rPr>
        <w:t>услуг</w:t>
      </w:r>
    </w:p>
    <w:p>
      <w:pPr>
        <w:pStyle w:val="Heading1"/>
        <w:numPr>
          <w:ilvl w:val="0"/>
          <w:numId w:val="0"/>
        </w:numPr>
        <w:ind w:left="0" w:hanging="0"/>
        <w:rPr>
          <w:rFonts w:ascii="Times New Roman" w:hAnsi="Times New Roman"/>
        </w:rPr>
      </w:pPr>
      <w:bookmarkStart w:id="29" w:name="_Toc226035821"/>
      <w:bookmarkStart w:id="30" w:name="_Toc226037855"/>
      <w:r>
        <w:rPr>
          <w:rFonts w:ascii="Times New Roman" w:hAnsi="Times New Roman"/>
          <w:sz w:val="24"/>
        </w:rPr>
        <w:t xml:space="preserve">Таблица 4. Требования к качеству </w:t>
      </w:r>
      <w:bookmarkEnd w:id="29"/>
      <w:bookmarkEnd w:id="30"/>
      <w:r>
        <w:rPr>
          <w:rFonts w:ascii="Times New Roman" w:hAnsi="Times New Roman"/>
          <w:sz w:val="24"/>
        </w:rPr>
        <w:t>услуг</w:t>
      </w:r>
    </w:p>
    <w:p>
      <w:pPr>
        <w:pStyle w:val="Normal"/>
        <w:snapToGrid w:val="false"/>
        <w:spacing w:before="0" w:after="1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Наименование услуг/этапа оказания услуг (позиция № 1,2 Таблицы 2): Оказание услуг по инженерно-технической защите оконных проемов и кровель зданий ППУ-500кВ, ОПУ-500кВ, ППУ-110кВ, ППУ-220кВ, ЛАЗ административного корпуса Жигулевской ГЭС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91"/>
        <w:gridCol w:w="4830"/>
        <w:gridCol w:w="9191"/>
      </w:tblGrid>
      <w:tr>
        <w:trPr>
          <w:trHeight w:val="276" w:hRule="atLeast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4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параметра</w:t>
            </w:r>
          </w:p>
        </w:tc>
        <w:tc>
          <w:tcPr>
            <w:tcW w:w="9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Требование заказчика</w:t>
            </w:r>
          </w:p>
        </w:tc>
      </w:tr>
      <w:tr>
        <w:trPr>
          <w:trHeight w:val="276" w:hRule="atLeast"/>
        </w:trPr>
        <w:tc>
          <w:tcPr>
            <w:tcW w:w="6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59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Требования к оказанию услуг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Общие требования к оказанию услуг</w:t>
            </w:r>
          </w:p>
        </w:tc>
      </w:tr>
      <w:tr>
        <w:trPr>
          <w:trHeight w:val="1220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eastAsia="ru-RU"/>
              </w:rPr>
              <w:t>Услуги оказываются в соответствии: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eastAsia="ru-RU"/>
              </w:rPr>
              <w:t>- С Приложением №4 к настоящим ТТ.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eastAsia="ru-RU"/>
              </w:rPr>
              <w:t>- С графиком производства работ, согласованным с Заказчиком.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оказанию услуг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3"/>
                <w:numId w:val="5"/>
              </w:numPr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Работы выполняются в соответствии с ведомостями объемов (Приложение № 2 к настоящим ТТ);</w:t>
            </w:r>
          </w:p>
          <w:p>
            <w:pPr>
              <w:pStyle w:val="ListParagraph"/>
              <w:widowControl w:val="false"/>
              <w:numPr>
                <w:ilvl w:val="3"/>
                <w:numId w:val="5"/>
              </w:numPr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Весь объем материалов, приспособлений, инструмента и оборудования, необходимый для оказания услуг </w:t>
            </w:r>
            <w:r>
              <w:rPr>
                <w:rFonts w:ascii="Times New Roman" w:hAnsi="Times New Roman"/>
                <w:bCs/>
              </w:rPr>
              <w:t>Исполнитель</w:t>
            </w:r>
            <w:r>
              <w:rPr>
                <w:rFonts w:ascii="Times New Roman" w:hAnsi="Times New Roman"/>
              </w:rPr>
              <w:t xml:space="preserve"> приобретает и поставляет к месту оказания услуг самостоятельно без привлечения Заказчика.</w:t>
            </w:r>
          </w:p>
          <w:p>
            <w:pPr>
              <w:pStyle w:val="ListParagraph"/>
              <w:widowControl w:val="false"/>
              <w:numPr>
                <w:ilvl w:val="3"/>
                <w:numId w:val="5"/>
              </w:numPr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Соблюдать Требования в области охраны окружающей среды к подрядным организациям, оказывающим услуги на территории Филиала ПАО «РусГидро» - «Жигулевская ГЭС» (Приложение № 5 к настоящим ТТ);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Соблюдение при оказании услуг норм и правил нормативно-технических документов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При оказании услуг Исполнитель должен руководствоваться следующими национальными, отраслевыми и корпоративными (ПАО «РусГидро») НТД: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tabs>
                <w:tab w:val="clear" w:pos="708"/>
                <w:tab w:val="left" w:pos="102" w:leader="none"/>
              </w:tabs>
              <w:ind w:left="0" w:firstLine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Минтруда России от 15.12.2020 № 903н. "Правила по охране труда при эксплуатации электроустановок" (действующая редакция);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tabs>
                <w:tab w:val="clear" w:pos="708"/>
                <w:tab w:val="left" w:pos="102" w:leader="none"/>
              </w:tabs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Минтруда России от 4 октября 2022г. № 1070 "Правила технической эксплуатации электрических станций и сетей Российской Федерации" (действующая редакция);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tabs>
                <w:tab w:val="clear" w:pos="708"/>
                <w:tab w:val="left" w:pos="102" w:leader="none"/>
              </w:tabs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 (утв. Приказом Ростехнадзора 26.11.2020 № 461);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tabs>
                <w:tab w:val="clear" w:pos="708"/>
                <w:tab w:val="left" w:pos="102" w:leader="none"/>
              </w:tabs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«Правила организации технического обслуживания и ремонта объектов электроэнергетики» утвержденных приказом Минэнерго РФ № 1013 от 25.10.17;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tabs>
                <w:tab w:val="clear" w:pos="708"/>
                <w:tab w:val="left" w:pos="102" w:leader="none"/>
              </w:tabs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«Правила по охране труда при размещении, монтаже, техническом обслуживании и ремонте технологического оборудования» утвержденных приказом Минтруд РФ №833н от 27.11.2020;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tabs>
                <w:tab w:val="clear" w:pos="708"/>
                <w:tab w:val="left" w:pos="102" w:leader="none"/>
              </w:tabs>
              <w:ind w:left="0" w:hanging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Действующих требований в области охраны труда и пожарной безопасности.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tabs>
                <w:tab w:val="clear" w:pos="708"/>
                <w:tab w:val="left" w:pos="102" w:leader="none"/>
              </w:tabs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Минтруда России от 28.10.2020 N 753н «Правила по охране труда при погрузочно-разгрузочных работах и размещении грузов»;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tabs>
                <w:tab w:val="clear" w:pos="708"/>
                <w:tab w:val="left" w:pos="102" w:leader="none"/>
              </w:tabs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Минтруда России от 16.11.2020 N 782н «Правила по охране труда при работе на высоте».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tabs>
                <w:tab w:val="clear" w:pos="708"/>
                <w:tab w:val="left" w:pos="102" w:leader="none"/>
              </w:tabs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Приказ Минтруда России от 27.11.2020 </w:t>
            </w:r>
            <w:r>
              <w:rPr>
                <w:rFonts w:ascii="Times New Roman" w:hAnsi="Times New Roman"/>
                <w:lang w:val="en-US"/>
              </w:rPr>
              <w:t>N</w:t>
            </w:r>
            <w:r>
              <w:rPr>
                <w:rFonts w:ascii="Times New Roman" w:hAnsi="Times New Roman"/>
              </w:rPr>
              <w:t xml:space="preserve"> 61411 “Об утверждении Правил по охране труда при работе с инструментами и приспособлениями”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tabs>
                <w:tab w:val="clear" w:pos="708"/>
                <w:tab w:val="left" w:pos="102" w:leader="none"/>
              </w:tabs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закон от 21 июля 1997г. № 117-ФЗ “О безопасности гидротехнических сооружений” (Редакция от 11.06.2021)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tabs>
                <w:tab w:val="clear" w:pos="708"/>
                <w:tab w:val="left" w:pos="142" w:leader="none"/>
              </w:tabs>
              <w:ind w:left="4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 Правительства РФ от 21.06.2021 № 468 « О порядке проведения строительного контроля при осуществлении строительства, реконструкции и капитального ремонта (далее - строительство) объектов капитального строительства».</w:t>
            </w:r>
          </w:p>
          <w:p>
            <w:pPr>
              <w:pStyle w:val="ListParagraph"/>
              <w:widowControl w:val="false"/>
              <w:numPr>
                <w:ilvl w:val="3"/>
                <w:numId w:val="7"/>
              </w:numPr>
              <w:tabs>
                <w:tab w:val="clear" w:pos="708"/>
                <w:tab w:val="left" w:pos="142" w:leader="none"/>
              </w:tabs>
              <w:ind w:left="40" w:hanging="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ГОСТ Р 72193-2025 «Гидроэлектростанции и гидроаккумулирующие электростанции. Гидротехнические сооружения. Гидросиловое и механическое оборудование. Правила организации безопасного обслуживания.»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Требования к организации оказания услуг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Организационно-технические мероприятия по допуску персонала Исполнителя.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57" w:hanging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Услуги оказываются в соответствии с НТД, требованиями, указанными в п. 1.1.3 раздела 1.1 таблицы 4 настоящих ТТ;</w:t>
            </w:r>
          </w:p>
          <w:p>
            <w:pPr>
              <w:pStyle w:val="ListParagraph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Обеспечение техники безопасности при оказании услуг – технические и организационные возможности, комплектность персонала, обеспечение персонала СИЗ, безопасность оказания услуг должны соответствовать характеру оказываемых услуг.</w:t>
            </w:r>
          </w:p>
          <w:p>
            <w:pPr>
              <w:pStyle w:val="ListParagraph"/>
              <w:widowControl w:val="false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  <w:tab/>
              <w:t xml:space="preserve">Организационно-технические мероприятия по допуску персонала </w:t>
            </w:r>
            <w:r>
              <w:rPr>
                <w:rFonts w:ascii="Times New Roman" w:hAnsi="Times New Roman"/>
                <w:bCs/>
              </w:rPr>
              <w:t>Исполнителя</w:t>
            </w:r>
            <w:r>
              <w:rPr>
                <w:rFonts w:ascii="Times New Roman" w:hAnsi="Times New Roman"/>
              </w:rPr>
              <w:t xml:space="preserve"> к оказаниюуслуг осуществляются в соответствии с Приказом № 82 04.02.2022 «Методика допуска персонала подрядных организаций к выполнению работ на объектах Общества» (Приложение № 4 к ТТ).</w:t>
            </w:r>
          </w:p>
          <w:p>
            <w:pPr>
              <w:pStyle w:val="ListParagraph"/>
              <w:widowControl w:val="false"/>
              <w:ind w:left="57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Подготовку мест оказания услуг и допуск к ним осуществляет персонал Заказчика.</w:t>
            </w:r>
          </w:p>
          <w:p>
            <w:pPr>
              <w:pStyle w:val="ListParagraph"/>
              <w:widowControl w:val="false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Согласование со службой эксплуатации Заказчика мест подключения временных коммуникаций (технические условия на подключения выдаются после получения от </w:t>
            </w:r>
            <w:r>
              <w:rPr>
                <w:rFonts w:ascii="Times New Roman" w:hAnsi="Times New Roman"/>
                <w:bCs/>
              </w:rPr>
              <w:t>Исполнителя</w:t>
            </w:r>
            <w:r>
              <w:rPr>
                <w:rFonts w:ascii="Times New Roman" w:hAnsi="Times New Roman"/>
              </w:rPr>
              <w:t xml:space="preserve"> официального запроса с указанием потребных ресурсов в количественных и качественных показателях);</w:t>
            </w:r>
          </w:p>
          <w:p>
            <w:pPr>
              <w:pStyle w:val="ListParagraph"/>
              <w:widowControl w:val="false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Инженерная подготовка и оборудование площадки, монтаж ограждений, переходов, лестниц и т. д., осуществляется в соответствии с ППР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</w:rPr>
              <w:t>на оказание соответствующего вида услуг;</w:t>
            </w:r>
          </w:p>
          <w:p>
            <w:pPr>
              <w:pStyle w:val="ListParagraph"/>
              <w:widowControl w:val="false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Входной контроль поступающих материалов должен включать проверку:</w:t>
            </w:r>
          </w:p>
          <w:p>
            <w:pPr>
              <w:pStyle w:val="ListParagraph"/>
              <w:widowControl w:val="false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наличия соответствующих сертификатов;</w:t>
            </w:r>
          </w:p>
          <w:p>
            <w:pPr>
              <w:pStyle w:val="ListParagraph"/>
              <w:widowControl w:val="false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наличия и надлежащего заполнения документа о качестве и соответствии приведенных в нем данных - характеристикам, установленным в нормативном документе, регламентирующем технические требования к данной продукции;</w:t>
            </w:r>
          </w:p>
          <w:p>
            <w:pPr>
              <w:pStyle w:val="ListParagraph"/>
              <w:widowControl w:val="false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 наличия маркировки, сохранности упаковки, наличия и сохранности защитных и окрасочных покрытий и т.п.;</w:t>
            </w:r>
          </w:p>
          <w:p>
            <w:pPr>
              <w:pStyle w:val="ListParagraph"/>
              <w:widowControl w:val="false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г) правильности складирования и хранения;</w:t>
            </w:r>
          </w:p>
          <w:p>
            <w:pPr>
              <w:pStyle w:val="ListParagraph"/>
              <w:widowControl w:val="false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д) комплектность поставляемых материалов.</w:t>
            </w:r>
          </w:p>
          <w:p>
            <w:pPr>
              <w:pStyle w:val="ListParagraph"/>
              <w:widowControl w:val="false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Текущий контроль должен включать в себя надзор за правильностью и последовательностью выполнения отдельных технологических операций.</w:t>
            </w:r>
          </w:p>
          <w:p>
            <w:pPr>
              <w:pStyle w:val="ListParagraph"/>
              <w:widowControl w:val="false"/>
              <w:ind w:left="72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Приемочный контроль Перечень этапов и видов оказанных услуг, подлежащих приемке, должен быть согласован с Заказчиком.</w:t>
            </w:r>
          </w:p>
          <w:p>
            <w:pPr>
              <w:pStyle w:val="ListParagraph"/>
              <w:widowControl w:val="false"/>
              <w:ind w:left="72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11. Персонал </w:t>
            </w:r>
            <w:r>
              <w:rPr>
                <w:rFonts w:ascii="Times New Roman" w:hAnsi="Times New Roman"/>
                <w:bCs/>
              </w:rPr>
              <w:t>Исполнителя</w:t>
            </w:r>
            <w:r>
              <w:rPr>
                <w:rFonts w:ascii="Times New Roman" w:hAnsi="Times New Roman"/>
              </w:rPr>
              <w:t xml:space="preserve"> обеспечивает поддержание чистоты в местах оказания услуг, своевременную уборку указанной (выделенной) Заказчиком площадки. </w:t>
            </w:r>
            <w:r>
              <w:rPr>
                <w:rFonts w:ascii="Times New Roman" w:hAnsi="Times New Roman"/>
                <w:bCs/>
              </w:rPr>
              <w:t>Исполнитель</w:t>
            </w:r>
            <w:r>
              <w:rPr>
                <w:rFonts w:ascii="Times New Roman" w:hAnsi="Times New Roman"/>
              </w:rPr>
              <w:t xml:space="preserve"> при оказании услуг обеспечивает соблюдение санитарных требований и требований в области охраны окружающей среды к обращению с отходами, установленных законодательством Российской Федерации законодательства.</w:t>
            </w:r>
          </w:p>
          <w:p>
            <w:pPr>
              <w:pStyle w:val="ListParagraph"/>
              <w:widowControl w:val="false"/>
              <w:ind w:left="72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 </w:t>
            </w:r>
            <w:r>
              <w:rPr>
                <w:rFonts w:ascii="Times New Roman" w:hAnsi="Times New Roman"/>
                <w:bCs/>
              </w:rPr>
              <w:t>Исполнитель</w:t>
            </w:r>
            <w:r>
              <w:rPr>
                <w:rFonts w:ascii="Times New Roman" w:hAnsi="Times New Roman"/>
              </w:rPr>
              <w:t xml:space="preserve"> обеспечивает сохранность и возврат Заказчику материалов, демонтированного оборудования или его частей (в том числе черных и цветных металлов), выбывших из эксплуатации в результате оказания услуг.</w:t>
            </w:r>
          </w:p>
          <w:p>
            <w:pPr>
              <w:pStyle w:val="Normal"/>
              <w:widowControl w:val="false"/>
              <w:ind w:left="-34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 xml:space="preserve">13. </w:t>
            </w:r>
            <w:r>
              <w:rPr>
                <w:rFonts w:ascii="Times New Roman" w:hAnsi="Times New Roman"/>
                <w:bCs/>
                <w:lang w:eastAsia="en-US"/>
              </w:rPr>
              <w:t>Исполнитель</w:t>
            </w:r>
            <w:r>
              <w:rPr>
                <w:rFonts w:ascii="Times New Roman" w:hAnsi="Times New Roman"/>
                <w:lang w:eastAsia="en-US"/>
              </w:rPr>
              <w:t xml:space="preserve"> своевременно предупреждает Заказчика о необходимости оказания дополнительных услуг.</w:t>
            </w:r>
          </w:p>
        </w:tc>
      </w:tr>
      <w:tr>
        <w:trPr/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Требования к организации пропускного и внутри объектового режимов на охраняемой территории Жигулевской ГЭС</w:t>
            </w:r>
          </w:p>
        </w:tc>
        <w:tc>
          <w:tcPr>
            <w:tcW w:w="9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34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При оказании услуг на территории филиала ПАО «РусГидро»-«Жигулевская ГЭС» соблюдать:</w:t>
            </w:r>
          </w:p>
          <w:p>
            <w:pPr>
              <w:pStyle w:val="Normal"/>
              <w:widowControl w:val="false"/>
              <w:ind w:left="-34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en-US"/>
              </w:rPr>
              <w:t>-Положение по пропускному и внутриобъектовому режимам Филиала ПАО «РусГидро» - «Жигулевская ГЭС» (Приложение № 3 к настоящим ТТ).</w:t>
            </w:r>
          </w:p>
        </w:tc>
      </w:tr>
      <w:tr>
        <w:trPr/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</w:r>
          </w:p>
        </w:tc>
        <w:tc>
          <w:tcPr>
            <w:tcW w:w="4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Требование к способам оказания услуг охраны</w:t>
            </w:r>
          </w:p>
        </w:tc>
        <w:tc>
          <w:tcPr>
            <w:tcW w:w="9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993" w:leader="none"/>
              </w:tabs>
              <w:suppressAutoHyphens w:val="false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Оказывать содействие сотрудникам службы безопасности, </w:t>
            </w:r>
            <w:r>
              <w:rPr>
                <w:rFonts w:ascii="Times New Roman" w:hAnsi="Times New Roman"/>
                <w:iCs/>
              </w:rPr>
              <w:t xml:space="preserve">а именно: по требованию </w:t>
            </w:r>
            <w:r>
              <w:rPr>
                <w:rFonts w:ascii="Times New Roman" w:hAnsi="Times New Roman"/>
              </w:rPr>
              <w:t xml:space="preserve">предъявлять для осмотра при входе/выходе ручную кладь, предоставлять для досмотра </w:t>
            </w:r>
            <w:r>
              <w:rPr>
                <w:rFonts w:ascii="Times New Roman" w:hAnsi="Times New Roman"/>
                <w:iCs/>
              </w:rPr>
              <w:t xml:space="preserve">техническими средствами охраны, имеющимися на охраняемом Объекте (переносными и стационарными), </w:t>
            </w:r>
            <w:r>
              <w:rPr>
                <w:rFonts w:ascii="Times New Roman" w:hAnsi="Times New Roman"/>
              </w:rPr>
              <w:t xml:space="preserve">транспортные средства при въезде/выезде/передвижении по охраняемой территории </w:t>
            </w:r>
            <w:r>
              <w:rPr>
                <w:rFonts w:ascii="Times New Roman" w:hAnsi="Times New Roman"/>
                <w:iCs/>
              </w:rPr>
              <w:t>с целью недопущения проноса/провоза на охраняемый Объект вооружения, взрывчатых веществ и самодельных взрывных устройств, и их элементов, а также других запрещенных предметов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персонала Исполнителя комплектами СИЗ.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Допуск персонала </w:t>
            </w:r>
            <w:r>
              <w:rPr>
                <w:rFonts w:ascii="Times New Roman" w:hAnsi="Times New Roman"/>
                <w:bCs/>
              </w:rPr>
              <w:t>Исполнителя</w:t>
            </w:r>
            <w:r>
              <w:rPr>
                <w:rFonts w:ascii="Times New Roman" w:hAnsi="Times New Roman"/>
              </w:rPr>
              <w:t xml:space="preserve"> для оказания услуг осуществляется при наличии комплекта СИЗ. Комплекты СИЗ персонала обеспечивается силами </w:t>
            </w:r>
            <w:r>
              <w:rPr>
                <w:rFonts w:ascii="Times New Roman" w:hAnsi="Times New Roman"/>
                <w:bCs/>
              </w:rPr>
              <w:t>Исполнителя</w:t>
            </w:r>
            <w:r>
              <w:rPr>
                <w:rFonts w:ascii="Times New Roman" w:hAnsi="Times New Roman"/>
              </w:rPr>
              <w:t>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Требования к применяемым при оказании услуг оборудованию, материалам, технологиям, программно-аппаратным средствам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Материалы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выполнении работ должны применяться новые, не использованные ранее материалы, соответствие которых нормативным требованиям подтверждено декларацией о соответствии или сертификатом соответствия.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 w:eastAsia="Times New Roman"/>
                <w:b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lang w:eastAsia="ru-RU"/>
              </w:rPr>
            </w:r>
          </w:p>
        </w:tc>
        <w:tc>
          <w:tcPr>
            <w:tcW w:w="4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Материалы, необходимые для выполнения работ согласно ВО доставляются на место оказания услуг. (Приложе</w:t>
            </w:r>
            <w:r>
              <w:rPr>
                <w:rFonts w:ascii="Times New Roman" w:hAnsi="Times New Roman"/>
                <w:shd w:fill="auto" w:val="clear"/>
              </w:rPr>
              <w:t>ние № 2 к ТТ);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Изменения в номенклатуре, марках, поставляемых материалов допускается только по письменному согласованию с Заказчиком.</w:t>
            </w:r>
          </w:p>
        </w:tc>
      </w:tr>
      <w:tr>
        <w:trPr/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0"/>
                <w:lang w:eastAsia="ru-RU"/>
              </w:rPr>
              <w:t>Требования к материально-техническим ресурсам</w:t>
            </w:r>
          </w:p>
        </w:tc>
        <w:tc>
          <w:tcPr>
            <w:tcW w:w="9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kern w:val="0"/>
                <w:lang w:eastAsia="ru-RU"/>
              </w:rPr>
              <w:t>Исполнитель</w:t>
            </w:r>
            <w:r>
              <w:rPr>
                <w:rFonts w:ascii="Times New Roman" w:hAnsi="Times New Roman"/>
                <w:kern w:val="0"/>
                <w:lang w:eastAsia="ru-RU"/>
              </w:rPr>
              <w:t xml:space="preserve"> обязан иметь собственное или привлекаемое (по договорам)  оборудование и инструмент. Требования к наличию материально-технических ресурсов (МТР) указаны в Приложении № 8 к настоящим ТТ.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1.4.</w:t>
            </w:r>
          </w:p>
        </w:tc>
        <w:tc>
          <w:tcPr>
            <w:tcW w:w="1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Требования к контролю качества оказываемых услуг и материалов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0" w:after="60"/>
              <w:ind w:left="0" w:right="-113" w:hanging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1.4.1</w:t>
            </w:r>
          </w:p>
        </w:tc>
        <w:tc>
          <w:tcPr>
            <w:tcW w:w="4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Требования к качеству материалов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поставляемые материалы должны быть представлены заводские паспорта, сертификаты качества, техническая документация в полном объеме на бумажном носителе (1 экземпляр) и в электронном носителе (1 экземпляр).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0" w:after="60"/>
              <w:ind w:left="0" w:right="-113" w:hanging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1.4.2</w:t>
            </w:r>
          </w:p>
        </w:tc>
        <w:tc>
          <w:tcPr>
            <w:tcW w:w="4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оказании услуг должны применяться материалы, соответствие которых нормативным требованиям подтверждено декларацией о соответствии или сертификатом соответствия.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0" w:after="60"/>
              <w:ind w:left="0" w:right="-113" w:hanging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1.4.3</w:t>
            </w:r>
          </w:p>
        </w:tc>
        <w:tc>
          <w:tcPr>
            <w:tcW w:w="4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Доставку материалов осуществить не менее, чем за 20 календарных дней до начала оказания услуг и без попутного груза ,в соответствии с потребностью для соблюдения календарного графика, обеспечивающего оказание услуг и исключающего простой персонала по причине отсутствия МТР.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0" w:after="60"/>
              <w:ind w:left="0" w:right="-170" w:hanging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1.4.4</w:t>
            </w:r>
          </w:p>
        </w:tc>
        <w:tc>
          <w:tcPr>
            <w:tcW w:w="4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поставляемые и применяемые материалы должны быть новыми и не использованными ранее.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0" w:after="60"/>
              <w:ind w:left="0" w:right="-113" w:hanging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1.4.5</w:t>
            </w:r>
          </w:p>
        </w:tc>
        <w:tc>
          <w:tcPr>
            <w:tcW w:w="48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napToGrid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материалов, не соответствующих локальным сметным расчетам, допускается, если они по своим свойствам и техническим характеристикам не ниже требуемых, только после письменного согласования Заказчиком.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0" w:after="60"/>
              <w:ind w:left="0" w:right="-113" w:hanging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1.4.6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контролю качества услуг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 оказываемых услуг должен включать в себя надзор за правильностью и последовательностью выполнения отдельных технологических операций.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Приемочный контроль. Перечень этапов и видов услуг, подлежащих приемке, должен быть согласован с Заказчиком.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1.5.</w:t>
            </w:r>
          </w:p>
        </w:tc>
        <w:tc>
          <w:tcPr>
            <w:tcW w:w="1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Требования к персоналу </w:t>
            </w:r>
            <w:r>
              <w:rPr>
                <w:rFonts w:ascii="Times New Roman" w:hAnsi="Times New Roman"/>
                <w:b/>
                <w:lang w:val="en-US"/>
              </w:rPr>
              <w:t xml:space="preserve"> И</w:t>
            </w:r>
            <w:r>
              <w:rPr>
                <w:rFonts w:ascii="Times New Roman" w:hAnsi="Times New Roman"/>
                <w:b/>
                <w:bCs/>
                <w:lang w:val="en-US"/>
              </w:rPr>
              <w:t>сполнителя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0" w:after="60"/>
              <w:ind w:left="0" w:right="-113" w:hanging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1.5.1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Требования к персоналу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 xml:space="preserve">Наличие у </w:t>
            </w:r>
            <w:r>
              <w:rPr>
                <w:rFonts w:ascii="Times New Roman" w:hAnsi="Times New Roman"/>
                <w:bCs/>
                <w:iCs/>
              </w:rPr>
              <w:t>Исполнителя</w:t>
            </w:r>
            <w:r>
              <w:rPr>
                <w:rFonts w:ascii="Times New Roman" w:hAnsi="Times New Roman"/>
                <w:iCs/>
              </w:rPr>
              <w:t xml:space="preserve"> или у привлекаемых субподрядчиков собственного или привлеченного (по трудовым либо гражданско-правовым договорам) квалифицированного персонала в количестве, не менее указанного в Приложении № 6 к ТТ.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0" w:after="60"/>
              <w:ind w:left="0" w:right="-113" w:hanging="0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1.5.2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субподрядных организациях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Указать, приложить документы, подтверждающие готовность и возможность субподрядчиков выполнить работы.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1.6</w:t>
            </w:r>
          </w:p>
        </w:tc>
        <w:tc>
          <w:tcPr>
            <w:tcW w:w="1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Требования к безопасности оказания услуг и охране труда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0" w:after="60"/>
              <w:ind w:left="0" w:right="-113" w:hanging="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1.6.1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требования к безопасности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Услуги оказываются в условиях действующего предприятия: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ind w:left="320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открытых и полуоткрытых производственных площадках в стесненных условиях: с наличием в зоне производства работ действующего технологического оборудования или движения технологического транспорта;</w:t>
            </w:r>
          </w:p>
          <w:p>
            <w:pPr>
              <w:pStyle w:val="Default"/>
              <w:widowControl w:val="false"/>
              <w:numPr>
                <w:ilvl w:val="0"/>
                <w:numId w:val="9"/>
              </w:numPr>
              <w:ind w:left="320" w:hanging="284"/>
              <w:jc w:val="both"/>
              <w:rPr>
                <w:rFonts w:ascii="Times New Roman" w:hAnsi="Times New Roman"/>
              </w:rPr>
            </w:pPr>
            <w:r>
              <w:rPr/>
              <w:t>Вблизи объектов, находящихся под высоким напряжением, в том числе в охранной зоне действующей воздушной линии электропередачи;</w:t>
            </w:r>
          </w:p>
          <w:p>
            <w:pPr>
              <w:pStyle w:val="Default"/>
              <w:widowControl w:val="false"/>
              <w:numPr>
                <w:ilvl w:val="0"/>
                <w:numId w:val="9"/>
              </w:numPr>
              <w:ind w:left="320" w:hanging="284"/>
              <w:jc w:val="both"/>
              <w:rPr>
                <w:rFonts w:ascii="Times New Roman" w:hAnsi="Times New Roman"/>
              </w:rPr>
            </w:pPr>
            <w:r>
              <w:rPr>
                <w:rFonts w:eastAsia="Calibri"/>
              </w:rPr>
              <w:t>Требующие применение страховочных привязей;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ind w:left="0" w:hanging="0"/>
              <w:rPr/>
            </w:pPr>
            <w:r>
              <w:rPr>
                <w:rStyle w:val="Style7"/>
                <w:rFonts w:ascii="Times New Roman" w:hAnsi="Times New Roman"/>
                <w:b w:val="false"/>
                <w:i w:val="false"/>
                <w:shd w:fill="auto" w:val="clear"/>
              </w:rPr>
              <w:t>-    На высоте (свыше 4 м).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0" w:after="60"/>
              <w:ind w:left="0" w:right="-113" w:hanging="0"/>
              <w:jc w:val="left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en-US"/>
              </w:rPr>
              <w:t>1.6.2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безопасности оказываемых услуг.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Исполнитель</w:t>
            </w:r>
            <w:r>
              <w:rPr>
                <w:rFonts w:ascii="Times New Roman" w:hAnsi="Times New Roman"/>
                <w:iCs/>
              </w:rPr>
              <w:t xml:space="preserve"> должен 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охране окружающей среды, промышленной и пожарной безопасности, охране труда, а также все прочие законы и нормативные акты, относящиеся к сфере деятельности.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iCs/>
              </w:rPr>
              <w:t>Исполнитель</w:t>
            </w:r>
            <w:r>
              <w:rPr>
                <w:rFonts w:ascii="Times New Roman" w:hAnsi="Times New Roman"/>
                <w:iCs/>
              </w:rPr>
              <w:t xml:space="preserve"> обязан направлять на объекты заказчика персонал, обученный правилам безопасного оказания услуг и имеющий все необходимые допуски, а также представлять документы на русском языке, подтверждающие аттестацию персонала на оказание соответствующих видов услуг.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Требования к результатам оказания услуг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Общие требования к результатам </w:t>
            </w:r>
            <w:r>
              <w:rPr>
                <w:rFonts w:ascii="Times New Roman" w:hAnsi="Times New Roman"/>
                <w:b/>
                <w:bCs/>
              </w:rPr>
              <w:t>оказания услуг</w:t>
            </w:r>
          </w:p>
        </w:tc>
      </w:tr>
      <w:tr>
        <w:trPr>
          <w:trHeight w:val="61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lang w:val="en-US"/>
              </w:rPr>
              <w:t>Требования к р</w:t>
            </w:r>
            <w:r>
              <w:rPr>
                <w:rFonts w:ascii="Times New Roman" w:hAnsi="Times New Roman"/>
                <w:bCs/>
              </w:rPr>
              <w:t>езультат</w:t>
            </w:r>
            <w:r>
              <w:rPr>
                <w:rFonts w:ascii="Times New Roman" w:hAnsi="Times New Roman"/>
                <w:bCs/>
                <w:lang w:val="en-US"/>
              </w:rPr>
              <w:t>ам</w:t>
            </w:r>
            <w:r>
              <w:rPr>
                <w:rFonts w:ascii="Times New Roman" w:hAnsi="Times New Roman"/>
                <w:bCs/>
              </w:rPr>
              <w:t xml:space="preserve"> оказания услуг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Оказание комплекса услуг производится в таком объеме, который позволяет начать эксплуатацию результатов работ без закупки Заказчиком дополнительных объемов оборудования и услуг.</w:t>
            </w:r>
          </w:p>
        </w:tc>
      </w:tr>
      <w:tr>
        <w:trPr>
          <w:trHeight w:val="61" w:hRule="atLeast"/>
        </w:trPr>
        <w:tc>
          <w:tcPr>
            <w:tcW w:w="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Требования к информационной безопасности результата оказания услуг</w:t>
            </w:r>
          </w:p>
        </w:tc>
        <w:tc>
          <w:tcPr>
            <w:tcW w:w="9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60"/>
              <w:ind w:left="29" w:hanging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Требования информационной безопасности должны обеспечиваться на всех стадиях оказания услуг с учетом всех сторон, вовлеченных в процессы жизненного цикла (разработчиков, заказчиков, поставщиков продуктов и услуг, эксплуатирующих и надзорных подразделений Общества) в соответствии с Федеральными законами №152 от 27.07.2006 «О персональных данных» и № 98 от 29.07.2004 «О коммерческой тайне», а также Политикой информационной безопасности ПАО «РусГидро» в новой редакции (Приложение № 10)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  <w:i/>
                <w:i/>
                <w:iCs/>
              </w:rPr>
            </w:pPr>
            <w:r>
              <w:rPr>
                <w:rFonts w:ascii="Times New Roman" w:hAnsi="Times New Roman"/>
                <w:b/>
                <w:i/>
                <w:iCs/>
              </w:rPr>
            </w:r>
          </w:p>
        </w:tc>
        <w:tc>
          <w:tcPr>
            <w:tcW w:w="1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Требования к порядку приемки результатов оказанных услуг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napToGrid w:val="false"/>
              <w:spacing w:before="60" w:after="60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</w:t>
            </w:r>
            <w:r>
              <w:rPr>
                <w:rFonts w:ascii="Times New Roman" w:hAnsi="Times New Roman"/>
                <w:lang w:val="en-US"/>
              </w:rPr>
              <w:t>о</w:t>
            </w:r>
            <w:r>
              <w:rPr>
                <w:rFonts w:ascii="Times New Roman" w:hAnsi="Times New Roman"/>
              </w:rPr>
              <w:t>к приемки результатов оказанных услуг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78" w:leader="none"/>
              </w:tabs>
              <w:spacing w:before="6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Услуги считаются оказанными после приёмки объекта комиссией филиала с оформлением отчётной документации со стороны Исполнителя.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napToGrid w:val="false"/>
              <w:ind w:left="0" w:hanging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Требования к оформлению документации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napToGrid w:val="false"/>
              <w:ind w:left="0" w:hanging="0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</w:tabs>
              <w:suppressAutoHyphens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 xml:space="preserve">По завершении выполнения Работ в отношении каждого Объекта и готовности последнего к эксплуатации </w:t>
            </w:r>
            <w:r>
              <w:rPr>
                <w:rFonts w:ascii="Times New Roman" w:hAnsi="Times New Roman"/>
                <w:bCs/>
                <w:iCs/>
              </w:rPr>
              <w:t>Исполнитель</w:t>
            </w:r>
            <w:r>
              <w:rPr>
                <w:rFonts w:ascii="Times New Roman" w:hAnsi="Times New Roman"/>
                <w:i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представляет Заказчику подписанные со своей стороны:</w:t>
            </w:r>
          </w:p>
          <w:p>
            <w:pPr>
              <w:pStyle w:val="Normal"/>
              <w:widowControl w:val="false"/>
              <w:ind w:left="320" w:hanging="3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-</w:t>
              <w:tab/>
              <w:t>Акт об оказанных услугах в 2 (двух) экземплярах с приложением</w:t>
            </w:r>
          </w:p>
          <w:p>
            <w:pPr>
              <w:pStyle w:val="Normal"/>
              <w:widowControl w:val="false"/>
              <w:ind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 xml:space="preserve">     </w:t>
            </w:r>
            <w:r>
              <w:rPr>
                <w:rFonts w:ascii="Times New Roman" w:hAnsi="Times New Roman"/>
                <w:iCs/>
              </w:rPr>
              <w:t>приемо-сдаточной и исполнительной документации в 2 (двух) экземплярах, а      именно:</w:t>
            </w:r>
          </w:p>
          <w:p>
            <w:pPr>
              <w:pStyle w:val="Normal"/>
              <w:widowControl w:val="false"/>
              <w:ind w:left="320" w:hanging="3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- акты приемки объектов;</w:t>
            </w:r>
          </w:p>
          <w:p>
            <w:pPr>
              <w:pStyle w:val="Normal"/>
              <w:widowControl w:val="false"/>
              <w:ind w:left="320" w:hanging="3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- акты освидетельствования скрытых работ;</w:t>
            </w:r>
          </w:p>
          <w:p>
            <w:pPr>
              <w:pStyle w:val="Normal"/>
              <w:widowControl w:val="false"/>
              <w:ind w:left="320" w:hanging="3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- сертификаты качества и технические паспорта на используемые материалы и оборудование;</w:t>
            </w:r>
          </w:p>
          <w:p>
            <w:pPr>
              <w:pStyle w:val="Normal"/>
              <w:widowControl w:val="false"/>
              <w:ind w:left="320" w:hanging="3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- исполнительные схемы;</w:t>
            </w:r>
          </w:p>
          <w:p>
            <w:pPr>
              <w:pStyle w:val="Normal"/>
              <w:widowControl w:val="false"/>
              <w:ind w:left="320" w:hanging="3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- документы подтверждающие проведение контроля качества и входного контроля применяемых строительных материалов, изделий и комплектующих.</w:t>
            </w:r>
          </w:p>
          <w:p>
            <w:pPr>
              <w:pStyle w:val="Normal"/>
              <w:widowControl w:val="false"/>
              <w:ind w:left="320" w:hanging="3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>Комплекты приемо-сдаточной и исполнительной документации предоставляются на каждый этап отдельно.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spacing w:before="60" w:after="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Требования к ответственности и гарантиям </w:t>
            </w:r>
            <w:r>
              <w:rPr>
                <w:rFonts w:ascii="Times New Roman" w:hAnsi="Times New Roman"/>
                <w:b/>
                <w:bCs/>
              </w:rPr>
              <w:t>Исполнителя</w:t>
            </w:r>
          </w:p>
        </w:tc>
      </w:tr>
      <w:tr>
        <w:trPr>
          <w:trHeight w:val="309" w:hRule="atLeast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napToGrid w:val="false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на результат оказанных услуг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Гарантийный срок на результат оказанных услуг должен составлять 36 месяцев с даты подписания Акта об оказанных услугах.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napToGrid w:val="false"/>
              <w:spacing w:before="60" w:after="6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Требования к </w:t>
            </w:r>
            <w:r>
              <w:rPr>
                <w:rFonts w:ascii="Times New Roman" w:hAnsi="Times New Roman"/>
                <w:b/>
                <w:bCs/>
              </w:rPr>
              <w:t>Исполнителю</w:t>
            </w:r>
            <w:r>
              <w:rPr>
                <w:rFonts w:ascii="Times New Roman" w:hAnsi="Times New Roman"/>
                <w:b/>
              </w:rPr>
              <w:t xml:space="preserve"> (и субподрядчикам) и его обязательствам, влияющим на исполнение договора</w:t>
            </w:r>
          </w:p>
        </w:tc>
      </w:tr>
      <w:tr>
        <w:trPr/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napToGrid w:val="false"/>
              <w:ind w:left="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субподрядным организациям, привлекаемым к оказанию услуг</w:t>
            </w:r>
          </w:p>
        </w:tc>
        <w:tc>
          <w:tcPr>
            <w:tcW w:w="9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Cs/>
              </w:rPr>
              <w:t xml:space="preserve">В случае привлечения к оказанию услуг субподрядных организаций </w:t>
            </w:r>
            <w:r>
              <w:rPr>
                <w:rFonts w:ascii="Times New Roman" w:hAnsi="Times New Roman"/>
                <w:bCs/>
                <w:iCs/>
              </w:rPr>
              <w:t>Исполнитель</w:t>
            </w:r>
            <w:r>
              <w:rPr>
                <w:rFonts w:ascii="Times New Roman" w:hAnsi="Times New Roman"/>
                <w:iCs/>
              </w:rPr>
              <w:t xml:space="preserve">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оказания ими услуг.</w:t>
            </w:r>
          </w:p>
        </w:tc>
      </w:tr>
    </w:tbl>
    <w:p>
      <w:pPr>
        <w:sectPr>
          <w:headerReference w:type="default" r:id="rId5"/>
          <w:headerReference w:type="first" r:id="rId6"/>
          <w:footerReference w:type="default" r:id="rId7"/>
          <w:type w:val="nextPage"/>
          <w:pgSz w:orient="landscape" w:w="16838" w:h="11906"/>
          <w:pgMar w:left="992" w:right="1134" w:gutter="0" w:header="0" w:top="680" w:footer="0" w:bottom="851"/>
          <w:pgNumType w:fmt="decimal"/>
          <w:formProt w:val="false"/>
          <w:textDirection w:val="lrTb"/>
          <w:docGrid w:type="default" w:linePitch="600" w:charSpace="32768"/>
        </w:sectPr>
      </w:pPr>
      <w:r>
        <w:br w:type="page"/>
      </w:r>
    </w:p>
    <w:p>
      <w:pPr>
        <w:pStyle w:val="Heading1"/>
        <w:numPr>
          <w:ilvl w:val="0"/>
          <w:numId w:val="0"/>
        </w:numPr>
        <w:spacing w:lineRule="auto" w:line="240"/>
        <w:ind w:left="0" w:hanging="0"/>
        <w:rPr>
          <w:rFonts w:ascii="Times New Roman" w:hAnsi="Times New Roman"/>
        </w:rPr>
      </w:pPr>
      <w:bookmarkStart w:id="31" w:name="_Toc226035822"/>
      <w:bookmarkStart w:id="32" w:name="_Toc226037856"/>
      <w:r>
        <w:rPr>
          <w:rFonts w:ascii="Times New Roman" w:hAnsi="Times New Roman"/>
          <w:sz w:val="24"/>
        </w:rPr>
        <w:t xml:space="preserve">5. </w:t>
      </w:r>
      <w:bookmarkEnd w:id="31"/>
      <w:bookmarkEnd w:id="32"/>
      <w:r>
        <w:rPr>
          <w:rStyle w:val="Style7"/>
          <w:rFonts w:ascii="Times New Roman" w:hAnsi="Times New Roman"/>
          <w:b/>
          <w:i w:val="false"/>
          <w:iCs w:val="false"/>
          <w:sz w:val="24"/>
          <w:shd w:fill="auto" w:val="clear"/>
        </w:rPr>
        <w:t>Требования к документации по ценообразованию на этапе закупки</w:t>
      </w:r>
    </w:p>
    <w:p>
      <w:pPr>
        <w:pStyle w:val="Normal"/>
        <w:numPr>
          <w:ilvl w:val="0"/>
          <w:numId w:val="0"/>
        </w:numPr>
        <w:spacing w:lineRule="auto" w:line="240"/>
        <w:ind w:left="0" w:hanging="0"/>
        <w:rPr>
          <w:rFonts w:ascii="Times New Roman" w:hAnsi="Times New Roman"/>
        </w:rPr>
      </w:pPr>
      <w:r>
        <w:rPr>
          <w:rStyle w:val="Style7"/>
          <w:rFonts w:ascii="Times New Roman" w:hAnsi="Times New Roman"/>
          <w:b w:val="false"/>
          <w:i w:val="false"/>
          <w:sz w:val="24"/>
          <w:shd w:fill="auto" w:val="clear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numPr>
          <w:ilvl w:val="0"/>
          <w:numId w:val="0"/>
        </w:numPr>
        <w:spacing w:lineRule="auto" w:line="240"/>
        <w:ind w:left="0" w:hanging="0"/>
        <w:rPr>
          <w:rFonts w:ascii="Times New Roman" w:hAnsi="Times New Roman"/>
        </w:rPr>
      </w:pPr>
      <w:r>
        <w:rPr>
          <w:rStyle w:val="Style7"/>
          <w:rFonts w:ascii="Times New Roman" w:hAnsi="Times New Roman"/>
          <w:b w:val="false"/>
          <w:i w:val="false"/>
          <w:sz w:val="24"/>
          <w:shd w:fill="auto" w:val="clear"/>
        </w:rPr>
        <w:tab/>
        <w:t>Дополнительные документы по ценообразованию в состав заявки Участника не включаются.</w:t>
      </w:r>
    </w:p>
    <w:p>
      <w:pPr>
        <w:pStyle w:val="Normal"/>
        <w:numPr>
          <w:ilvl w:val="0"/>
          <w:numId w:val="0"/>
        </w:numPr>
        <w:spacing w:lineRule="auto" w:line="240"/>
        <w:ind w:lef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lineRule="auto" w:line="240"/>
        <w:ind w:left="0" w:hanging="0"/>
        <w:rPr>
          <w:rFonts w:ascii="Times New Roman" w:hAnsi="Times New Roman"/>
        </w:rPr>
      </w:pPr>
      <w:r>
        <w:rPr>
          <w:rStyle w:val="Style7"/>
          <w:rFonts w:ascii="Times New Roman" w:hAnsi="Times New Roman"/>
          <w:b/>
          <w:bCs/>
          <w:i w:val="false"/>
          <w:sz w:val="24"/>
          <w:shd w:fill="auto" w:val="clear"/>
        </w:rPr>
        <w:t>6.</w:t>
      </w:r>
      <w:r>
        <w:rPr>
          <w:rStyle w:val="Style7"/>
          <w:rFonts w:ascii="Times New Roman" w:hAnsi="Times New Roman"/>
          <w:b w:val="false"/>
          <w:i w:val="false"/>
          <w:sz w:val="24"/>
          <w:shd w:fill="auto" w:val="clear"/>
        </w:rPr>
        <w:t xml:space="preserve"> </w:t>
      </w:r>
      <w:r>
        <w:rPr>
          <w:rStyle w:val="Style7"/>
          <w:rFonts w:ascii="Times New Roman" w:hAnsi="Times New Roman"/>
          <w:b/>
          <w:bCs/>
          <w:i w:val="false"/>
          <w:sz w:val="24"/>
          <w:shd w:fill="auto" w:val="clear"/>
        </w:rPr>
        <w:t>Требования к документации по ценообразованию на этапе заключения (исполнения) договора</w:t>
      </w:r>
    </w:p>
    <w:p>
      <w:pPr>
        <w:pStyle w:val="Normal"/>
        <w:numPr>
          <w:ilvl w:val="0"/>
          <w:numId w:val="0"/>
        </w:numPr>
        <w:spacing w:lineRule="auto" w:line="240"/>
        <w:ind w:left="0" w:hanging="0"/>
        <w:rPr>
          <w:rFonts w:ascii="Times New Roman" w:hAnsi="Times New Roman"/>
        </w:rPr>
      </w:pPr>
      <w:r>
        <w:rPr>
          <w:rStyle w:val="Style7"/>
          <w:rFonts w:ascii="Times New Roman" w:hAnsi="Times New Roman"/>
          <w:b w:val="false"/>
          <w:i w:val="false"/>
          <w:sz w:val="24"/>
          <w:shd w:fill="auto" w:val="clear"/>
        </w:rPr>
        <w:tab/>
        <w:t>При составлении расчетов на выполнение работ, применять в обязательном порядке “Требования к оформлению и составлению расчетов на оказание услуг” в соответствии с Приложением № 1 к настоящим техническим требованиям.</w:t>
      </w:r>
    </w:p>
    <w:p>
      <w:pPr>
        <w:pStyle w:val="Normal"/>
        <w:spacing w:lineRule="auto" w:line="240" w:before="0" w:after="12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</w:p>
    <w:p>
      <w:pPr>
        <w:pStyle w:val="Normal"/>
        <w:spacing w:lineRule="auto" w:line="240" w:before="0" w:after="12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</w:rPr>
        <w:t>7</w:t>
      </w:r>
      <w:bookmarkStart w:id="33" w:name="_Toc226035823"/>
      <w:bookmarkStart w:id="34" w:name="_Toc226037857"/>
      <w:r>
        <w:rPr>
          <w:rFonts w:ascii="Times New Roman" w:hAnsi="Times New Roman"/>
          <w:b/>
          <w:bCs/>
          <w:sz w:val="24"/>
        </w:rPr>
        <w:t>. Приложения</w:t>
      </w:r>
      <w:bookmarkEnd w:id="33"/>
      <w:bookmarkEnd w:id="34"/>
      <w:r>
        <w:rPr>
          <w:rFonts w:ascii="Times New Roman" w:hAnsi="Times New Roman"/>
          <w:b/>
          <w:bCs/>
          <w:sz w:val="24"/>
        </w:rPr>
        <w:t>: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Приложение № 1. </w:t>
      </w:r>
      <w:r>
        <w:rPr>
          <w:rFonts w:ascii="Times New Roman" w:hAnsi="Times New Roman"/>
        </w:rPr>
        <w:t>Требования к оформлению и составлению сметной документации на оказание услуг.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Приложение № 2. </w:t>
      </w:r>
      <w:r>
        <w:rPr>
          <w:rFonts w:ascii="Times New Roman" w:hAnsi="Times New Roman"/>
        </w:rPr>
        <w:t>Ведомости объемов работ.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Приложение № 3. </w:t>
      </w:r>
      <w:r>
        <w:rPr>
          <w:rFonts w:ascii="Times New Roman" w:hAnsi="Times New Roman"/>
        </w:rPr>
        <w:t>Положение по пропускному и внутриобъектовому режимам Филиала ПАО «РусГидро» - «Жигулёвская ГЭС».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Приложение № 4.</w:t>
      </w:r>
      <w:r>
        <w:rPr>
          <w:rFonts w:ascii="Times New Roman" w:hAnsi="Times New Roman"/>
        </w:rPr>
        <w:t xml:space="preserve"> Методика допуска персонала подрядных организаций к выполнению работ на объектах Общества.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Приложение № 5. </w:t>
      </w:r>
      <w:r>
        <w:rPr>
          <w:rFonts w:ascii="Times New Roman" w:hAnsi="Times New Roman"/>
          <w:b w:val="false"/>
          <w:bCs w:val="false"/>
        </w:rPr>
        <w:t>Требования в области охраны окружающей среды к подрядным организациям, выполняющим работы на территории Филиала ПАО «РусГидро» - «Жигулевская ГЭС».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Приложение № 6.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false"/>
          <w:bCs w:val="false"/>
        </w:rPr>
        <w:t>Требования к количественному составу и квалификации персонала</w:t>
      </w:r>
      <w:r>
        <w:rPr>
          <w:rFonts w:ascii="Times New Roman" w:hAnsi="Times New Roman"/>
        </w:rPr>
        <w:t>.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Приложение № 7. </w:t>
      </w:r>
      <w:r>
        <w:rPr>
          <w:rFonts w:ascii="Times New Roman" w:hAnsi="Times New Roman"/>
          <w:b w:val="false"/>
          <w:bCs w:val="false"/>
        </w:rPr>
        <w:t>Порядок разработки и согласования ППР.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Приложение № 8. </w:t>
      </w:r>
      <w:r>
        <w:rPr>
          <w:rFonts w:ascii="Times New Roman" w:hAnsi="Times New Roman"/>
          <w:b w:val="false"/>
          <w:bCs w:val="false"/>
        </w:rPr>
        <w:t>Требования к материально-техническим ресурсам, необходимым для выполнения работ.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Приложение № 9. </w:t>
      </w:r>
      <w:r>
        <w:rPr>
          <w:rFonts w:ascii="Times New Roman" w:hAnsi="Times New Roman"/>
          <w:b w:val="false"/>
          <w:bCs w:val="false"/>
        </w:rPr>
        <w:t>Методика взаимодействия персонала филиала и подрядных организаций при эксплуатации ПС.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b/>
          <w:bCs/>
        </w:rPr>
        <w:t>Приложение № 10.</w:t>
      </w:r>
      <w:r>
        <w:rPr/>
        <w:t xml:space="preserve">  Политика информационной безопасности ПАО «РусГидро»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  <w:tab w:val="left" w:pos="426" w:leader="none"/>
        </w:tabs>
        <w:spacing w:before="60" w:after="0"/>
        <w:rPr>
          <w:rFonts w:ascii="Times New Roman" w:hAnsi="Times New Roman"/>
        </w:rPr>
      </w:pPr>
      <w:r>
        <w:rPr/>
      </w:r>
    </w:p>
    <w:sectPr>
      <w:headerReference w:type="default" r:id="rId8"/>
      <w:headerReference w:type="first" r:id="rId9"/>
      <w:footerReference w:type="default" r:id="rId10"/>
      <w:footerReference w:type="first" r:id="rId11"/>
      <w:type w:val="nextPage"/>
      <w:pgSz w:w="11906" w:h="16838"/>
      <w:pgMar w:left="1701" w:right="709" w:gutter="0" w:header="709" w:top="1134" w:footer="0" w:bottom="992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  <w:p>
    <w:pPr>
      <w:pStyle w:val="Footer"/>
      <w:rPr>
        <w:lang w:val="en-US"/>
      </w:rPr>
    </w:pPr>
    <w:r>
      <w:rPr>
        <w:lang w:val="en-US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true"/>
      <w:keepLines/>
      <w:jc w:val="right"/>
      <w:rPr>
        <w:highlight w:val="white"/>
      </w:rPr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:lang w:val="ru-RU"/>
      </w:rPr>
    </w:lvl>
    <w:lvl w:ilvl="1">
      <w:start w:val="1"/>
      <w:pStyle w:val="Heading2"/>
      <w:numFmt w:val="decimal"/>
      <w:lvlText w:val="%1.%2."/>
      <w:lvlJc w:val="left"/>
      <w:pPr>
        <w:tabs>
          <w:tab w:val="num" w:pos="0"/>
        </w:tabs>
        <w:ind w:left="432" w:hanging="432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4"/>
        <w:iCs w:val="false"/>
        <w:bCs w:val="false"/>
        <w:em w:val="none"/>
        <w:vanish w:val="false"/>
      </w:rPr>
    </w:lvl>
    <w:lvl w:ilvl="2">
      <w:start w:val="1"/>
      <w:pStyle w:val="Heading3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pStyle w:val="Heading4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pStyle w:val="Heading5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pStyle w:val="Heading6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pStyle w:val="Heading7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pStyle w:val="Heading8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pStyle w:val="Heading9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792" w:hanging="432"/>
      </w:pPr>
      <w:rPr>
        <w:sz w:val="24"/>
        <w:b/>
        <w:szCs w:val="24"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224" w:hanging="504"/>
      </w:pPr>
      <w:rPr>
        <w:sz w:val="24"/>
        <w:b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1728" w:hanging="648"/>
      </w:pPr>
      <w:rPr>
        <w:sz w:val="24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hanging="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7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999" w:hanging="432"/>
      </w:pPr>
      <w:rPr>
        <w:sz w:val="24"/>
        <w:b/>
        <w:szCs w:val="24"/>
        <w:bCs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929" w:hanging="504"/>
      </w:pPr>
      <w:rPr>
        <w:sz w:val="24"/>
        <w:b/>
        <w:szCs w:val="24"/>
      </w:rPr>
    </w:lvl>
    <w:lvl w:ilvl="3">
      <w:start w:val="1"/>
      <w:numFmt w:val="decimal"/>
      <w:suff w:val="space"/>
      <w:lvlText w:val="1.1.3.%4."/>
      <w:lvlJc w:val="left"/>
      <w:pPr>
        <w:tabs>
          <w:tab w:val="num" w:pos="0"/>
        </w:tabs>
        <w:ind w:left="1728" w:hanging="648"/>
      </w:pPr>
      <w:rPr>
        <w:sz w:val="24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9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oto Serif CJK SC" w:cs="Arial Unicode MS"/>
      <w:color w:val="000000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3"/>
    <w:next w:val="Normal"/>
    <w:qFormat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qFormat/>
    <w:pPr>
      <w:numPr>
        <w:ilvl w:val="1"/>
        <w:numId w:val="1"/>
      </w:numPr>
      <w:outlineLvl w:val="1"/>
    </w:pPr>
    <w:rPr>
      <w:iCs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</w:rPr>
  </w:style>
  <w:style w:type="paragraph" w:styleId="Heading4">
    <w:name w:val="Heading 4"/>
    <w:basedOn w:val="Heading3"/>
    <w:next w:val="Normal"/>
    <w:qFormat/>
    <w:pPr>
      <w:numPr>
        <w:ilvl w:val="3"/>
        <w:numId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mbria" w:hAnsi="Cambria" w:eastAsia="Cambria" w:cs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200" w:after="0"/>
      <w:outlineLvl w:val="6"/>
    </w:pPr>
    <w:rPr>
      <w:rFonts w:ascii="Cambria" w:hAnsi="Cambria" w:eastAsia="Cambria" w:cs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200" w:after="0"/>
      <w:outlineLvl w:val="7"/>
    </w:pPr>
    <w:rPr>
      <w:rFonts w:ascii="Cambria" w:hAnsi="Cambria" w:eastAsia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eastAsia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CharLFO1LVL1" w:customStyle="1">
    <w:name w:val="WW_CharLFO1LVL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8"/>
      <w:sz w:val="28"/>
      <w:szCs w:val="28"/>
      <w:u w:val="none"/>
      <w:vertAlign w:val="baseline"/>
      <w:em w:val="none"/>
      <w:lang w:val="ru-RU"/>
    </w:rPr>
  </w:style>
  <w:style w:type="character" w:styleId="WWCharLFO1LVL2" w:customStyle="1">
    <w:name w:val="WW_CharLFO1LVL2"/>
    <w:qFormat/>
    <w:rPr>
      <w:b/>
      <w:bCs w:val="false"/>
      <w:i w:val="false"/>
      <w:iCs w:val="false"/>
      <w:caps w:val="false"/>
      <w:smallCaps w:val="false"/>
      <w:strike w:val="false"/>
      <w:dstrike w:val="false"/>
      <w:outline w:val="false"/>
      <w:vanish w:val="false"/>
      <w:spacing w:val="0"/>
      <w:kern w:val="0"/>
      <w:position w:val="0"/>
      <w:sz w:val="24"/>
      <w:sz w:val="24"/>
      <w:szCs w:val="24"/>
      <w:u w:val="none"/>
      <w:vertAlign w:val="baseline"/>
      <w:em w:val="none"/>
    </w:rPr>
  </w:style>
  <w:style w:type="character" w:styleId="WW8Num1z0" w:customStyle="1">
    <w:name w:val="WW8Num1z0"/>
    <w:qFormat/>
    <w:rPr>
      <w:rFonts w:ascii="Times New Roman" w:hAnsi="Times New Roman" w:eastAsia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8"/>
      <w:sz w:val="28"/>
      <w:szCs w:val="28"/>
      <w:u w:val="none"/>
      <w:vertAlign w:val="baseline"/>
      <w:em w:val="none"/>
      <w:lang w:val="ru-RU"/>
    </w:rPr>
  </w:style>
  <w:style w:type="character" w:styleId="WW8Num1z1" w:customStyle="1">
    <w:name w:val="WW8Num1z1"/>
    <w:qFormat/>
    <w:rPr>
      <w:b/>
      <w:bCs w:val="false"/>
      <w:i w:val="false"/>
      <w:iCs w:val="false"/>
      <w:caps w:val="false"/>
      <w:smallCaps w:val="false"/>
      <w:strike w:val="false"/>
      <w:dstrike w:val="false"/>
      <w:outline w:val="false"/>
      <w:vanish w:val="false"/>
      <w:spacing w:val="0"/>
      <w:kern w:val="0"/>
      <w:position w:val="0"/>
      <w:sz w:val="24"/>
      <w:sz w:val="24"/>
      <w:szCs w:val="24"/>
      <w:u w:val="none"/>
      <w:vertAlign w:val="baseline"/>
      <w:em w:val="none"/>
    </w:rPr>
  </w:style>
  <w:style w:type="character" w:styleId="WW8Num2z0" w:customStyle="1">
    <w:name w:val="WW8Num2z0"/>
    <w:qFormat/>
    <w:rPr>
      <w:rFonts w:ascii="Times New Roman" w:hAnsi="Times New Roman" w:eastAsia="Times New Roman" w:cs="Times New Roman"/>
    </w:rPr>
  </w:style>
  <w:style w:type="character" w:styleId="WW8Num2z1" w:customStyle="1">
    <w:name w:val="WW8Num2z1"/>
    <w:qFormat/>
    <w:rPr>
      <w:rFonts w:ascii="Courier New" w:hAnsi="Courier New" w:eastAsia="Courier New" w:cs="Courier New"/>
    </w:rPr>
  </w:style>
  <w:style w:type="character" w:styleId="WW8Num2z2" w:customStyle="1">
    <w:name w:val="WW8Num2z2"/>
    <w:qFormat/>
    <w:rPr>
      <w:rFonts w:ascii="Wingdings" w:hAnsi="Wingdings" w:eastAsia="Wingdings" w:cs="Wingdings"/>
    </w:rPr>
  </w:style>
  <w:style w:type="character" w:styleId="WW8Num2z3" w:customStyle="1">
    <w:name w:val="WW8Num2z3"/>
    <w:qFormat/>
    <w:rPr>
      <w:rFonts w:ascii="Symbol" w:hAnsi="Symbol" w:eastAsia="Symbol" w:cs="Symbol"/>
    </w:rPr>
  </w:style>
  <w:style w:type="character" w:styleId="WW8Num5z0" w:customStyle="1">
    <w:name w:val="WW8Num5z0"/>
    <w:qFormat/>
    <w:rPr>
      <w:b/>
      <w:bCs w:val="false"/>
      <w:sz w:val="24"/>
      <w:szCs w:val="24"/>
    </w:rPr>
  </w:style>
  <w:style w:type="character" w:styleId="WW8Num5z1" w:customStyle="1">
    <w:name w:val="WW8Num5z1"/>
    <w:qFormat/>
    <w:rPr>
      <w:b/>
      <w:bCs/>
      <w:sz w:val="24"/>
      <w:szCs w:val="24"/>
    </w:rPr>
  </w:style>
  <w:style w:type="character" w:styleId="WW8Num5z2" w:customStyle="1">
    <w:name w:val="WW8Num5z2"/>
    <w:qFormat/>
    <w:rPr>
      <w:b/>
      <w:sz w:val="24"/>
      <w:szCs w:val="24"/>
    </w:rPr>
  </w:style>
  <w:style w:type="character" w:styleId="WW8Num5z3" w:customStyle="1">
    <w:name w:val="WW8Num5z3"/>
    <w:qFormat/>
    <w:rPr>
      <w:b/>
      <w:sz w:val="24"/>
    </w:rPr>
  </w:style>
  <w:style w:type="character" w:styleId="WW8Num6z0" w:customStyle="1">
    <w:name w:val="WW8Num6z0"/>
    <w:qFormat/>
    <w:rPr>
      <w:b w:val="false"/>
      <w:i w:val="false"/>
    </w:rPr>
  </w:style>
  <w:style w:type="character" w:styleId="WW8Num6z1" w:customStyle="1">
    <w:name w:val="WW8Num6z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u w:val="none"/>
      <w:vertAlign w:val="baseline"/>
      <w:em w:val="none"/>
    </w:rPr>
  </w:style>
  <w:style w:type="character" w:styleId="WW8Num7z0" w:customStyle="1">
    <w:name w:val="WW8Num7z0"/>
    <w:qFormat/>
    <w:rPr>
      <w:b/>
      <w:bCs w:val="false"/>
      <w:sz w:val="24"/>
      <w:szCs w:val="24"/>
    </w:rPr>
  </w:style>
  <w:style w:type="character" w:styleId="WW8Num7z1" w:customStyle="1">
    <w:name w:val="WW8Num7z1"/>
    <w:qFormat/>
    <w:rPr>
      <w:b/>
      <w:bCs/>
      <w:sz w:val="24"/>
      <w:szCs w:val="24"/>
    </w:rPr>
  </w:style>
  <w:style w:type="character" w:styleId="WW8Num7z2" w:customStyle="1">
    <w:name w:val="WW8Num7z2"/>
    <w:qFormat/>
    <w:rPr>
      <w:b/>
      <w:sz w:val="24"/>
      <w:szCs w:val="24"/>
    </w:rPr>
  </w:style>
  <w:style w:type="character" w:styleId="WW8Num7z3" w:customStyle="1">
    <w:name w:val="WW8Num7z3"/>
    <w:qFormat/>
    <w:rPr>
      <w:b/>
      <w:sz w:val="24"/>
    </w:rPr>
  </w:style>
  <w:style w:type="character" w:styleId="WW8Num8z4" w:customStyle="1">
    <w:name w:val="WW8Num8z4"/>
    <w:qFormat/>
    <w:rPr>
      <w:rFonts w:ascii="Times New Roman" w:hAnsi="Times New Roman" w:eastAsia="Times New Roman" w:cs="Times New Roman"/>
    </w:rPr>
  </w:style>
  <w:style w:type="character" w:styleId="WW8Num9z0" w:customStyle="1">
    <w:name w:val="WW8Num9z0"/>
    <w:qFormat/>
    <w:rPr>
      <w:rFonts w:ascii="Times New Roman" w:hAnsi="Times New Roman" w:eastAsia="Times New Roman" w:cs="Times New Roman"/>
    </w:rPr>
  </w:style>
  <w:style w:type="character" w:styleId="WW8Num9z1" w:customStyle="1">
    <w:name w:val="WW8Num9z1"/>
    <w:qFormat/>
    <w:rPr>
      <w:rFonts w:ascii="Courier New" w:hAnsi="Courier New" w:eastAsia="Courier New" w:cs="Courier New"/>
    </w:rPr>
  </w:style>
  <w:style w:type="character" w:styleId="WW8Num9z2" w:customStyle="1">
    <w:name w:val="WW8Num9z2"/>
    <w:qFormat/>
    <w:rPr>
      <w:rFonts w:ascii="Wingdings" w:hAnsi="Wingdings" w:eastAsia="Wingdings" w:cs="Wingdings"/>
    </w:rPr>
  </w:style>
  <w:style w:type="character" w:styleId="WW8Num9z3" w:customStyle="1">
    <w:name w:val="WW8Num9z3"/>
    <w:qFormat/>
    <w:rPr>
      <w:rFonts w:ascii="Symbol" w:hAnsi="Symbol" w:eastAsia="Symbol" w:cs="Symbol"/>
    </w:rPr>
  </w:style>
  <w:style w:type="character" w:styleId="WW8Num10z0" w:customStyle="1">
    <w:name w:val="WW8Num10z0"/>
    <w:qFormat/>
    <w:rPr>
      <w:rFonts w:ascii="Symbol" w:hAnsi="Symbol" w:eastAsia="Symbol" w:cs="Symbol"/>
    </w:rPr>
  </w:style>
  <w:style w:type="character" w:styleId="WW8Num10z1" w:customStyle="1">
    <w:name w:val="WW8Num10z1"/>
    <w:qFormat/>
    <w:rPr>
      <w:rFonts w:ascii="Courier New" w:hAnsi="Courier New" w:eastAsia="Courier New" w:cs="Courier New"/>
    </w:rPr>
  </w:style>
  <w:style w:type="character" w:styleId="WW8Num10z2" w:customStyle="1">
    <w:name w:val="WW8Num10z2"/>
    <w:qFormat/>
    <w:rPr>
      <w:rFonts w:ascii="Wingdings" w:hAnsi="Wingdings" w:eastAsia="Wingdings" w:cs="Wingdings"/>
    </w:rPr>
  </w:style>
  <w:style w:type="character" w:styleId="WW8Num10z3" w:customStyle="1">
    <w:name w:val="WW8Num10z3"/>
    <w:qFormat/>
    <w:rPr>
      <w:rFonts w:ascii="Symbol" w:hAnsi="Symbol" w:eastAsia="Symbol" w:cs="Symbol"/>
    </w:rPr>
  </w:style>
  <w:style w:type="character" w:styleId="WW8Num1z2" w:customStyle="1">
    <w:name w:val="WW8Num1z2"/>
    <w:qFormat/>
    <w:rPr>
      <w:rFonts w:ascii="Wingdings" w:hAnsi="Wingdings" w:eastAsia="Wingdings" w:cs="Wingdings"/>
    </w:rPr>
  </w:style>
  <w:style w:type="character" w:styleId="WW8Num1z3" w:customStyle="1">
    <w:name w:val="WW8Num1z3"/>
    <w:qFormat/>
    <w:rPr>
      <w:rFonts w:ascii="Symbol" w:hAnsi="Symbol" w:eastAsia="Symbol" w:cs="Symbol"/>
    </w:rPr>
  </w:style>
  <w:style w:type="character" w:styleId="WW8Num4z0" w:customStyle="1">
    <w:name w:val="WW8Num4z0"/>
    <w:qFormat/>
    <w:rPr>
      <w:b/>
      <w:bCs w:val="false"/>
      <w:sz w:val="24"/>
      <w:szCs w:val="24"/>
    </w:rPr>
  </w:style>
  <w:style w:type="character" w:styleId="WW8Num4z1" w:customStyle="1">
    <w:name w:val="WW8Num4z1"/>
    <w:qFormat/>
    <w:rPr>
      <w:b/>
      <w:bCs/>
      <w:sz w:val="24"/>
      <w:szCs w:val="24"/>
    </w:rPr>
  </w:style>
  <w:style w:type="character" w:styleId="WW8Num4z2" w:customStyle="1">
    <w:name w:val="WW8Num4z2"/>
    <w:qFormat/>
    <w:rPr>
      <w:b/>
      <w:sz w:val="24"/>
      <w:szCs w:val="24"/>
    </w:rPr>
  </w:style>
  <w:style w:type="character" w:styleId="WW8Num4z3" w:customStyle="1">
    <w:name w:val="WW8Num4z3"/>
    <w:qFormat/>
    <w:rPr>
      <w:b/>
      <w:sz w:val="24"/>
    </w:rPr>
  </w:style>
  <w:style w:type="character" w:styleId="WW8Num6z2" w:customStyle="1">
    <w:name w:val="WW8Num6z2"/>
    <w:qFormat/>
    <w:rPr>
      <w:b/>
      <w:sz w:val="24"/>
      <w:szCs w:val="24"/>
    </w:rPr>
  </w:style>
  <w:style w:type="character" w:styleId="WW8Num6z3" w:customStyle="1">
    <w:name w:val="WW8Num6z3"/>
    <w:qFormat/>
    <w:rPr>
      <w:b/>
      <w:sz w:val="24"/>
    </w:rPr>
  </w:style>
  <w:style w:type="character" w:styleId="WW8Num11z0" w:customStyle="1">
    <w:name w:val="WW8Num11z0"/>
    <w:qFormat/>
    <w:rPr>
      <w:rFonts w:ascii="Times New Roman" w:hAnsi="Times New Roman" w:eastAsia="Times New Roman" w:cs="Times New Roman"/>
    </w:rPr>
  </w:style>
  <w:style w:type="character" w:styleId="WW8Num11z1" w:customStyle="1">
    <w:name w:val="WW8Num11z1"/>
    <w:qFormat/>
    <w:rPr>
      <w:rFonts w:ascii="Courier New" w:hAnsi="Courier New" w:eastAsia="Courier New" w:cs="Courier New"/>
    </w:rPr>
  </w:style>
  <w:style w:type="character" w:styleId="WW8Num11z2" w:customStyle="1">
    <w:name w:val="WW8Num11z2"/>
    <w:qFormat/>
    <w:rPr>
      <w:rFonts w:ascii="Wingdings" w:hAnsi="Wingdings" w:eastAsia="Wingdings" w:cs="Wingdings"/>
    </w:rPr>
  </w:style>
  <w:style w:type="character" w:styleId="WW8Num11z3" w:customStyle="1">
    <w:name w:val="WW8Num11z3"/>
    <w:qFormat/>
    <w:rPr>
      <w:rFonts w:ascii="Symbol" w:hAnsi="Symbol" w:eastAsia="Symbol" w:cs="Symbol"/>
    </w:rPr>
  </w:style>
  <w:style w:type="character" w:styleId="1" w:customStyle="1">
    <w:name w:val="Знак сноски1"/>
    <w:qFormat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uiPriority w:val="99"/>
    <w:rPr>
      <w:color w:val="0563C1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 w:eastAsia="Cambria" w:cs="Cambria"/>
      <w:i/>
      <w:iCs/>
      <w:color w:val="243F60"/>
    </w:rPr>
  </w:style>
  <w:style w:type="character" w:styleId="7" w:customStyle="1">
    <w:name w:val="Заголовок 7 Знак"/>
    <w:qFormat/>
    <w:rPr>
      <w:rFonts w:ascii="Cambria" w:hAnsi="Cambria" w:eastAsia="Cambria" w:cs="Cambria"/>
      <w:i/>
      <w:iCs/>
      <w:color w:val="404040"/>
    </w:rPr>
  </w:style>
  <w:style w:type="character" w:styleId="8" w:customStyle="1">
    <w:name w:val="Заголовок 8 Знак"/>
    <w:qFormat/>
    <w:rPr>
      <w:rFonts w:ascii="Cambria" w:hAnsi="Cambria" w:eastAsia="Cambria" w:cs="Cambria"/>
      <w:color w:val="4F81BD"/>
    </w:rPr>
  </w:style>
  <w:style w:type="character" w:styleId="1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i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eastAsia="Arial" w:cs="Arial"/>
      <w:sz w:val="22"/>
      <w:szCs w:val="22"/>
    </w:rPr>
  </w:style>
  <w:style w:type="character" w:styleId="Style" w:customStyle="1">
    <w:name w:val="Название Знак"/>
    <w:qFormat/>
    <w:rPr>
      <w:sz w:val="28"/>
    </w:rPr>
  </w:style>
  <w:style w:type="character" w:styleId="Style1" w:customStyle="1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qFormat/>
    <w:rPr>
      <w:rFonts w:ascii="Calibri" w:hAnsi="Calibri" w:eastAsia="Calibri" w:cs="Calibri"/>
      <w:i/>
      <w:iCs/>
      <w:color w:val="000000"/>
    </w:rPr>
  </w:style>
  <w:style w:type="character" w:styleId="Style2" w:customStyle="1">
    <w:name w:val="Выделенная цитата Знак"/>
    <w:qFormat/>
    <w:rPr>
      <w:rFonts w:ascii="Calibri" w:hAnsi="Calibri" w:eastAsia="Calibri" w:cs="Calibri"/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3" w:customStyle="1">
    <w:name w:val="Электронная подпись Знак"/>
    <w:qFormat/>
    <w:rPr>
      <w:rFonts w:eastAsia="Calibri"/>
      <w:sz w:val="24"/>
      <w:szCs w:val="24"/>
    </w:rPr>
  </w:style>
  <w:style w:type="character" w:styleId="12" w:customStyle="1">
    <w:name w:val="Подпункт Знак1"/>
    <w:qFormat/>
    <w:rPr>
      <w:sz w:val="28"/>
    </w:rPr>
  </w:style>
  <w:style w:type="character" w:styleId="Style4" w:customStyle="1">
    <w:name w:val="Текст сноски Знак"/>
    <w:qFormat/>
    <w:rPr/>
  </w:style>
  <w:style w:type="character" w:styleId="Style5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6" w:customStyle="1">
    <w:name w:val="Абзац списка Знак"/>
    <w:qFormat/>
    <w:rPr>
      <w:rFonts w:eastAsia="Calibri"/>
      <w:sz w:val="24"/>
      <w:szCs w:val="24"/>
    </w:rPr>
  </w:style>
  <w:style w:type="character" w:styleId="Style7" w:customStyle="1">
    <w:name w:val="комментарий"/>
    <w:qFormat/>
    <w:rPr>
      <w:b/>
      <w:i/>
      <w:shd w:fill="FFFF99" w:val="clear"/>
    </w:rPr>
  </w:style>
  <w:style w:type="character" w:styleId="Style8" w:customStyle="1">
    <w:name w:val="Подподпункт Знак"/>
    <w:qFormat/>
    <w:rPr>
      <w:sz w:val="26"/>
      <w:szCs w:val="26"/>
    </w:rPr>
  </w:style>
  <w:style w:type="character" w:styleId="31" w:customStyle="1">
    <w:name w:val="УРОВЕНЬ_Абзац_тип3 Знак"/>
    <w:qFormat/>
    <w:rPr>
      <w:rFonts w:eastAsia="Calibri"/>
      <w:sz w:val="26"/>
      <w:szCs w:val="28"/>
    </w:rPr>
  </w:style>
  <w:style w:type="character" w:styleId="Style9" w:customStyle="1">
    <w:name w:val="Верхний колонтитул Знак"/>
    <w:qFormat/>
    <w:rPr>
      <w:sz w:val="24"/>
      <w:szCs w:val="24"/>
    </w:rPr>
  </w:style>
  <w:style w:type="character" w:styleId="Style10" w:customStyle="1">
    <w:name w:val="Текст примечания Знак"/>
    <w:qFormat/>
    <w:rPr/>
  </w:style>
  <w:style w:type="character" w:styleId="Style11" w:customStyle="1">
    <w:name w:val="Текст концевой сноски Знак"/>
    <w:basedOn w:val="DefaultParagraphFont"/>
    <w:qFormat/>
    <w:rPr/>
  </w:style>
  <w:style w:type="character" w:styleId="13" w:customStyle="1">
    <w:name w:val="Знак концевой сноски1"/>
    <w:qFormat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22" w:customStyle="1">
    <w:name w:val="Пункт2 Знак"/>
    <w:qFormat/>
    <w:rPr>
      <w:b/>
      <w:sz w:val="28"/>
    </w:rPr>
  </w:style>
  <w:style w:type="character" w:styleId="14" w:customStyle="1">
    <w:name w:val="УРОВЕНЬ_1. Знак"/>
    <w:qFormat/>
    <w:rPr>
      <w:rFonts w:eastAsia="Calibri"/>
      <w:caps/>
      <w:sz w:val="28"/>
      <w:szCs w:val="28"/>
    </w:rPr>
  </w:style>
  <w:style w:type="character" w:styleId="15" w:customStyle="1">
    <w:name w:val="Неразрешенное упоминание1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qFormat/>
    <w:rPr>
      <w:sz w:val="16"/>
      <w:szCs w:val="16"/>
    </w:rPr>
  </w:style>
  <w:style w:type="character" w:styleId="16" w:customStyle="1">
    <w:name w:val="Просмотренная гиперссылка1"/>
    <w:qFormat/>
    <w:rPr>
      <w:color w:val="954F72"/>
      <w:u w:val="single"/>
    </w:rPr>
  </w:style>
  <w:style w:type="character" w:styleId="Style12" w:customStyle="1">
    <w:name w:val="Символ сноски"/>
    <w:qFormat/>
    <w:rPr>
      <w:vertAlign w:val="superscript"/>
    </w:rPr>
  </w:style>
  <w:style w:type="character" w:styleId="WW-" w:customStyle="1">
    <w:name w:val="WW-Символ сноски"/>
    <w:qFormat/>
    <w:rPr/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концевой сноски"/>
    <w:qFormat/>
    <w:rPr/>
  </w:style>
  <w:style w:type="character" w:styleId="Style15" w:customStyle="1">
    <w:name w:val="Символ нумерации"/>
    <w:qFormat/>
    <w:rPr/>
  </w:style>
  <w:style w:type="character" w:styleId="Style16" w:customStyle="1">
    <w:name w:val="Нижний колонтитул Знак"/>
    <w:qFormat/>
    <w:rPr>
      <w:sz w:val="24"/>
      <w:szCs w:val="28"/>
    </w:rPr>
  </w:style>
  <w:style w:type="character" w:styleId="WW-1" w:customStyle="1">
    <w:name w:val="WW-Символ концевой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Style17" w:customStyle="1">
    <w:name w:val="Текст выноски Знак"/>
    <w:qFormat/>
    <w:rPr>
      <w:rFonts w:ascii="Tahoma" w:hAnsi="Tahoma" w:eastAsia="Tahoma" w:cs="Tahoma"/>
      <w:sz w:val="16"/>
      <w:szCs w:val="16"/>
    </w:rPr>
  </w:style>
  <w:style w:type="character" w:styleId="17" w:customStyle="1">
    <w:name w:val="Основной шрифт абзаца1"/>
    <w:qFormat/>
    <w:rPr/>
  </w:style>
  <w:style w:type="character" w:styleId="WW8Num12z2" w:customStyle="1">
    <w:name w:val="WW8Num12z2"/>
    <w:qFormat/>
    <w:rPr/>
  </w:style>
  <w:style w:type="character" w:styleId="WW8Num12z1" w:customStyle="1">
    <w:name w:val="WW8Num12z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u w:val="none"/>
      <w:vertAlign w:val="baseline"/>
      <w:em w:val="none"/>
    </w:rPr>
  </w:style>
  <w:style w:type="character" w:styleId="WW8Num12z0" w:customStyle="1">
    <w:name w:val="WW8Num12z0"/>
    <w:qFormat/>
    <w:rPr>
      <w:b w:val="false"/>
      <w:i w:val="false"/>
    </w:rPr>
  </w:style>
  <w:style w:type="character" w:styleId="WW8Num8z3" w:customStyle="1">
    <w:name w:val="WW8Num8z3"/>
    <w:qFormat/>
    <w:rPr>
      <w:rFonts w:ascii="Symbol" w:hAnsi="Symbol" w:eastAsia="Symbol" w:cs="Symbol"/>
    </w:rPr>
  </w:style>
  <w:style w:type="character" w:styleId="WW8Num8z2" w:customStyle="1">
    <w:name w:val="WW8Num8z2"/>
    <w:qFormat/>
    <w:rPr/>
  </w:style>
  <w:style w:type="character" w:styleId="WW8Num8z1" w:customStyle="1">
    <w:name w:val="WW8Num8z1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u w:val="none"/>
      <w:vertAlign w:val="baseline"/>
      <w:em w:val="none"/>
    </w:rPr>
  </w:style>
  <w:style w:type="character" w:styleId="WW8Num8z0" w:customStyle="1">
    <w:name w:val="WW8Num8z0"/>
    <w:qFormat/>
    <w:rPr>
      <w:b w:val="false"/>
      <w:i w:val="false"/>
    </w:rPr>
  </w:style>
  <w:style w:type="character" w:styleId="WW8Num3z0" w:customStyle="1">
    <w:name w:val="WW8Num3z0"/>
    <w:qFormat/>
    <w:rPr>
      <w:rFonts w:ascii="Times New Roman" w:hAnsi="Times New Roman" w:eastAsia="Calibri" w:cs="Times New Roman"/>
    </w:rPr>
  </w:style>
  <w:style w:type="character" w:styleId="WWCharLFO2LVL1" w:customStyle="1">
    <w:name w:val="WW_CharLFO2LVL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8"/>
      <w:sz w:val="28"/>
      <w:szCs w:val="28"/>
      <w:u w:val="none"/>
      <w:vertAlign w:val="baseline"/>
      <w:em w:val="none"/>
      <w:lang w:val="ru-RU"/>
    </w:rPr>
  </w:style>
  <w:style w:type="character" w:styleId="WWCharLFO2LVL2" w:customStyle="1">
    <w:name w:val="WW_CharLFO2LVL2"/>
    <w:qFormat/>
    <w:rPr>
      <w:b/>
      <w:bCs w:val="false"/>
      <w:i w:val="false"/>
      <w:iCs w:val="false"/>
      <w:caps w:val="false"/>
      <w:smallCaps w:val="false"/>
      <w:strike w:val="false"/>
      <w:dstrike w:val="false"/>
      <w:outline w:val="false"/>
      <w:vanish w:val="false"/>
      <w:spacing w:val="0"/>
      <w:kern w:val="0"/>
      <w:position w:val="0"/>
      <w:sz w:val="24"/>
      <w:sz w:val="24"/>
      <w:szCs w:val="24"/>
      <w:u w:val="none"/>
      <w:vertAlign w:val="baseline"/>
      <w:em w:val="none"/>
    </w:rPr>
  </w:style>
  <w:style w:type="character" w:styleId="WWCharLFO3LVL1" w:customStyle="1">
    <w:name w:val="WW_CharLFO3LVL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8"/>
      <w:sz w:val="28"/>
      <w:szCs w:val="28"/>
      <w:u w:val="none"/>
      <w:vertAlign w:val="baseline"/>
      <w:em w:val="none"/>
      <w:lang w:val="ru-RU"/>
    </w:rPr>
  </w:style>
  <w:style w:type="character" w:styleId="WWCharLFO3LVL2" w:customStyle="1">
    <w:name w:val="WW_CharLFO3LVL2"/>
    <w:qFormat/>
    <w:rPr>
      <w:b/>
      <w:bCs w:val="false"/>
      <w:i w:val="false"/>
      <w:iCs w:val="false"/>
      <w:caps w:val="false"/>
      <w:smallCaps w:val="false"/>
      <w:strike w:val="false"/>
      <w:dstrike w:val="false"/>
      <w:outline w:val="false"/>
      <w:vanish w:val="false"/>
      <w:spacing w:val="0"/>
      <w:kern w:val="0"/>
      <w:position w:val="0"/>
      <w:sz w:val="24"/>
      <w:sz w:val="24"/>
      <w:szCs w:val="24"/>
      <w:u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</w:rPr>
  </w:style>
  <w:style w:type="character" w:styleId="WWCharLFO4LVL2" w:customStyle="1">
    <w:name w:val="WW_CharLFO4LVL2"/>
    <w:qFormat/>
    <w:rPr>
      <w:rFonts w:ascii="Courier New" w:hAnsi="Courier New" w:cs="Courier New"/>
    </w:rPr>
  </w:style>
  <w:style w:type="character" w:styleId="WWCharLFO4LVL3" w:customStyle="1">
    <w:name w:val="WW_CharLFO4LVL3"/>
    <w:qFormat/>
    <w:rPr>
      <w:rFonts w:ascii="Wingdings" w:hAnsi="Wingdings" w:cs="Wingdings"/>
    </w:rPr>
  </w:style>
  <w:style w:type="character" w:styleId="WWCharLFO4LVL4" w:customStyle="1">
    <w:name w:val="WW_CharLFO4LVL4"/>
    <w:qFormat/>
    <w:rPr>
      <w:rFonts w:ascii="Symbol" w:hAnsi="Symbol" w:cs="Symbol"/>
    </w:rPr>
  </w:style>
  <w:style w:type="character" w:styleId="WWCharLFO4LVL5" w:customStyle="1">
    <w:name w:val="WW_CharLFO4LVL5"/>
    <w:qFormat/>
    <w:rPr>
      <w:rFonts w:ascii="Courier New" w:hAnsi="Courier New" w:cs="Courier New"/>
    </w:rPr>
  </w:style>
  <w:style w:type="character" w:styleId="WWCharLFO4LVL6" w:customStyle="1">
    <w:name w:val="WW_CharLFO4LVL6"/>
    <w:qFormat/>
    <w:rPr>
      <w:rFonts w:ascii="Wingdings" w:hAnsi="Wingdings" w:cs="Wingdings"/>
    </w:rPr>
  </w:style>
  <w:style w:type="character" w:styleId="WWCharLFO4LVL7" w:customStyle="1">
    <w:name w:val="WW_CharLFO4LVL7"/>
    <w:qFormat/>
    <w:rPr>
      <w:rFonts w:ascii="Symbol" w:hAnsi="Symbol" w:cs="Symbol"/>
    </w:rPr>
  </w:style>
  <w:style w:type="character" w:styleId="WWCharLFO4LVL8" w:customStyle="1">
    <w:name w:val="WW_CharLFO4LVL8"/>
    <w:qFormat/>
    <w:rPr>
      <w:rFonts w:ascii="Courier New" w:hAnsi="Courier New" w:cs="Courier New"/>
    </w:rPr>
  </w:style>
  <w:style w:type="character" w:styleId="WWCharLFO4LVL9" w:customStyle="1">
    <w:name w:val="WW_CharLFO4LVL9"/>
    <w:qFormat/>
    <w:rPr>
      <w:rFonts w:ascii="Wingdings" w:hAnsi="Wingdings" w:cs="Wingdings"/>
    </w:rPr>
  </w:style>
  <w:style w:type="character" w:styleId="WWCharLFO7LVL1" w:customStyle="1">
    <w:name w:val="WW_CharLFO7LVL1"/>
    <w:qFormat/>
    <w:rPr>
      <w:b/>
      <w:bCs w:val="false"/>
      <w:sz w:val="24"/>
      <w:szCs w:val="24"/>
    </w:rPr>
  </w:style>
  <w:style w:type="character" w:styleId="WWCharLFO7LVL2" w:customStyle="1">
    <w:name w:val="WW_CharLFO7LVL2"/>
    <w:qFormat/>
    <w:rPr>
      <w:b/>
      <w:bCs/>
      <w:sz w:val="24"/>
      <w:szCs w:val="24"/>
    </w:rPr>
  </w:style>
  <w:style w:type="character" w:styleId="WWCharLFO7LVL3" w:customStyle="1">
    <w:name w:val="WW_CharLFO7LVL3"/>
    <w:qFormat/>
    <w:rPr>
      <w:b/>
      <w:sz w:val="24"/>
      <w:szCs w:val="24"/>
    </w:rPr>
  </w:style>
  <w:style w:type="character" w:styleId="WWCharLFO7LVL4" w:customStyle="1">
    <w:name w:val="WW_CharLFO7LVL4"/>
    <w:qFormat/>
    <w:rPr>
      <w:b/>
      <w:sz w:val="24"/>
    </w:rPr>
  </w:style>
  <w:style w:type="character" w:styleId="WWCharLFO8LVL1" w:customStyle="1">
    <w:name w:val="WW_CharLFO8LVL1"/>
    <w:qFormat/>
    <w:rPr>
      <w:b w:val="false"/>
      <w:i w:val="false"/>
    </w:rPr>
  </w:style>
  <w:style w:type="character" w:styleId="WWCharLFO8LVL2" w:customStyle="1">
    <w:name w:val="WW_CharLFO8LVL2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u w:val="none"/>
      <w:vertAlign w:val="baseline"/>
      <w:em w:val="none"/>
    </w:rPr>
  </w:style>
  <w:style w:type="character" w:styleId="WWCharLFO9LVL1" w:customStyle="1">
    <w:name w:val="WW_CharLFO9LVL1"/>
    <w:qFormat/>
    <w:rPr>
      <w:b/>
      <w:bCs w:val="false"/>
      <w:sz w:val="24"/>
      <w:szCs w:val="24"/>
    </w:rPr>
  </w:style>
  <w:style w:type="character" w:styleId="WWCharLFO9LVL2" w:customStyle="1">
    <w:name w:val="WW_CharLFO9LVL2"/>
    <w:qFormat/>
    <w:rPr>
      <w:b/>
      <w:bCs/>
      <w:sz w:val="24"/>
      <w:szCs w:val="24"/>
    </w:rPr>
  </w:style>
  <w:style w:type="character" w:styleId="WWCharLFO9LVL3" w:customStyle="1">
    <w:name w:val="WW_CharLFO9LVL3"/>
    <w:qFormat/>
    <w:rPr>
      <w:b/>
      <w:sz w:val="24"/>
      <w:szCs w:val="24"/>
    </w:rPr>
  </w:style>
  <w:style w:type="character" w:styleId="WWCharLFO9LVL4" w:customStyle="1">
    <w:name w:val="WW_CharLFO9LVL4"/>
    <w:qFormat/>
    <w:rPr>
      <w:b/>
      <w:sz w:val="24"/>
    </w:rPr>
  </w:style>
  <w:style w:type="character" w:styleId="WWCharLFO10LVL5" w:customStyle="1">
    <w:name w:val="WW_CharLFO10LVL5"/>
    <w:qFormat/>
    <w:rPr>
      <w:rFonts w:ascii="Times New Roman" w:hAnsi="Times New Roman" w:cs="Times New Roman"/>
    </w:rPr>
  </w:style>
  <w:style w:type="character" w:styleId="WWCharLFO11LVL1" w:customStyle="1">
    <w:name w:val="WW_CharLFO11LVL1"/>
    <w:qFormat/>
    <w:rPr>
      <w:rFonts w:ascii="Times New Roman" w:hAnsi="Times New Roman" w:cs="Times New Roman"/>
    </w:rPr>
  </w:style>
  <w:style w:type="character" w:styleId="WWCharLFO11LVL2" w:customStyle="1">
    <w:name w:val="WW_CharLFO11LVL2"/>
    <w:qFormat/>
    <w:rPr>
      <w:rFonts w:ascii="Courier New" w:hAnsi="Courier New" w:cs="Courier New"/>
    </w:rPr>
  </w:style>
  <w:style w:type="character" w:styleId="WWCharLFO11LVL3" w:customStyle="1">
    <w:name w:val="WW_CharLFO11LVL3"/>
    <w:qFormat/>
    <w:rPr>
      <w:rFonts w:ascii="Wingdings" w:hAnsi="Wingdings" w:cs="Wingdings"/>
    </w:rPr>
  </w:style>
  <w:style w:type="character" w:styleId="WWCharLFO11LVL4" w:customStyle="1">
    <w:name w:val="WW_CharLFO11LVL4"/>
    <w:qFormat/>
    <w:rPr>
      <w:rFonts w:ascii="Symbol" w:hAnsi="Symbol" w:cs="Symbol"/>
    </w:rPr>
  </w:style>
  <w:style w:type="character" w:styleId="WWCharLFO11LVL5" w:customStyle="1">
    <w:name w:val="WW_CharLFO11LVL5"/>
    <w:qFormat/>
    <w:rPr>
      <w:rFonts w:ascii="Courier New" w:hAnsi="Courier New" w:cs="Courier New"/>
    </w:rPr>
  </w:style>
  <w:style w:type="character" w:styleId="WWCharLFO11LVL6" w:customStyle="1">
    <w:name w:val="WW_CharLFO11LVL6"/>
    <w:qFormat/>
    <w:rPr>
      <w:rFonts w:ascii="Wingdings" w:hAnsi="Wingdings" w:cs="Wingdings"/>
    </w:rPr>
  </w:style>
  <w:style w:type="character" w:styleId="WWCharLFO11LVL7" w:customStyle="1">
    <w:name w:val="WW_CharLFO11LVL7"/>
    <w:qFormat/>
    <w:rPr>
      <w:rFonts w:ascii="Symbol" w:hAnsi="Symbol" w:cs="Symbol"/>
    </w:rPr>
  </w:style>
  <w:style w:type="character" w:styleId="WWCharLFO11LVL8" w:customStyle="1">
    <w:name w:val="WW_CharLFO11LVL8"/>
    <w:qFormat/>
    <w:rPr>
      <w:rFonts w:ascii="Courier New" w:hAnsi="Courier New" w:cs="Courier New"/>
    </w:rPr>
  </w:style>
  <w:style w:type="character" w:styleId="WWCharLFO11LVL9" w:customStyle="1">
    <w:name w:val="WW_CharLFO11LVL9"/>
    <w:qFormat/>
    <w:rPr>
      <w:rFonts w:ascii="Wingdings" w:hAnsi="Wingdings" w:cs="Wingdings"/>
    </w:rPr>
  </w:style>
  <w:style w:type="character" w:styleId="WWCharOUTLINELVL1" w:customStyle="1">
    <w:name w:val="WW_CharOUTLINELVL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8"/>
      <w:sz w:val="28"/>
      <w:szCs w:val="28"/>
      <w:u w:val="none"/>
      <w:vertAlign w:val="baseline"/>
      <w:em w:val="none"/>
      <w:lang w:val="ru-RU"/>
    </w:rPr>
  </w:style>
  <w:style w:type="character" w:styleId="WWCharOUTLINELVL2" w:customStyle="1">
    <w:name w:val="WW_CharOUTLINELVL2"/>
    <w:qFormat/>
    <w:rPr>
      <w:b/>
      <w:bCs w:val="false"/>
      <w:i w:val="false"/>
      <w:iCs w:val="false"/>
      <w:caps w:val="false"/>
      <w:smallCaps w:val="false"/>
      <w:strike w:val="false"/>
      <w:dstrike w:val="false"/>
      <w:outline w:val="false"/>
      <w:vanish w:val="false"/>
      <w:spacing w:val="0"/>
      <w:kern w:val="0"/>
      <w:position w:val="0"/>
      <w:sz w:val="24"/>
      <w:sz w:val="24"/>
      <w:szCs w:val="24"/>
      <w:u w:val="none"/>
      <w:vertAlign w:val="baseline"/>
      <w:em w:val="none"/>
    </w:rPr>
  </w:style>
  <w:style w:type="character" w:styleId="18" w:customStyle="1">
    <w:name w:val="Символ сноски1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Indexheading111" w:customStyle="1">
    <w:name w:val="index heading111"/>
    <w:basedOn w:val="Title"/>
    <w:qFormat/>
    <w:pPr>
      <w:suppressLineNumbers/>
    </w:pPr>
    <w:rPr>
      <w:b/>
      <w:bCs/>
      <w:sz w:val="32"/>
      <w:szCs w:val="32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" w:customStyle="1">
    <w:name w:val="Caption1111111111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Caption111111111111" w:customStyle="1">
    <w:name w:val="Caption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" w:customStyle="1">
    <w:name w:val="Caption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" w:customStyle="1">
    <w:name w:val="Caption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" w:customStyle="1">
    <w:name w:val="Caption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" w:customStyle="1">
    <w:name w:val="Caption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" w:customStyle="1">
    <w:name w:val="Caption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" w:customStyle="1">
    <w:name w:val="Caption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" w:customStyle="1">
    <w:name w:val="Caption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" w:customStyle="1">
    <w:name w:val="Caption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" w:customStyle="1">
    <w:name w:val="Caption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" w:customStyle="1">
    <w:name w:val="Caption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" w:customStyle="1">
    <w:name w:val="Caption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" w:customStyle="1">
    <w:name w:val="Caption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" w:customStyle="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 w:customStyle="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 w:customStyle="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 w:customStyle="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 w:customStyle="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 w:customStyle="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" w:customStyle="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1" w:customStyle="1">
    <w:name w:val="Caption1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111" w:customStyle="1">
    <w:name w:val="caption11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11111111111111111111111111111" w:customStyle="1">
    <w:name w:val="caption111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Indexheading11111" w:customStyle="1">
    <w:name w:val="index heading11111"/>
    <w:basedOn w:val="Title"/>
    <w:qFormat/>
    <w:pPr/>
    <w:rPr/>
  </w:style>
  <w:style w:type="paragraph" w:styleId="Caption11111111111111111111111111111111111" w:customStyle="1">
    <w:name w:val="caption11111111111111111111111111111111111"/>
    <w:basedOn w:val="Normal"/>
    <w:qFormat/>
    <w:pPr>
      <w:suppressLineNumbers/>
      <w:spacing w:before="120" w:after="120"/>
    </w:pPr>
    <w:rPr>
      <w:rFonts w:cs="Mangal;Courier New"/>
      <w:i/>
      <w:iCs/>
    </w:rPr>
  </w:style>
  <w:style w:type="paragraph" w:styleId="Indexheading111111" w:customStyle="1">
    <w:name w:val="index heading111111"/>
    <w:basedOn w:val="Title"/>
    <w:qFormat/>
    <w:pPr/>
    <w:rPr/>
  </w:style>
  <w:style w:type="paragraph" w:styleId="Caption111111111111111111111111111111111111" w:customStyle="1">
    <w:name w:val="caption1111111111111111111111111111111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Style20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21" w:customStyle="1">
    <w:name w:val="Раздел положения"/>
    <w:basedOn w:val="Normal"/>
    <w:qFormat/>
    <w:p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qFormat/>
    <w:pPr>
      <w:numPr>
        <w:ilvl w:val="0"/>
        <w:numId w:val="3"/>
      </w:numPr>
      <w:spacing w:before="80" w:after="80"/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19" w:customStyle="1">
    <w:name w:val="Шапка 1"/>
    <w:basedOn w:val="Normal"/>
    <w:qFormat/>
    <w:pPr>
      <w:pBdr>
        <w:bottom w:val="double" w:sz="12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double" w:sz="12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double" w:sz="12" w:space="1" w:color="000000"/>
      </w:pBdr>
      <w:spacing w:before="240" w:after="360"/>
      <w:jc w:val="center"/>
    </w:pPr>
    <w:rPr>
      <w:b/>
    </w:rPr>
  </w:style>
  <w:style w:type="paragraph" w:styleId="110" w:customStyle="1">
    <w:name w:val="Название1"/>
    <w:basedOn w:val="Normal"/>
    <w:qFormat/>
    <w:pPr>
      <w:jc w:val="center"/>
    </w:pPr>
    <w:rPr>
      <w:szCs w:val="20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pPr/>
    <w:rPr/>
  </w:style>
  <w:style w:type="paragraph" w:styleId="BodyTextIndent">
    <w:name w:val="Body Text Indent"/>
    <w:basedOn w:val="Normal"/>
    <w:pPr>
      <w:ind w:left="360" w:hanging="0"/>
    </w:pPr>
    <w:rPr/>
  </w:style>
  <w:style w:type="paragraph" w:styleId="Footer">
    <w:name w:val="Footer"/>
    <w:basedOn w:val="Normal"/>
    <w:pPr/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Cs w:val="20"/>
    </w:rPr>
  </w:style>
  <w:style w:type="paragraph" w:styleId="Style24" w:customStyle="1">
    <w:name w:val="Подпункт"/>
    <w:basedOn w:val="Normal"/>
    <w:qFormat/>
    <w:pPr>
      <w:snapToGrid w:val="false"/>
      <w:spacing w:lineRule="auto" w:line="360"/>
      <w:ind w:left="1134" w:hanging="1134"/>
    </w:pPr>
    <w:rPr>
      <w:szCs w:val="20"/>
    </w:rPr>
  </w:style>
  <w:style w:type="paragraph" w:styleId="24" w:customStyle="1">
    <w:name w:val="Пункт2"/>
    <w:basedOn w:val="Normal"/>
    <w:qFormat/>
    <w:pPr>
      <w:keepNext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</w:rPr>
  </w:style>
  <w:style w:type="paragraph" w:styleId="TOC3">
    <w:name w:val="TOC 3"/>
    <w:basedOn w:val="Normal"/>
    <w:next w:val="Normal"/>
    <w:uiPriority w:val="39"/>
    <w:pPr>
      <w:ind w:left="280" w:hanging="0"/>
    </w:pPr>
    <w:rPr>
      <w:rFonts w:cs="Calibri"/>
      <w:sz w:val="20"/>
      <w:szCs w:val="20"/>
    </w:rPr>
  </w:style>
  <w:style w:type="paragraph" w:styleId="Style25" w:customStyle="1">
    <w:name w:val="Раздел регламента"/>
    <w:basedOn w:val="Normal"/>
    <w:qFormat/>
    <w:pPr/>
    <w:rPr/>
  </w:style>
  <w:style w:type="paragraph" w:styleId="Style26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uiPriority w:val="39"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eastAsia="Tahoma" w:cs="Tahoma"/>
      <w:sz w:val="16"/>
      <w:szCs w:val="16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11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/>
    </w:rPr>
  </w:style>
  <w:style w:type="paragraph" w:styleId="TOC9">
    <w:name w:val="TOC 9"/>
    <w:basedOn w:val="Normal"/>
    <w:next w:val="Normal"/>
    <w:pPr>
      <w:ind w:left="1960" w:hanging="0"/>
    </w:pPr>
    <w:rPr>
      <w:rFonts w:ascii="Calibri" w:hAnsi="Calibri" w:eastAsia="Calibri" w:cs="Calibri"/>
      <w:sz w:val="20"/>
      <w:szCs w:val="20"/>
    </w:rPr>
  </w:style>
  <w:style w:type="paragraph" w:styleId="TOC5">
    <w:name w:val="TOC 5"/>
    <w:basedOn w:val="Normal"/>
    <w:next w:val="Normal"/>
    <w:pPr>
      <w:ind w:left="840" w:hanging="0"/>
    </w:pPr>
    <w:rPr>
      <w:rFonts w:ascii="Calibri" w:hAnsi="Calibri" w:eastAsia="Calibri" w:cs="Calibri"/>
      <w:sz w:val="20"/>
      <w:szCs w:val="20"/>
    </w:rPr>
  </w:style>
  <w:style w:type="paragraph" w:styleId="TOC4">
    <w:name w:val="TOC 4"/>
    <w:basedOn w:val="Normal"/>
    <w:next w:val="Normal"/>
    <w:pPr>
      <w:ind w:left="560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eastAsia="Verdana" w:cs="Verdana"/>
      <w:sz w:val="22"/>
      <w:szCs w:val="22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</w:rPr>
  </w:style>
  <w:style w:type="paragraph" w:styleId="Subtitle">
    <w:name w:val="Subtitle"/>
    <w:basedOn w:val="Normal"/>
    <w:next w:val="Normal"/>
    <w:qFormat/>
    <w:pPr>
      <w:ind w:left="1066" w:firstLine="709"/>
    </w:pPr>
    <w:rPr>
      <w:rFonts w:ascii="Cambria" w:hAnsi="Cambria" w:eastAsia="Cambria" w:cs="Cambria"/>
      <w:i/>
      <w:iCs/>
      <w:color w:val="4F81BD"/>
      <w:spacing w:val="15"/>
    </w:rPr>
  </w:style>
  <w:style w:type="paragraph" w:styleId="ListParagraph">
    <w:name w:val="List Paragraph"/>
    <w:basedOn w:val="Normal"/>
    <w:qFormat/>
    <w:pPr>
      <w:ind w:left="720" w:hanging="0"/>
    </w:pPr>
    <w:rPr>
      <w:rFonts w:eastAsia="Calibri"/>
    </w:rPr>
  </w:style>
  <w:style w:type="paragraph" w:styleId="Quote">
    <w:name w:val="Quote"/>
    <w:basedOn w:val="Normal"/>
    <w:next w:val="Normal"/>
    <w:qFormat/>
    <w:pPr/>
    <w:rPr>
      <w:rFonts w:ascii="Calibri" w:hAnsi="Calibri" w:eastAsia="Calibri" w:cs="Calibri"/>
      <w:i/>
      <w:iCs/>
      <w:sz w:val="20"/>
      <w:szCs w:val="20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0"/>
      </w:numPr>
      <w:spacing w:before="480" w:after="0"/>
    </w:pPr>
    <w:rPr>
      <w:rFonts w:ascii="Cambria" w:hAnsi="Cambria" w:eastAsia="Cambria" w:cs="Cambria"/>
      <w:bCs/>
      <w:color w:val="365F91"/>
    </w:rPr>
  </w:style>
  <w:style w:type="paragraph" w:styleId="E-mailSignature">
    <w:name w:val="E-mail Signature"/>
    <w:basedOn w:val="Normal"/>
    <w:qFormat/>
    <w:pPr/>
    <w:rPr>
      <w:rFonts w:eastAsia="Calibri"/>
    </w:rPr>
  </w:style>
  <w:style w:type="paragraph" w:styleId="Style28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Verdana" w:cs="Verdana"/>
      <w:sz w:val="20"/>
      <w:szCs w:val="20"/>
      <w:lang w:val="en-US"/>
    </w:rPr>
  </w:style>
  <w:style w:type="paragraph" w:styleId="34" w:customStyle="1">
    <w:name w:val="Нумерованный список ур3"/>
    <w:basedOn w:val="Normal"/>
    <w:qFormat/>
    <w:pPr/>
    <w:rPr>
      <w:rFonts w:ascii="Garamond" w:hAnsi="Garamond" w:eastAsia="Garamond" w:cs="Garamond"/>
      <w:szCs w:val="20"/>
    </w:rPr>
  </w:style>
  <w:style w:type="paragraph" w:styleId="311" w:customStyle="1">
    <w:name w:val="Список 31"/>
    <w:basedOn w:val="Normal"/>
    <w:qFormat/>
    <w:pPr>
      <w:spacing w:before="120" w:after="0"/>
    </w:pPr>
    <w:rPr>
      <w:rFonts w:ascii="Garamond" w:hAnsi="Garamond" w:eastAsia="Garamond" w:cs="Garamond"/>
      <w:szCs w:val="20"/>
    </w:rPr>
  </w:style>
  <w:style w:type="paragraph" w:styleId="26" w:customStyle="1">
    <w:name w:val="Нумерованный список ур2"/>
    <w:basedOn w:val="Normal"/>
    <w:qFormat/>
    <w:pPr>
      <w:numPr>
        <w:ilvl w:val="0"/>
        <w:numId w:val="2"/>
      </w:numPr>
      <w:spacing w:before="120" w:after="0"/>
    </w:pPr>
    <w:rPr>
      <w:rFonts w:ascii="Garamond" w:hAnsi="Garamond" w:eastAsia="Garamond" w:cs="Garamond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Times New Roman"/>
      <w:color w:val="000000"/>
      <w:kern w:val="2"/>
      <w:sz w:val="24"/>
      <w:szCs w:val="24"/>
      <w:lang w:val="ru-RU" w:eastAsia="zh-CN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Times New Roman" w:cs="Arial"/>
      <w:color w:val="000000"/>
      <w:kern w:val="2"/>
      <w:sz w:val="20"/>
      <w:szCs w:val="20"/>
      <w:lang w:val="ru-RU" w:eastAsia="zh-CN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</w:pPr>
    <w:rPr>
      <w:rFonts w:ascii="Verdana" w:hAnsi="Verdana" w:eastAsia="Verdana" w:cs="Verdana"/>
      <w:sz w:val="22"/>
      <w:szCs w:val="22"/>
      <w:lang w:val="en-US"/>
    </w:rPr>
  </w:style>
  <w:style w:type="paragraph" w:styleId="Style29" w:customStyle="1">
    <w:name w:val="Пункт"/>
    <w:basedOn w:val="Normal"/>
    <w:qFormat/>
    <w:pPr>
      <w:spacing w:lineRule="auto" w:line="360" w:before="120" w:after="0"/>
      <w:ind w:left="1134" w:right="800" w:hanging="1134"/>
    </w:pPr>
    <w:rPr>
      <w:rFonts w:ascii="Arial" w:hAnsi="Arial" w:eastAsia="Arial" w:cs="Arial"/>
      <w:b/>
      <w:i/>
      <w:szCs w:val="20"/>
    </w:rPr>
  </w:style>
  <w:style w:type="paragraph" w:styleId="112" w:customStyle="1">
    <w:name w:val="Абзац списка1"/>
    <w:basedOn w:val="Normal"/>
    <w:qFormat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</w:rPr>
  </w:style>
  <w:style w:type="paragraph" w:styleId="Style30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</w:rPr>
  </w:style>
  <w:style w:type="paragraph" w:styleId="Style31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qFormat/>
    <w:pPr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3" w:customStyle="1">
    <w:name w:val="УРОВЕНЬ_(а)"/>
    <w:basedOn w:val="ListParagraph"/>
    <w:qFormat/>
    <w:pPr>
      <w:spacing w:lineRule="exact" w:line="360" w:before="120" w:after="0"/>
      <w:outlineLvl w:val="3"/>
    </w:pPr>
    <w:rPr>
      <w:sz w:val="26"/>
    </w:rPr>
  </w:style>
  <w:style w:type="paragraph" w:styleId="-" w:customStyle="1">
    <w:name w:val="УРОВЕНЬ_-"/>
    <w:basedOn w:val="ListParagraph"/>
    <w:qFormat/>
    <w:pPr>
      <w:spacing w:lineRule="exact" w:line="360" w:before="120" w:after="0"/>
      <w:outlineLvl w:val="4"/>
    </w:pPr>
    <w:rPr>
      <w:sz w:val="26"/>
    </w:rPr>
  </w:style>
  <w:style w:type="paragraph" w:styleId="27" w:customStyle="1">
    <w:name w:val="УРОВЕНЬ_Абзац_тип2"/>
    <w:basedOn w:val="ListParagraph"/>
    <w:qFormat/>
    <w:pPr>
      <w:spacing w:lineRule="exact" w:line="360" w:before="120" w:after="0"/>
    </w:pPr>
    <w:rPr>
      <w:sz w:val="26"/>
    </w:rPr>
  </w:style>
  <w:style w:type="paragraph" w:styleId="36" w:customStyle="1">
    <w:name w:val="УРОВЕНЬ_Абзац_тип3"/>
    <w:basedOn w:val="ListParagraph"/>
    <w:qFormat/>
    <w:pPr>
      <w:spacing w:lineRule="exact" w:line="360" w:before="120" w:after="0"/>
    </w:pPr>
    <w:rPr>
      <w:sz w:val="26"/>
    </w:rPr>
  </w:style>
  <w:style w:type="paragraph" w:styleId="Style34" w:customStyle="1">
    <w:name w:val="УРОВЕНЬ_Подпись"/>
    <w:basedOn w:val="ListParagraph"/>
    <w:qFormat/>
    <w:pPr>
      <w:keepNext w:val="true"/>
      <w:numPr>
        <w:ilvl w:val="0"/>
        <w:numId w:val="8"/>
      </w:numPr>
      <w:spacing w:lineRule="exact" w:line="360" w:before="120" w:after="120"/>
      <w:jc w:val="right"/>
      <w:outlineLvl w:val="3"/>
    </w:pPr>
    <w:rPr>
      <w:sz w:val="26"/>
    </w:rPr>
  </w:style>
  <w:style w:type="paragraph" w:styleId="113" w:customStyle="1">
    <w:name w:val="Стиль Заголовок 1 + по ширине"/>
    <w:basedOn w:val="Heading1"/>
    <w:qFormat/>
    <w:pPr>
      <w:keepLines/>
      <w:numPr>
        <w:ilvl w:val="0"/>
        <w:numId w:val="0"/>
      </w:numPr>
      <w:spacing w:before="480" w:after="240"/>
      <w:ind w:left="567" w:hanging="567"/>
    </w:pPr>
    <w:rPr>
      <w:rFonts w:ascii="Arial" w:hAnsi="Arial" w:eastAsia="Times New Roman" w:cs="Arial"/>
      <w:bCs/>
      <w:sz w:val="40"/>
      <w:szCs w:val="20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numPr>
        <w:ilvl w:val="0"/>
        <w:numId w:val="4"/>
      </w:numPr>
      <w:spacing w:before="120" w:after="120"/>
      <w:outlineLvl w:val="0"/>
    </w:pPr>
    <w:rPr>
      <w:b/>
      <w:szCs w:val="20"/>
    </w:rPr>
  </w:style>
  <w:style w:type="paragraph" w:styleId="Style35" w:customStyle="1">
    <w:name w:val="Таблица текст"/>
    <w:basedOn w:val="Normal"/>
    <w:qFormat/>
    <w:pPr>
      <w:spacing w:before="40" w:after="40"/>
      <w:ind w:left="57" w:right="57" w:hanging="0"/>
    </w:pPr>
    <w:rPr>
      <w:szCs w:val="26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114" w:customStyle="1">
    <w:name w:val="УРОВЕНЬ_1."/>
    <w:basedOn w:val="ListParagraph"/>
    <w:qFormat/>
    <w:pPr>
      <w:keepNext w:val="true"/>
      <w:keepLines/>
      <w:spacing w:lineRule="auto" w:line="276" w:before="240" w:after="120"/>
      <w:outlineLvl w:val="0"/>
    </w:pPr>
    <w:rPr>
      <w:caps/>
      <w:sz w:val="28"/>
    </w:rPr>
  </w:style>
  <w:style w:type="paragraph" w:styleId="TOC6">
    <w:name w:val="TOC 6"/>
    <w:basedOn w:val="Normal"/>
    <w:next w:val="Normal"/>
    <w:pPr>
      <w:ind w:left="1120" w:hanging="0"/>
    </w:pPr>
    <w:rPr>
      <w:rFonts w:ascii="Calibri" w:hAnsi="Calibri" w:eastAsia="Calibri" w:cs="Calibri"/>
      <w:sz w:val="20"/>
      <w:szCs w:val="20"/>
    </w:rPr>
  </w:style>
  <w:style w:type="paragraph" w:styleId="TOC7">
    <w:name w:val="TOC 7"/>
    <w:basedOn w:val="Normal"/>
    <w:next w:val="Normal"/>
    <w:pPr>
      <w:ind w:left="1400" w:hanging="0"/>
    </w:pPr>
    <w:rPr>
      <w:rFonts w:ascii="Calibri" w:hAnsi="Calibri" w:eastAsia="Calibri" w:cs="Calibri"/>
      <w:sz w:val="20"/>
      <w:szCs w:val="20"/>
    </w:rPr>
  </w:style>
  <w:style w:type="paragraph" w:styleId="TOC8">
    <w:name w:val="TOC 8"/>
    <w:basedOn w:val="Normal"/>
    <w:next w:val="Normal"/>
    <w:pPr>
      <w:ind w:left="1680" w:hanging="0"/>
    </w:pPr>
    <w:rPr>
      <w:rFonts w:ascii="Calibri" w:hAnsi="Calibri" w:eastAsia="Calibri" w:cs="Calibri"/>
      <w:sz w:val="20"/>
      <w:szCs w:val="20"/>
    </w:rPr>
  </w:style>
  <w:style w:type="paragraph" w:styleId="312" w:customStyle="1">
    <w:name w:val="Основной текст с отступом 31"/>
    <w:basedOn w:val="Normal"/>
    <w:qFormat/>
    <w:pPr>
      <w:spacing w:before="0" w:after="120"/>
      <w:ind w:left="283" w:hanging="0"/>
    </w:pPr>
    <w:rPr>
      <w:color w:val="00000A"/>
      <w:sz w:val="16"/>
      <w:szCs w:val="16"/>
    </w:rPr>
  </w:style>
  <w:style w:type="paragraph" w:styleId="37" w:customStyle="1">
    <w:name w:val="Абзац списка3"/>
    <w:basedOn w:val="Normal"/>
    <w:qFormat/>
    <w:pPr>
      <w:ind w:left="720" w:hanging="0"/>
    </w:pPr>
    <w:rPr>
      <w:rFonts w:eastAsia="Calibri"/>
      <w:color w:val="00000A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zh-CN" w:bidi="ar-SA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Style39" w:customStyle="1">
    <w:name w:val="РГ_номер текста табл"/>
    <w:basedOn w:val="ListParagraph"/>
    <w:qFormat/>
    <w:pPr>
      <w:ind w:left="0" w:hanging="0"/>
    </w:pPr>
    <w:rPr>
      <w:rFonts w:ascii="Calibri" w:hAnsi="Calibri" w:cs="Calibri"/>
    </w:rPr>
  </w:style>
  <w:style w:type="paragraph" w:styleId="115" w:customStyle="1">
    <w:name w:val="1.1. таблица"/>
    <w:basedOn w:val="Style39"/>
    <w:qFormat/>
    <w:pPr>
      <w:numPr>
        <w:ilvl w:val="0"/>
        <w:numId w:val="6"/>
      </w:numPr>
    </w:pPr>
    <w:rPr/>
  </w:style>
  <w:style w:type="paragraph" w:styleId="116" w:customStyle="1">
    <w:name w:val="Указатель1"/>
    <w:basedOn w:val="Normal"/>
    <w:qFormat/>
    <w:pPr>
      <w:suppressLineNumbers/>
    </w:pPr>
    <w:rPr/>
  </w:style>
  <w:style w:type="paragraph" w:styleId="117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/>
      <w:sz w:val="28"/>
    </w:rPr>
  </w:style>
  <w:style w:type="paragraph" w:styleId="Style40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WWOutlineListStyle" w:customStyle="1">
    <w:name w:val="WW_OutlineListStyle"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3550</TotalTime>
  <Application>AlterOffice/3.4.0.9$Linux_X86_64 LibreOffice_project/b8daf9e823b1a5463a2f48435ddc2e8696e7d4fc</Application>
  <AppVersion>15.0000</AppVersion>
  <Pages>14</Pages>
  <Words>2945</Words>
  <Characters>20620</Characters>
  <CharactersWithSpaces>23259</CharactersWithSpaces>
  <Paragraphs>333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2024-12-24T09:03:00Z</dcterms:created>
  <dc:creator>Быстров Олег Геннадьевич</dc:creator>
  <dc:description/>
  <dc:language>ru-RU</dc:language>
  <cp:lastModifiedBy>borisovval@corp.gidroogk.com</cp:lastModifiedBy>
  <cp:lastPrinted>2026-03-27T10:33:00Z</cp:lastPrinted>
  <dcterms:modified xsi:type="dcterms:W3CDTF">2026-09-03T14:12:42Z</dcterms:modified>
  <cp:revision>290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