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spacing w:before="120" w:after="120"/>
        <w:jc w:val="center"/>
        <w:rPr>
          <w:rFonts w:eastAsia="Calibri"/>
        </w:rPr>
      </w:pPr>
      <w:r>
        <w:rPr>
          <w:rFonts w:eastAsia="Calibri"/>
          <w:b/>
          <w:sz w:val="26"/>
          <w:szCs w:val="26"/>
        </w:rPr>
        <w:t>Технические требования на оказание</w:t>
      </w:r>
      <w:bookmarkStart w:id="0" w:name="_GoBack"/>
      <w:bookmarkEnd w:id="0"/>
      <w:r>
        <w:rPr>
          <w:rFonts w:eastAsia="Calibri"/>
          <w:b/>
          <w:sz w:val="26"/>
          <w:szCs w:val="26"/>
        </w:rPr>
        <w:t xml:space="preserve"> услуг</w:t>
      </w:r>
    </w:p>
    <w:p>
      <w:pPr>
        <w:pStyle w:val="Normal"/>
        <w:spacing w:before="120" w:after="120"/>
        <w:jc w:val="center"/>
        <w:rPr/>
      </w:pPr>
      <w:r>
        <w:rPr/>
      </w:r>
    </w:p>
    <w:p>
      <w:pPr>
        <w:pStyle w:val="Normal"/>
        <w:spacing w:before="120" w:after="120"/>
        <w:jc w:val="center"/>
        <w:rPr/>
      </w:pPr>
      <w:r>
        <w:rPr/>
      </w:r>
    </w:p>
    <w:p>
      <w:pPr>
        <w:pStyle w:val="Normal"/>
        <w:spacing w:before="120" w:after="120"/>
        <w:jc w:val="center"/>
        <w:rPr>
          <w:b/>
          <w:highlight w:val="yellow"/>
        </w:rPr>
      </w:pPr>
      <w:r>
        <w:rPr>
          <w:b/>
        </w:rPr>
        <w:t>«ОКПД2 77.39.19.113 Услуги по выполнению такелажных работ»</w:t>
      </w:r>
    </w:p>
    <w:p>
      <w:pPr>
        <w:pStyle w:val="Normal"/>
        <w:jc w:val="center"/>
        <w:rPr>
          <w:highlight w:val="yellow"/>
        </w:rPr>
      </w:pPr>
      <w:r>
        <w:rPr>
          <w:highlight w:val="yellow"/>
        </w:rPr>
      </w:r>
    </w:p>
    <w:p>
      <w:pPr>
        <w:pStyle w:val="Normal"/>
        <w:jc w:val="center"/>
        <w:rPr>
          <w:highlight w:val="yellow"/>
        </w:rPr>
      </w:pPr>
      <w:r>
        <w:rPr>
          <w:highlight w:val="yellow"/>
        </w:rPr>
      </w:r>
    </w:p>
    <w:p>
      <w:pPr>
        <w:pStyle w:val="Normal"/>
        <w:tabs>
          <w:tab w:val="clear" w:pos="708"/>
          <w:tab w:val="left" w:pos="5805" w:leader="none"/>
        </w:tabs>
        <w:spacing w:lineRule="auto" w:line="276" w:before="0" w:after="200"/>
        <w:jc w:val="center"/>
        <w:rPr>
          <w:rFonts w:eastAsia="Calibri"/>
          <w:b/>
          <w:sz w:val="28"/>
          <w:szCs w:val="28"/>
          <w:lang w:eastAsia="en-US"/>
        </w:rPr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ListParagraph"/>
        <w:numPr>
          <w:ilvl w:val="0"/>
          <w:numId w:val="2"/>
        </w:numPr>
        <w:spacing w:before="0" w:after="120"/>
        <w:ind w:hanging="567" w:left="567"/>
        <w:contextualSpacing/>
        <w:jc w:val="center"/>
        <w:outlineLvl w:val="0"/>
        <w:rPr/>
      </w:pPr>
      <w:r>
        <w:rPr>
          <w:b/>
          <w:sz w:val="28"/>
        </w:rPr>
        <w:t>Общие сведения</w:t>
      </w:r>
    </w:p>
    <w:p>
      <w:pPr>
        <w:pStyle w:val="Normal"/>
        <w:numPr>
          <w:ilvl w:val="0"/>
          <w:numId w:val="0"/>
        </w:numPr>
        <w:spacing w:before="0" w:after="120"/>
        <w:ind w:left="567"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spacing w:before="0" w:after="120"/>
        <w:ind w:left="567"/>
        <w:jc w:val="center"/>
        <w:outlineLvl w:val="0"/>
        <w:rPr/>
      </w:pPr>
      <w:r>
        <w:rPr/>
      </w:r>
    </w:p>
    <w:p>
      <w:pPr>
        <w:pStyle w:val="ListParagraph"/>
        <w:numPr>
          <w:ilvl w:val="1"/>
          <w:numId w:val="2"/>
        </w:numPr>
        <w:spacing w:before="0" w:after="120"/>
        <w:ind w:hanging="567" w:left="567"/>
        <w:contextualSpacing/>
        <w:outlineLvl w:val="0"/>
        <w:rPr/>
      </w:pPr>
      <w:r>
        <w:rPr>
          <w:b/>
        </w:rPr>
        <w:t>Наименование закупаемых услуг</w:t>
      </w:r>
    </w:p>
    <w:p>
      <w:pPr>
        <w:pStyle w:val="Normal"/>
        <w:spacing w:before="0" w:after="120"/>
        <w:ind w:firstLine="567"/>
        <w:jc w:val="both"/>
        <w:rPr/>
      </w:pPr>
      <w:r>
        <w:rPr>
          <w:rFonts w:eastAsia="Calibri"/>
          <w:lang w:eastAsia="en-US"/>
        </w:rPr>
        <w:t>Такелажные работы для нужд АО «ВНИИГ им. Б.Е. Веденеева».</w:t>
      </w:r>
    </w:p>
    <w:p>
      <w:pPr>
        <w:pStyle w:val="Normal"/>
        <w:spacing w:before="0" w:after="120"/>
        <w:ind w:firstLine="567"/>
        <w:jc w:val="both"/>
        <w:rPr/>
      </w:pPr>
      <w:r>
        <w:rPr/>
      </w:r>
    </w:p>
    <w:p>
      <w:pPr>
        <w:pStyle w:val="ListParagraph"/>
        <w:numPr>
          <w:ilvl w:val="1"/>
          <w:numId w:val="2"/>
        </w:numPr>
        <w:spacing w:before="0" w:after="120"/>
        <w:ind w:hanging="567" w:left="567"/>
        <w:contextualSpacing/>
        <w:rPr/>
      </w:pPr>
      <w:r>
        <w:rPr>
          <w:b/>
        </w:rPr>
        <w:t>Цели и задачи. Существующее положение</w:t>
      </w:r>
    </w:p>
    <w:p>
      <w:pPr>
        <w:pStyle w:val="Normal"/>
        <w:spacing w:before="0" w:after="120"/>
        <w:ind w:firstLine="567"/>
        <w:jc w:val="both"/>
        <w:rPr/>
      </w:pPr>
      <w:r>
        <w:rPr/>
        <w:t xml:space="preserve">Целью закупки услуг являются такелажные работы по перемещению камеры для испытаний давлением </w:t>
      </w:r>
      <w:r>
        <w:rPr>
          <w:lang w:val="en-US"/>
        </w:rPr>
        <w:t>TP</w:t>
      </w:r>
      <w:r>
        <w:rPr/>
        <w:t>-</w:t>
      </w:r>
      <w:r>
        <w:rPr>
          <w:lang w:val="en-US"/>
        </w:rPr>
        <w:t>IPX</w:t>
      </w:r>
      <w:r>
        <w:rPr/>
        <w:t xml:space="preserve">8 </w:t>
      </w:r>
      <w:r>
        <w:rPr>
          <w:rFonts w:eastAsia="Calibri"/>
          <w:lang w:eastAsia="en-US"/>
        </w:rPr>
        <w:t>для нужд АО «ВНИИГ им. Б.Е. Веденеева»</w:t>
      </w:r>
      <w:r>
        <w:rPr/>
        <w:t xml:space="preserve">. </w:t>
      </w:r>
    </w:p>
    <w:p>
      <w:pPr>
        <w:pStyle w:val="Normal"/>
        <w:spacing w:before="0" w:after="120"/>
        <w:ind w:firstLine="567"/>
        <w:jc w:val="both"/>
        <w:rPr/>
      </w:pPr>
      <w:r>
        <w:rPr/>
      </w:r>
    </w:p>
    <w:p>
      <w:pPr>
        <w:pStyle w:val="Normal"/>
        <w:spacing w:before="0" w:after="120"/>
        <w:ind w:left="567"/>
        <w:rPr/>
      </w:pPr>
      <w:r>
        <w:rPr>
          <w:b/>
        </w:rPr>
        <w:t>Таблица 1. Перечень объектов заказчика</w:t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31"/>
        <w:gridCol w:w="1844"/>
        <w:gridCol w:w="1843"/>
        <w:gridCol w:w="4677"/>
        <w:gridCol w:w="1023"/>
      </w:tblGrid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  <w:p>
            <w:pPr>
              <w:pStyle w:val="Normal"/>
              <w:widowControl w:val="false"/>
              <w:rPr/>
            </w:pPr>
            <w:r>
              <w:rPr/>
              <w:t>п/п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Расположение объекта </w:t>
            </w:r>
            <w:r>
              <w:rPr/>
              <w:br w:type="textWrapping" w:clear="all"/>
            </w:r>
            <w:r>
              <w:rPr>
                <w:i/>
                <w:iCs/>
              </w:rPr>
              <w:t>(место оказания услуг)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Примечания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  <w:lang w:eastAsia="en-US"/>
              </w:rPr>
              <w:t>АО «ВНИИГ им. Б.Е. Веденеева»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  <w:lang w:eastAsia="en-US"/>
              </w:rPr>
              <w:t>195220, г. Санкт-Петербург, ул. Гжатская, д. 21, литера А, Б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/>
              <w:t xml:space="preserve">Камера для испытаний давлением </w:t>
            </w:r>
            <w:r>
              <w:rPr>
                <w:lang w:val="en-US"/>
              </w:rPr>
              <w:t>TP</w:t>
            </w:r>
            <w:r>
              <w:rPr/>
              <w:t>-</w:t>
            </w:r>
            <w:r>
              <w:rPr>
                <w:lang w:val="en-US"/>
              </w:rPr>
              <w:t>IPX</w:t>
            </w:r>
            <w:r>
              <w:rPr/>
              <w:t>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"/>
        <w:spacing w:before="0" w:after="12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ind w:hanging="567" w:left="567"/>
        <w:jc w:val="center"/>
        <w:rPr/>
      </w:pPr>
      <w:r>
        <w:rPr>
          <w:b/>
          <w:iCs/>
          <w:sz w:val="28"/>
        </w:rPr>
        <w:t>Требования к закупаемым услугам</w:t>
      </w:r>
    </w:p>
    <w:p>
      <w:pPr>
        <w:pStyle w:val="ListParagraph"/>
        <w:numPr>
          <w:ilvl w:val="1"/>
          <w:numId w:val="2"/>
        </w:numPr>
        <w:ind w:hanging="567" w:left="567"/>
        <w:rPr/>
      </w:pPr>
      <w:r>
        <w:rPr>
          <w:b/>
        </w:rPr>
        <w:t>Требования к объемам и срокам оказания услуг</w:t>
      </w:r>
    </w:p>
    <w:p>
      <w:pPr>
        <w:pStyle w:val="ListParagraph"/>
        <w:numPr>
          <w:ilvl w:val="2"/>
          <w:numId w:val="2"/>
        </w:numPr>
        <w:spacing w:before="0" w:after="120"/>
        <w:ind w:hanging="567" w:left="567"/>
        <w:contextualSpacing/>
        <w:rPr/>
      </w:pPr>
      <w:r>
        <w:rPr>
          <w:b/>
        </w:rPr>
        <w:t>Требования к перечню и объему услуг</w:t>
      </w:r>
    </w:p>
    <w:p>
      <w:pPr>
        <w:pStyle w:val="Normal"/>
        <w:spacing w:before="0" w:after="120"/>
        <w:ind w:left="567"/>
        <w:rPr>
          <w:b/>
        </w:rPr>
      </w:pPr>
      <w:r>
        <w:rPr>
          <w:b/>
        </w:rPr>
        <w:t>Таблица 2. Перечень и объем оказываемых услуг</w:t>
      </w:r>
    </w:p>
    <w:tbl>
      <w:tblPr>
        <w:tblW w:w="981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87"/>
        <w:gridCol w:w="2124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Наименование услуг / этапа услуг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lang w:eastAsia="en-US"/>
              </w:rPr>
              <w:t>Такелажные работы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усл. ед.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</w:tbl>
    <w:p>
      <w:pPr>
        <w:pStyle w:val="Normal"/>
        <w:spacing w:before="0"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numPr>
          <w:ilvl w:val="2"/>
          <w:numId w:val="2"/>
        </w:numPr>
        <w:spacing w:before="0" w:after="120"/>
        <w:ind w:hanging="567" w:left="567"/>
        <w:contextualSpacing/>
        <w:rPr/>
      </w:pPr>
      <w:r>
        <w:rPr>
          <w:b/>
        </w:rPr>
        <w:t xml:space="preserve">Требования к срокам оказания услуг </w:t>
      </w:r>
    </w:p>
    <w:p>
      <w:pPr>
        <w:pStyle w:val="Normal"/>
        <w:spacing w:before="0" w:after="120"/>
        <w:ind w:left="567"/>
        <w:rPr>
          <w:b/>
        </w:rPr>
      </w:pPr>
      <w:r>
        <w:rPr>
          <w:b/>
        </w:rPr>
        <w:t xml:space="preserve">Таблица 3. </w:t>
      </w:r>
      <w:bookmarkStart w:id="1" w:name="_Hlk50465284"/>
      <w:r>
        <w:rPr>
          <w:b/>
        </w:rPr>
        <w:t xml:space="preserve">Требования к срокам </w:t>
      </w:r>
      <w:bookmarkEnd w:id="1"/>
      <w:r>
        <w:rPr>
          <w:b/>
        </w:rPr>
        <w:t>оказания услуг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2268"/>
        <w:gridCol w:w="3120"/>
        <w:gridCol w:w="3713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услуг/ этапа услуг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началу срока оказания услуг/ этапа услуг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lang w:eastAsia="en-US"/>
              </w:rPr>
              <w:t>Такелажные работы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С даты, следующей за датой подписания договора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через 14 дней с момента начала оказания Услуг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701" w:right="850" w:gutter="0" w:header="0" w:top="850" w:footer="709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ListParagraph"/>
        <w:numPr>
          <w:ilvl w:val="1"/>
          <w:numId w:val="2"/>
        </w:numPr>
        <w:spacing w:before="0" w:after="120"/>
        <w:ind w:hanging="567" w:left="567"/>
        <w:contextualSpacing/>
        <w:rPr/>
      </w:pPr>
      <w:r>
        <w:rPr>
          <w:b/>
        </w:rPr>
        <w:t>Требования к качеству услуг</w:t>
      </w:r>
    </w:p>
    <w:p>
      <w:pPr>
        <w:pStyle w:val="Normal"/>
        <w:spacing w:before="0" w:after="120"/>
        <w:ind w:left="567"/>
        <w:rPr/>
      </w:pPr>
      <w:r>
        <w:rPr>
          <w:b/>
        </w:rPr>
        <w:t xml:space="preserve">Таблица 4. Требования к качеству услуг </w:t>
      </w:r>
    </w:p>
    <w:tbl>
      <w:tblPr>
        <w:tblW w:w="1499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9"/>
        <w:gridCol w:w="4112"/>
        <w:gridCol w:w="6873"/>
      </w:tblGrid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№ </w:t>
            </w:r>
            <w:r>
              <w:rPr>
                <w:b/>
                <w:bCs/>
                <w:sz w:val="22"/>
              </w:rPr>
              <w:t>п/п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Наименование параметра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Требование заказчика</w:t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ind w:left="25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0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rPr>
                <w:b/>
                <w:bCs/>
              </w:rPr>
            </w:pPr>
            <w:r>
              <w:rPr>
                <w:b/>
              </w:rPr>
              <w:t>Требования к оказанию услуг</w:t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ind w:left="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</w:tc>
        <w:tc>
          <w:tcPr>
            <w:tcW w:w="10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Общие требования к оказанию услуг.</w:t>
            </w:r>
          </w:p>
        </w:tc>
      </w:tr>
      <w:tr>
        <w:trPr>
          <w:trHeight w:val="787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1.1.1</w:t>
            </w:r>
          </w:p>
        </w:tc>
        <w:tc>
          <w:tcPr>
            <w:tcW w:w="10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/>
              <w:t xml:space="preserve">Исполнитель предоставляет такелажную бригаду для перемещения камеры для испытаний давлением </w:t>
            </w:r>
            <w:r>
              <w:rPr>
                <w:lang w:val="en-US"/>
              </w:rPr>
              <w:t>TP</w:t>
            </w:r>
            <w:r>
              <w:rPr/>
              <w:t>-</w:t>
            </w:r>
            <w:r>
              <w:rPr>
                <w:lang w:val="en-US"/>
              </w:rPr>
              <w:t>IPX</w:t>
            </w:r>
            <w:r>
              <w:rPr/>
              <w:t>8 (габариты, мм: 1700х750х1600; вес около 350 кг)</w:t>
            </w:r>
          </w:p>
        </w:tc>
      </w:tr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1.1.2</w:t>
            </w:r>
          </w:p>
        </w:tc>
        <w:tc>
          <w:tcPr>
            <w:tcW w:w="10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/>
              <w:t>Исполнитель обеспечивает доставку такелажного оборудования к месту проведения работ.</w:t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1.2</w:t>
            </w:r>
          </w:p>
        </w:tc>
        <w:tc>
          <w:tcPr>
            <w:tcW w:w="10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>
                <w:b/>
              </w:rPr>
              <w:t>Требования к способам оказания услуг</w:t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1.2.1</w:t>
            </w:r>
          </w:p>
        </w:tc>
        <w:tc>
          <w:tcPr>
            <w:tcW w:w="10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/>
              <w:t>Выполнение работ в срок не более 14 (четырнадцати) рабочих дней с момента начала оказания Услуг.</w:t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10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>
                <w:b/>
              </w:rPr>
              <w:t>Требования к ответственности и гарантиям исполнителя</w:t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10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/>
              <w:t>Исполнитель обязан оценить объем работ, составить план проведения работ, при необходимости обеспечить выезд специалиста на объект.</w:t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2.2</w:t>
            </w:r>
          </w:p>
        </w:tc>
        <w:tc>
          <w:tcPr>
            <w:tcW w:w="10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Требования к документации, описывающей результат оказания услуг</w:t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2.2.1</w:t>
            </w:r>
          </w:p>
        </w:tc>
        <w:tc>
          <w:tcPr>
            <w:tcW w:w="10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/>
              <w:t>По результатам оказания Услуг представляется счет-фактуры/УПД , выставленные в сроки и оформленные в порядке, установленном законодательством Российской Федерации.</w:t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10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>
                <w:b/>
              </w:rPr>
              <w:t>Требования к исполнителю  и его обязательствам, влияющим на исполнение договора</w:t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10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/>
              <w:t>Все работы должны проводиться в соответствии с ГОСТом 12.3.009-76 (СТ СЭВ 3518-81) по Системе стандартов безопасности труда</w:t>
            </w:r>
          </w:p>
        </w:tc>
      </w:tr>
      <w:tr>
        <w:trPr>
          <w:trHeight w:val="313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3.4</w:t>
            </w:r>
          </w:p>
        </w:tc>
        <w:tc>
          <w:tcPr>
            <w:tcW w:w="10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Normal"/>
              <w:rPr/>
            </w:pPr>
            <w:r>
              <w:rPr/>
              <w:t>Доставка такелажного оборудования осуществляется силами и средствами Исполнителя по адресу: 195220, Санкт-Петербург, ул. Гжатская, д. 21, литера А, Б.</w:t>
            </w:r>
          </w:p>
        </w:tc>
      </w:tr>
    </w:tbl>
    <w:p>
      <w:pPr>
        <w:pStyle w:val="Normal"/>
        <w:spacing w:before="0" w:after="120"/>
        <w:ind w:left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Cs/>
          <w:sz w:val="28"/>
          <w:szCs w:val="28"/>
        </w:rPr>
      </w:pPr>
      <w:r>
        <w:rPr>
          <w:rFonts w:eastAsia="Calibri"/>
        </w:rPr>
      </w:r>
    </w:p>
    <w:sectPr>
      <w:footerReference w:type="default" r:id="rId3"/>
      <w:footerReference w:type="first" r:id="rId4"/>
      <w:type w:val="nextPage"/>
      <w:pgSz w:orient="landscape" w:w="16838" w:h="11906"/>
      <w:pgMar w:left="850" w:right="850" w:gutter="0" w:header="0" w:top="1701" w:footer="709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libri Light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47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i w:val="false"/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semiHidden/>
    <w:unhideWhenUsed/>
    <w:qFormat/>
    <w:pPr>
      <w:keepNext w:val="true"/>
      <w:keepLines/>
      <w:spacing w:before="200" w:after="0"/>
      <w:outlineLvl w:val="1"/>
    </w:pPr>
    <w:rPr>
      <w:rFonts w:ascii="Calibri Light" w:hAnsi="Calibri Light" w:eastAsia="Arial" w:cs="Arial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unhideWhenUsed/>
    <w:qFormat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uiPriority w:val="99"/>
    <w:semiHidden/>
    <w:unhideWhenUsed/>
    <w:qFormat/>
    <w:rPr>
      <w:vertAlign w:val="superscript"/>
    </w:rPr>
  </w:style>
  <w:style w:type="character" w:styleId="Annotationreference">
    <w:name w:val="annotation reference"/>
    <w:basedOn w:val="DefaultParagraphFont"/>
    <w:uiPriority w:val="99"/>
    <w:unhideWhenUsed/>
    <w:qFormat/>
    <w:rPr>
      <w:sz w:val="16"/>
      <w:szCs w:val="16"/>
    </w:rPr>
  </w:style>
  <w:style w:type="character" w:styleId="Style2" w:customStyle="1">
    <w:name w:val="Текст примечания Знак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3" w:customStyle="1">
    <w:name w:val="Текст выноски Знак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1" w:customStyle="1">
    <w:name w:val="Заголовок №1_"/>
    <w:qFormat/>
    <w:rPr>
      <w:b/>
      <w:bCs/>
      <w:sz w:val="28"/>
      <w:szCs w:val="28"/>
      <w:shd w:fill="FFFFFF" w:val="clear"/>
    </w:rPr>
  </w:style>
  <w:style w:type="character" w:styleId="2" w:customStyle="1">
    <w:name w:val="Заголовок №2_"/>
    <w:qFormat/>
    <w:rPr>
      <w:b/>
      <w:bCs/>
      <w:sz w:val="23"/>
      <w:szCs w:val="23"/>
      <w:shd w:fill="FFFFFF" w:val="clear"/>
    </w:rPr>
  </w:style>
  <w:style w:type="character" w:styleId="Style4" w:customStyle="1">
    <w:name w:val="Основной текст Знак"/>
    <w:qFormat/>
    <w:rPr>
      <w:sz w:val="23"/>
      <w:szCs w:val="23"/>
      <w:shd w:fill="FFFFFF" w:val="clear"/>
    </w:rPr>
  </w:style>
  <w:style w:type="character" w:styleId="11" w:customStyle="1">
    <w:name w:val="Основной текст Знак1"/>
    <w:basedOn w:val="DefaultParagraphFont"/>
    <w:uiPriority w:val="99"/>
    <w:semiHidden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9" w:customStyle="1">
    <w:name w:val="Заголовок 9 Знак"/>
    <w:basedOn w:val="DefaultParagraphFont"/>
    <w:uiPriority w:val="9"/>
    <w:semiHidden/>
    <w:qFormat/>
    <w:rPr>
      <w:rFonts w:ascii="Cambria" w:hAnsi="Cambria" w:eastAsia="Times New Roman" w:cs="Times New Roman"/>
      <w:sz w:val="20"/>
      <w:szCs w:val="20"/>
    </w:rPr>
  </w:style>
  <w:style w:type="character" w:styleId="12" w:customStyle="1">
    <w:name w:val="Заголовок 1 ДИТ Знак"/>
    <w:qFormat/>
    <w:rPr>
      <w:rFonts w:ascii="Times New Roman" w:hAnsi="Times New Roman" w:eastAsia="Times New Roman" w:cs="Times New Roman"/>
      <w:b/>
      <w:sz w:val="28"/>
      <w:szCs w:val="28"/>
    </w:rPr>
  </w:style>
  <w:style w:type="character" w:styleId="21" w:customStyle="1">
    <w:name w:val="Заголовок 2 ДИТ Знак"/>
    <w:qFormat/>
    <w:rPr>
      <w:rFonts w:ascii="Times New Roman" w:hAnsi="Times New Roman" w:eastAsia="Times New Roman" w:cs="Times New Roman"/>
      <w:b/>
      <w:sz w:val="24"/>
      <w:szCs w:val="24"/>
    </w:rPr>
  </w:style>
  <w:style w:type="character" w:styleId="3" w:customStyle="1">
    <w:name w:val="Заголовок 3 ДИ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5" w:customStyle="1">
    <w:name w:val="Стиль вставки"/>
    <w:uiPriority w:val="1"/>
    <w:qFormat/>
    <w:rPr>
      <w:rFonts w:ascii="Tahoma" w:hAnsi="Tahoma"/>
      <w:color w:val="000000"/>
      <w:sz w:val="20"/>
    </w:rPr>
  </w:style>
  <w:style w:type="character" w:styleId="22" w:customStyle="1">
    <w:name w:val="Заголовок 2 Знак"/>
    <w:basedOn w:val="DefaultParagraphFont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  <w:b/>
      <w:bCs/>
      <w:color w:val="5B9BD5" w:themeColor="accent1"/>
      <w:sz w:val="26"/>
      <w:szCs w:val="26"/>
      <w:lang w:eastAsia="ru-RU"/>
    </w:rPr>
  </w:style>
  <w:style w:type="character" w:styleId="23" w:customStyle="1">
    <w:name w:val="Основной текст (2)_"/>
    <w:basedOn w:val="DefaultParagraphFont"/>
    <w:qFormat/>
    <w:rPr>
      <w:rFonts w:ascii="Times New Roman" w:hAnsi="Times New Roman" w:eastAsia="Times New Roman" w:cs="Times New Roman"/>
      <w:shd w:fill="FFFFFF" w:val="clear"/>
    </w:rPr>
  </w:style>
  <w:style w:type="character" w:styleId="Blk" w:customStyle="1">
    <w:name w:val="blk"/>
    <w:qFormat/>
    <w:rPr/>
  </w:style>
  <w:style w:type="character" w:styleId="Style6" w:customStyle="1">
    <w:name w:val="Тема примечания Знак"/>
    <w:basedOn w:val="Style2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7" w:customStyle="1">
    <w:name w:val="комментарий"/>
    <w:qFormat/>
    <w:rPr>
      <w:b/>
      <w:i/>
      <w:shd w:fill="FFFF99" w:val="clear"/>
    </w:rPr>
  </w:style>
  <w:style w:type="paragraph" w:styleId="Style8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hd w:val="clear" w:color="auto" w:fill="FFFFFF"/>
      <w:spacing w:lineRule="exact" w:line="322" w:before="180" w:after="180"/>
      <w:ind w:hanging="1020"/>
      <w:jc w:val="both"/>
    </w:pPr>
    <w:rPr>
      <w:rFonts w:ascii="Calibri" w:hAnsi="Calibri" w:eastAsia="Calibri" w:cs="Arial" w:asciiTheme="minorHAnsi" w:cstheme="minorBidi" w:eastAsiaTheme="minorHAnsi" w:hAnsiTheme="minorHAnsi"/>
      <w:sz w:val="23"/>
      <w:szCs w:val="23"/>
      <w:lang w:eastAsia="en-US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uiPriority w:val="35"/>
    <w:semiHidden/>
    <w:unhideWhenUsed/>
    <w:qFormat/>
    <w:pPr>
      <w:spacing w:lineRule="auto" w:line="276"/>
    </w:pPr>
    <w:rPr>
      <w:b/>
      <w:bCs/>
      <w:color w:val="5B9BD5" w:themeColor="accent1"/>
      <w:sz w:val="18"/>
      <w:szCs w:val="18"/>
    </w:rPr>
  </w:style>
  <w:style w:type="paragraph" w:styleId="Indexheading1">
    <w:name w:val="index heading1"/>
    <w:basedOn w:val="Style8"/>
    <w:qFormat/>
    <w:pPr/>
    <w:rPr/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left="720" w:right="720"/>
    </w:pPr>
    <w:rPr>
      <w:i/>
    </w:rPr>
  </w:style>
  <w:style w:type="paragraph" w:styleId="Style10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8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/>
    <w:rPr/>
  </w:style>
  <w:style w:type="paragraph" w:styleId="Annotationtext">
    <w:name w:val="annotation text"/>
    <w:basedOn w:val="Normal"/>
    <w:uiPriority w:val="99"/>
    <w:unhideWhenUsed/>
    <w:qFormat/>
    <w:pPr/>
    <w:rPr>
      <w:sz w:val="20"/>
      <w:szCs w:val="20"/>
    </w:rPr>
  </w:style>
  <w:style w:type="paragraph" w:styleId="BalloonText">
    <w:name w:val="Balloon Text"/>
    <w:basedOn w:val="Normal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13" w:customStyle="1">
    <w:name w:val="Заголовок №1"/>
    <w:basedOn w:val="Normal"/>
    <w:qFormat/>
    <w:pPr>
      <w:shd w:val="clear" w:color="auto" w:fill="FFFFFF"/>
      <w:spacing w:lineRule="atLeast" w:line="240" w:before="0" w:after="1020"/>
      <w:ind w:hanging="520"/>
      <w:jc w:val="center"/>
      <w:outlineLvl w:val="0"/>
    </w:pPr>
    <w:rPr>
      <w:rFonts w:ascii="Calibri" w:hAnsi="Calibri" w:eastAsia="Calibri" w:cs="Arial" w:asciiTheme="minorHAnsi" w:cstheme="minorBidi" w:eastAsiaTheme="minorHAnsi" w:hAnsiTheme="minorHAnsi"/>
      <w:b/>
      <w:bCs/>
      <w:sz w:val="28"/>
      <w:szCs w:val="28"/>
      <w:lang w:eastAsia="en-US"/>
    </w:rPr>
  </w:style>
  <w:style w:type="paragraph" w:styleId="24" w:customStyle="1">
    <w:name w:val="Заголовок №2"/>
    <w:basedOn w:val="Normal"/>
    <w:qFormat/>
    <w:pPr>
      <w:shd w:val="clear" w:color="auto" w:fill="FFFFFF"/>
      <w:spacing w:lineRule="atLeast" w:line="240" w:before="360" w:after="180"/>
      <w:ind w:hanging="1300"/>
      <w:jc w:val="both"/>
      <w:outlineLvl w:val="1"/>
    </w:pPr>
    <w:rPr>
      <w:rFonts w:ascii="Calibri" w:hAnsi="Calibri" w:eastAsia="Calibri" w:cs="Arial" w:asciiTheme="minorHAnsi" w:cstheme="minorBidi" w:eastAsiaTheme="minorHAnsi" w:hAnsiTheme="minorHAnsi"/>
      <w:b/>
      <w:bCs/>
      <w:sz w:val="23"/>
      <w:szCs w:val="23"/>
      <w:lang w:eastAsia="en-U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Default" w:customStyle="1">
    <w:name w:val="Default"/>
    <w:basedOn w:val="Normal"/>
    <w:qFormat/>
    <w:pPr/>
    <w:rPr>
      <w:rFonts w:eastAsia="Calibri" w:eastAsiaTheme="minorHAnsi"/>
      <w:color w:val="000000"/>
    </w:rPr>
  </w:style>
  <w:style w:type="paragraph" w:styleId="14" w:customStyle="1">
    <w:name w:val="Заголовок 1 ДИТ"/>
    <w:basedOn w:val="Normal"/>
    <w:qFormat/>
    <w:pPr>
      <w:numPr>
        <w:ilvl w:val="0"/>
        <w:numId w:val="1"/>
      </w:numPr>
      <w:jc w:val="center"/>
    </w:pPr>
    <w:rPr>
      <w:b/>
      <w:sz w:val="28"/>
      <w:szCs w:val="28"/>
    </w:rPr>
  </w:style>
  <w:style w:type="paragraph" w:styleId="25" w:customStyle="1">
    <w:name w:val="Заголовок 2 ДИТ"/>
    <w:basedOn w:val="Normal"/>
    <w:qFormat/>
    <w:pPr>
      <w:numPr>
        <w:ilvl w:val="1"/>
        <w:numId w:val="1"/>
      </w:numPr>
    </w:pPr>
    <w:rPr>
      <w:b/>
    </w:rPr>
  </w:style>
  <w:style w:type="paragraph" w:styleId="31" w:customStyle="1">
    <w:name w:val="Заголовок 3 ДИТ"/>
    <w:basedOn w:val="25"/>
    <w:qFormat/>
    <w:pPr/>
    <w:rPr>
      <w:b w:val="false"/>
    </w:rPr>
  </w:style>
  <w:style w:type="paragraph" w:styleId="26" w:customStyle="1">
    <w:name w:val="Основной текст (2)"/>
    <w:basedOn w:val="Normal"/>
    <w:qFormat/>
    <w:pPr>
      <w:widowControl w:val="false"/>
      <w:shd w:val="clear" w:color="auto" w:fill="FFFFFF"/>
      <w:spacing w:lineRule="exact" w:line="274" w:before="300" w:after="0"/>
      <w:jc w:val="both"/>
    </w:pPr>
    <w:rPr>
      <w:sz w:val="22"/>
      <w:szCs w:val="22"/>
      <w:lang w:eastAsia="en-US"/>
    </w:rPr>
  </w:style>
  <w:style w:type="paragraph" w:styleId="Msolistparagraph" w:customStyle="1">
    <w:name w:val="msolistparagraph"/>
    <w:basedOn w:val="Normal"/>
    <w:qFormat/>
    <w:pPr>
      <w:spacing w:before="0" w:after="0"/>
      <w:ind w:left="720"/>
      <w:contextualSpacing/>
    </w:pPr>
    <w:rPr/>
  </w:style>
  <w:style w:type="paragraph" w:styleId="Annotationsubject">
    <w:name w:val="annotation subject"/>
    <w:basedOn w:val="Annotationtext"/>
    <w:uiPriority w:val="99"/>
    <w:semiHidden/>
    <w:unhideWhenUsed/>
    <w:qFormat/>
    <w:pPr/>
    <w:rPr>
      <w:b/>
      <w:bCs/>
    </w:rPr>
  </w:style>
  <w:style w:type="paragraph" w:styleId="Style11" w:customStyle="1">
    <w:name w:val="Таблица шапка"/>
    <w:qFormat/>
    <w:pPr>
      <w:keepNext w:val="true"/>
      <w:widowControl/>
      <w:bidi w:val="0"/>
      <w:spacing w:before="40" w:after="40"/>
      <w:ind w:left="57" w:right="57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6"/>
      <w:lang w:eastAsia="ru-RU" w:val="ru-RU" w:bidi="ar-SA"/>
    </w:rPr>
  </w:style>
  <w:style w:type="paragraph" w:styleId="NormalWeb">
    <w:name w:val="Normal (Web)"/>
    <w:basedOn w:val="TOC3"/>
    <w:uiPriority w:val="99"/>
    <w:unhideWhenUsed/>
    <w:qFormat/>
    <w:pPr>
      <w:spacing w:beforeAutospacing="1" w:afterAutospacing="1"/>
      <w:ind w:left="0"/>
    </w:pPr>
    <w:rPr/>
  </w:style>
  <w:style w:type="paragraph" w:styleId="Style12" w:customStyle="1">
    <w:name w:val="Таблица"/>
    <w:basedOn w:val="Caption1"/>
    <w:qFormat/>
    <w:pPr>
      <w:keepNext w:val="true"/>
      <w:spacing w:lineRule="auto" w:line="240" w:before="60" w:after="60"/>
      <w:jc w:val="center"/>
    </w:pPr>
    <w:rPr>
      <w:rFonts w:eastAsia="Calibri"/>
      <w:bCs w:val="false"/>
      <w:color w:val="auto"/>
      <w:sz w:val="24"/>
      <w:szCs w:val="24"/>
    </w:rPr>
  </w:style>
  <w:style w:type="paragraph" w:styleId="15" w:customStyle="1">
    <w:name w:val="Абзац списка1"/>
    <w:uiPriority w:val="34"/>
    <w:qFormat/>
    <w:pPr>
      <w:widowControl/>
      <w:bidi w:val="0"/>
      <w:spacing w:before="0" w:after="0"/>
      <w:ind w:left="72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val="ACCCEA" w:themeColor="accent1" w:themeTint="80" w:themeShade="95"/>
      </w:rPr>
      <w:tblPr/>
    </w:tblStylePr>
    <w:tblStylePr w:type="firstCol">
      <w:rPr>
        <w:b/>
        <w:color w:val="ACCCEA" w:themeColor="accent1" w:themeTint="80" w:themeShade="95"/>
      </w:rPr>
      <w:tblPr/>
    </w:tblStylePr>
    <w:tblStylePr w:type="lastCol">
      <w:rPr>
        <w:b/>
        <w:color w:val="ACCCEA"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CCCEA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single" w:color="ACCCEA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color="000000" w:sz="4" w:space="0"/>
          <w:left w:val="single" w:color="95AFDD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  <w:tblPr/>
    </w:tblStylePr>
    <w:tblStylePr w:type="lastCol">
      <w:rPr>
        <w:b/>
        <w:color w:val="245A8D"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val="8DA9DB" w:themeColor="accent5" w:themeTint="9a" w:themeShade="95"/>
      </w:rPr>
      <w:tblPr/>
    </w:tblStylePr>
    <w:tblStylePr w:type="lastCol">
      <w:rPr>
        <w:b/>
        <w:color w:val="8DA9DB"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5B9BD5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DA9DB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single" w:color="8DA9DB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AlterOffice/2026.2.1.0$Linux_X86_64 LibreOffice_project/f008988ffacaa0b2bf57911c2759d08ca79831df</Application>
  <AppVersion>15.0000</AppVersion>
  <Pages>3</Pages>
  <Words>390</Words>
  <Characters>2364</Characters>
  <CharactersWithSpaces>2620</CharactersWithSpaces>
  <Paragraphs>88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2026-09-01T12:44:00Z</dcterms:created>
  <dc:creator>Горбачев Андрей</dc:creator>
  <dc:description/>
  <dc:language>ru-RU</dc:language>
  <cp:lastModifiedBy>yuhimchukvs</cp:lastModifiedBy>
  <dcterms:modified xsi:type="dcterms:W3CDTF">2026-09-03T13:55:33Z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0x010100E86E64457F725B47A95CB13A6CABBE66</vt:lpwstr>
  </property>
  <property fmtid="{D5CDD505-2E9C-101B-9397-08002B2CF9AE}" pid="3" name="_dlc_DocIdItemGuid">
    <vt:lpwstr>6843b005-34af-4d5b-bbe8-d9513e10cefc</vt:lpwstr>
  </property>
</Properties>
</file>