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3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hanging="0" w:left="426" w:right="-1"/>
        <w:jc w:val="right"/>
        <w:rPr>
          <w:sz w:val="20"/>
          <w:szCs w:val="24"/>
        </w:rPr>
      </w:pPr>
      <w:r>
        <w:rPr>
          <w:sz w:val="20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ind w:hanging="0" w:left="426" w:right="-1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ind w:hanging="0" w:left="426" w:right="-1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ind w:hanging="0" w:left="426" w:right="-1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ind w:hanging="0" w:left="426" w:right="-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before="0" w:after="0"/>
        <w:ind w:hanging="0" w:left="426" w:right="-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before="0" w:after="0"/>
        <w:ind w:hanging="0" w:left="426" w:right="-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before="0" w:after="0"/>
        <w:ind w:hanging="0" w:left="426" w:right="-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before="0" w:after="0"/>
        <w:ind w:hanging="0" w:left="426" w:right="-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Toc124336829_Копия_1"/>
      <w:r>
        <w:rPr>
          <w:rFonts w:cs="Times New Roman" w:ascii="Times New Roman" w:hAnsi="Times New Roman"/>
          <w:b/>
          <w:sz w:val="24"/>
          <w:szCs w:val="24"/>
        </w:rPr>
        <w:t>Т</w:t>
      </w:r>
      <w:bookmarkEnd w:id="2"/>
      <w:r>
        <w:rPr>
          <w:rFonts w:cs="Times New Roman" w:ascii="Times New Roman" w:hAnsi="Times New Roman"/>
          <w:b/>
          <w:sz w:val="24"/>
          <w:szCs w:val="24"/>
        </w:rPr>
        <w:t>ехнические требования на поставку МТР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 xml:space="preserve">ОКПД 2: 29.10.30.111 Поставка автобуса для нужд Кубанского филиала </w:t>
      </w:r>
    </w:p>
    <w:p>
      <w:pPr>
        <w:pStyle w:val="Normal"/>
        <w:spacing w:lineRule="auto" w:line="240" w:before="0" w:after="0"/>
        <w:jc w:val="center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>АО «Гидроремонт-ВКК» в г. Невинномысск</w:t>
      </w:r>
    </w:p>
    <w:p>
      <w:pPr>
        <w:pStyle w:val="Normal"/>
        <w:spacing w:before="0" w:after="0"/>
        <w:ind w:hanging="0" w:left="426" w:right="-1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ind w:hanging="0" w:left="426" w:right="-1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ind w:hanging="0" w:left="426" w:right="-1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ind w:hanging="0" w:left="426" w:right="-1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ind w:hanging="0" w:left="426" w:right="-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hanging="0" w:left="35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hanging="0" w:left="35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hanging="0" w:left="35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hanging="0" w:left="35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sectPr>
          <w:type w:val="nextPage"/>
          <w:pgSz w:w="11906" w:h="16838"/>
          <w:pgMar w:left="1134" w:right="851" w:gutter="0" w:header="0" w:top="459" w:footer="0" w:bottom="1134"/>
          <w:pgNumType w:start="0" w:fmt="decimal"/>
          <w:formProt w:val="false"/>
          <w:textDirection w:val="lrTb"/>
          <w:docGrid w:type="default" w:linePitch="360" w:charSpace="24576"/>
        </w:sectPr>
        <w:pStyle w:val="Normal"/>
        <w:spacing w:lineRule="auto" w:line="240" w:before="0" w:after="0"/>
        <w:ind w:hanging="0" w:left="35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TOC4"/>
        <w:tabs>
          <w:tab w:val="clear" w:pos="708"/>
          <w:tab w:val="left" w:pos="1120" w:leader="none"/>
          <w:tab w:val="right" w:pos="9911" w:leader="dot"/>
        </w:tabs>
        <w:rPr/>
      </w:pPr>
      <w:r>
        <w:rPr/>
        <w:t>Обозначения и сокращения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14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156"/>
        <w:gridCol w:w="6986"/>
      </w:tblGrid>
      <w:tr>
        <w:trPr>
          <w:trHeight w:val="240" w:hRule="atLeast"/>
          <w:cantSplit w:val="true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Продукция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Автобус </w:t>
            </w:r>
          </w:p>
        </w:tc>
      </w:tr>
      <w:tr>
        <w:trPr>
          <w:trHeight w:val="240" w:hRule="atLeast"/>
          <w:cantSplit w:val="true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ТТ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Style w:val="Style14"/>
                <w:bCs/>
                <w:i w:val="false"/>
                <w:i w:val="fals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Технические требования</w:t>
            </w:r>
          </w:p>
        </w:tc>
      </w:tr>
      <w:tr>
        <w:trPr>
          <w:trHeight w:val="240" w:hRule="atLeast"/>
          <w:cantSplit w:val="true"/>
        </w:trPr>
        <w:tc>
          <w:tcPr>
            <w:tcW w:w="3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ОТТС</w:t>
            </w:r>
          </w:p>
        </w:tc>
        <w:tc>
          <w:tcPr>
            <w:tcW w:w="6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Одобрение типа транспортного средства</w:t>
            </w:r>
          </w:p>
        </w:tc>
      </w:tr>
      <w:tr>
        <w:trPr>
          <w:trHeight w:val="240" w:hRule="atLeast"/>
          <w:cantSplit w:val="true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Транспортное средство</w:t>
            </w:r>
          </w:p>
        </w:tc>
      </w:tr>
      <w:tr>
        <w:trPr>
          <w:trHeight w:val="240" w:hRule="atLeast"/>
          <w:cantSplit w:val="true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ПТС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Паспорт транспортного средства</w:t>
            </w:r>
          </w:p>
        </w:tc>
      </w:tr>
      <w:tr>
        <w:trPr>
          <w:trHeight w:val="240" w:hRule="atLeast"/>
          <w:cantSplit w:val="true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ЭПТС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Электронный паспорт транспортного средства</w:t>
            </w:r>
          </w:p>
        </w:tc>
      </w:tr>
    </w:tbl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</w:p>
    <w:p>
      <w:pPr>
        <w:pStyle w:val="Heading1"/>
        <w:numPr>
          <w:ilvl w:val="0"/>
          <w:numId w:val="3"/>
        </w:numPr>
        <w:ind w:hanging="0" w:left="0"/>
        <w:rPr>
          <w:bCs/>
          <w:sz w:val="28"/>
          <w:szCs w:val="28"/>
        </w:rPr>
      </w:pPr>
      <w:bookmarkStart w:id="3" w:name="_Toc130203439"/>
      <w:bookmarkStart w:id="4" w:name="_Toc124337638"/>
      <w:r>
        <w:rPr>
          <w:bCs/>
          <w:sz w:val="28"/>
          <w:szCs w:val="28"/>
        </w:rPr>
        <w:t>Общие сведения</w:t>
      </w:r>
      <w:bookmarkEnd w:id="3"/>
      <w:bookmarkEnd w:id="4"/>
    </w:p>
    <w:p>
      <w:pPr>
        <w:pStyle w:val="ListParagraph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  <w:bookmarkStart w:id="5" w:name="_Toc130203440"/>
      <w:bookmarkStart w:id="6" w:name="_Toc124336830"/>
      <w:bookmarkStart w:id="7" w:name="_Toc130203440"/>
      <w:bookmarkStart w:id="8" w:name="_Toc124336830"/>
      <w:bookmarkEnd w:id="7"/>
      <w:bookmarkEnd w:id="8"/>
    </w:p>
    <w:p>
      <w:pPr>
        <w:pStyle w:val="ListParagraph"/>
        <w:numPr>
          <w:ilvl w:val="0"/>
          <w:numId w:val="2"/>
        </w:numPr>
        <w:ind w:hanging="0" w:left="0"/>
        <w:jc w:val="both"/>
        <w:outlineLvl w:val="1"/>
        <w:rPr>
          <w:b/>
        </w:rPr>
      </w:pPr>
      <w:bookmarkStart w:id="9" w:name="_Toc130203441"/>
      <w:bookmarkStart w:id="10" w:name="_Toc124336831"/>
      <w:r>
        <w:rPr>
          <w:b/>
        </w:rPr>
        <w:t>Наименование закупаемой продукции</w:t>
      </w:r>
      <w:bookmarkEnd w:id="9"/>
      <w:bookmarkEnd w:id="10"/>
    </w:p>
    <w:p>
      <w:pPr>
        <w:pStyle w:val="ListParagraph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ОКПД 2: 29.10.30.111 Поставка автобуса для нужд Кубанского филиала АО «Гидроремонт-ВКК» в г. Невинномысск </w:t>
      </w:r>
      <w:r>
        <w:rPr>
          <w:rFonts w:cs="Times New Roman" w:ascii="Times New Roman" w:hAnsi="Times New Roman"/>
          <w:sz w:val="24"/>
          <w:szCs w:val="24"/>
          <w:lang w:eastAsia="ru-RU"/>
        </w:rPr>
        <w:t>(далее — Продукция)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numPr>
          <w:ilvl w:val="0"/>
          <w:numId w:val="2"/>
        </w:numPr>
        <w:ind w:hanging="0" w:left="0"/>
        <w:jc w:val="both"/>
        <w:outlineLvl w:val="1"/>
        <w:rPr>
          <w:b/>
        </w:rPr>
      </w:pPr>
      <w:bookmarkStart w:id="11" w:name="_Toc130203442"/>
      <w:bookmarkStart w:id="12" w:name="_Toc124336832"/>
      <w:r>
        <w:rPr>
          <w:b/>
        </w:rPr>
        <w:t>Цель использования закупаемой продукции</w:t>
      </w:r>
      <w:bookmarkEnd w:id="11"/>
      <w:bookmarkEnd w:id="12"/>
      <w:r>
        <w:rPr>
          <w:b/>
        </w:rPr>
        <w:t xml:space="preserve"> </w:t>
      </w:r>
    </w:p>
    <w:p>
      <w:pPr>
        <w:pStyle w:val="ListParagraph"/>
        <w:numPr>
          <w:ilvl w:val="0"/>
          <w:numId w:val="0"/>
        </w:numPr>
        <w:ind w:hanging="0" w:left="0"/>
        <w:jc w:val="both"/>
        <w:outlineLvl w:val="1"/>
        <w:rPr>
          <w:b/>
        </w:rPr>
      </w:pPr>
      <w:r>
        <w:rPr>
          <w:b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color w:val="000000"/>
          <w:sz w:val="24"/>
          <w:szCs w:val="24"/>
        </w:rPr>
        <w:t xml:space="preserve">Исполнение Инвестиционной программы на 2026 год для нужд Кубанского филиала АО «Гидроремонт-ВКК» в г. Невинномысск.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eading1"/>
        <w:numPr>
          <w:ilvl w:val="0"/>
          <w:numId w:val="3"/>
        </w:numPr>
        <w:ind w:hanging="11" w:left="0"/>
        <w:rPr>
          <w:bCs/>
          <w:sz w:val="28"/>
          <w:szCs w:val="28"/>
        </w:rPr>
      </w:pPr>
      <w:bookmarkStart w:id="13" w:name="_Toc130203443"/>
      <w:r>
        <w:rPr>
          <w:bCs/>
          <w:sz w:val="28"/>
          <w:szCs w:val="28"/>
        </w:rPr>
        <w:t>Требования к продукции</w:t>
      </w:r>
      <w:bookmarkEnd w:id="13"/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Style19"/>
        <w:numPr>
          <w:ilvl w:val="1"/>
          <w:numId w:val="3"/>
        </w:numPr>
        <w:spacing w:lineRule="auto" w:line="240" w:before="0" w:after="0"/>
        <w:ind w:hanging="0" w:left="0"/>
        <w:outlineLvl w:val="2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bookmarkStart w:id="14" w:name="_Toc130203444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Требования к объемам и срокам поставки</w:t>
      </w:r>
      <w:bookmarkEnd w:id="14"/>
    </w:p>
    <w:p>
      <w:pPr>
        <w:pStyle w:val="Style19"/>
        <w:numPr>
          <w:ilvl w:val="2"/>
          <w:numId w:val="3"/>
        </w:numPr>
        <w:spacing w:lineRule="auto" w:line="240" w:before="0" w:after="0"/>
        <w:ind w:hanging="0" w:left="0"/>
        <w:outlineLvl w:val="2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bookmarkStart w:id="15" w:name="_Toc130203445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Перечень и объем закупаемой продукции</w:t>
      </w:r>
      <w:bookmarkEnd w:id="15"/>
    </w:p>
    <w:p>
      <w:pPr>
        <w:pStyle w:val="Style19"/>
        <w:numPr>
          <w:ilvl w:val="0"/>
          <w:numId w:val="0"/>
        </w:numPr>
        <w:spacing w:lineRule="auto" w:line="240" w:before="0" w:after="0"/>
        <w:ind w:hanging="0" w:left="0"/>
        <w:outlineLvl w:val="2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bookmarkStart w:id="16" w:name="_Toc124337397"/>
      <w:bookmarkStart w:id="17" w:name="_Toc130203446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Таблица 1. Перечень и объем закупаемой продукции</w:t>
      </w:r>
      <w:bookmarkEnd w:id="16"/>
      <w:bookmarkEnd w:id="17"/>
    </w:p>
    <w:p>
      <w:pPr>
        <w:pStyle w:val="Style19"/>
        <w:numPr>
          <w:ilvl w:val="0"/>
          <w:numId w:val="0"/>
        </w:numPr>
        <w:spacing w:lineRule="auto" w:line="240" w:before="0" w:after="0"/>
        <w:ind w:hanging="0" w:left="0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9975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03"/>
        <w:gridCol w:w="5492"/>
        <w:gridCol w:w="1957"/>
        <w:gridCol w:w="2022"/>
      </w:tblGrid>
      <w:tr>
        <w:trPr>
          <w:trHeight w:val="518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>
        <w:trPr>
          <w:trHeight w:val="136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>
          <w:trHeight w:val="136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ru-RU"/>
              </w:rPr>
              <w:t>Автобус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1</w:t>
            </w:r>
          </w:p>
        </w:tc>
      </w:tr>
      <w:tr>
        <w:trPr>
          <w:trHeight w:val="136" w:hRule="atLeast"/>
        </w:trPr>
        <w:tc>
          <w:tcPr>
            <w:tcW w:w="9974" w:type="dxa"/>
            <w:gridSpan w:val="4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jc w:val="both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4"/>
              </w:rPr>
            </w:r>
          </w:p>
        </w:tc>
      </w:tr>
    </w:tbl>
    <w:p>
      <w:pPr>
        <w:pStyle w:val="Style19"/>
        <w:numPr>
          <w:ilvl w:val="2"/>
          <w:numId w:val="3"/>
        </w:numPr>
        <w:spacing w:lineRule="auto" w:line="240" w:before="0" w:after="0"/>
        <w:ind w:hanging="0" w:left="0"/>
        <w:outlineLvl w:val="2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bookmarkStart w:id="18" w:name="_Toc130203447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Требования к срокам поставки продукции</w:t>
      </w:r>
      <w:bookmarkEnd w:id="18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</w:p>
    <w:p>
      <w:pPr>
        <w:pStyle w:val="Style19"/>
        <w:numPr>
          <w:ilvl w:val="0"/>
          <w:numId w:val="0"/>
        </w:numPr>
        <w:spacing w:lineRule="auto" w:line="240" w:before="0" w:after="0"/>
        <w:ind w:hanging="0" w:left="0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9" w:name="_Toc130203448"/>
      <w:r>
        <w:rPr>
          <w:rFonts w:cs="Times New Roman" w:ascii="Times New Roman" w:hAnsi="Times New Roman"/>
          <w:b/>
          <w:sz w:val="24"/>
          <w:szCs w:val="24"/>
        </w:rPr>
        <w:t>Таблица 2. Требования по срокам поставки продукции</w:t>
      </w:r>
      <w:bookmarkEnd w:id="19"/>
    </w:p>
    <w:tbl>
      <w:tblPr>
        <w:tblW w:w="997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45"/>
        <w:gridCol w:w="3678"/>
        <w:gridCol w:w="2199"/>
        <w:gridCol w:w="3547"/>
      </w:tblGrid>
      <w:tr>
        <w:trPr>
          <w:trHeight w:val="341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88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>
          <w:trHeight w:val="274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1.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ОКПД 2: 29.10.30.111 Поставка автобуса для нужд Кубанского филиала АО «Гидроремонт-ВКК» в г. Невинномысск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2 квартал 2027 г.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2 квартал 2027 г.</w:t>
            </w:r>
          </w:p>
        </w:tc>
      </w:tr>
    </w:tbl>
    <w:p>
      <w:pPr>
        <w:pStyle w:val="Normal"/>
        <w:rPr>
          <w:b/>
        </w:rPr>
      </w:pPr>
      <w:r>
        <w:rPr>
          <w:b/>
        </w:rPr>
      </w:r>
    </w:p>
    <w:p>
      <w:pPr>
        <w:pStyle w:val="ListParagraph"/>
        <w:ind w:hanging="0" w:left="0"/>
        <w:rPr>
          <w:b/>
        </w:rPr>
      </w:pPr>
      <w:r>
        <w:rPr>
          <w:b/>
        </w:rPr>
      </w:r>
    </w:p>
    <w:p>
      <w:pPr>
        <w:pStyle w:val="ListParagraph"/>
        <w:ind w:hanging="0" w:left="0"/>
        <w:rPr>
          <w:b/>
        </w:rPr>
      </w:pPr>
      <w:r>
        <w:rPr>
          <w:b/>
        </w:rPr>
      </w:r>
      <w:bookmarkStart w:id="20" w:name="_Toc51339698_Копия_1_Копия_1_Копия_1_Коп"/>
      <w:bookmarkStart w:id="21" w:name="_Toc51339698_Копия_1_Копия_1_Копия_1_Коп"/>
      <w:bookmarkStart w:id="22" w:name="_Toc51339698_Копия_1_Копия_1"/>
      <w:bookmarkStart w:id="23" w:name="_Toc51339698"/>
      <w:bookmarkStart w:id="24" w:name="_Toc51339698_Копия_1"/>
      <w:bookmarkStart w:id="25" w:name="_Toc51339698_Копия_1_Копия_1_Копия_1"/>
      <w:bookmarkStart w:id="26" w:name="_Toc51339698_Копия_1_Копия_1_Копия_1_Коп"/>
      <w:bookmarkStart w:id="27" w:name="_Toc51339698_Копия_1_Копия_1_Копия_1_Коп"/>
      <w:bookmarkStart w:id="28" w:name="_Toc51339698_Копия_1_Копия_1_Копия_1_Коп"/>
      <w:bookmarkStart w:id="29" w:name="_Toc51339698_Копия_1_Копия_1"/>
      <w:bookmarkStart w:id="30" w:name="_Toc51339698"/>
      <w:bookmarkStart w:id="31" w:name="_Toc51339698_Копия_1"/>
      <w:bookmarkStart w:id="32" w:name="_Toc51339698_Копия_1_Копия_1_Копия_1"/>
      <w:bookmarkStart w:id="33" w:name="_Toc51339698_Копия_1_Копия_1_Копия_1_Коп"/>
      <w:bookmarkEnd w:id="27"/>
      <w:bookmarkEnd w:id="28"/>
      <w:bookmarkEnd w:id="29"/>
      <w:bookmarkEnd w:id="30"/>
      <w:bookmarkEnd w:id="31"/>
      <w:bookmarkEnd w:id="32"/>
      <w:bookmarkEnd w:id="33"/>
    </w:p>
    <w:p>
      <w:pPr>
        <w:sectPr>
          <w:footerReference w:type="default" r:id="rId2"/>
          <w:type w:val="nextPage"/>
          <w:pgSz w:w="11906" w:h="16838"/>
          <w:pgMar w:left="1134" w:right="851" w:gutter="0" w:header="0" w:top="851" w:footer="709" w:bottom="1134"/>
          <w:pgNumType w:fmt="decimal"/>
          <w:formProt w:val="false"/>
          <w:textDirection w:val="lrTb"/>
          <w:docGrid w:type="default" w:linePitch="360" w:charSpace="24576"/>
        </w:sectPr>
        <w:pStyle w:val="Normal"/>
        <w:keepNext w:val="true"/>
        <w:keepLines/>
        <w:numPr>
          <w:ilvl w:val="0"/>
          <w:numId w:val="0"/>
        </w:numPr>
        <w:spacing w:lineRule="auto" w:line="240" w:before="240" w:after="60"/>
        <w:ind w:hanging="0" w:left="0"/>
        <w:outlineLvl w:val="0"/>
        <w:rPr>
          <w:rFonts w:ascii="Times New Roman" w:hAnsi="Times New Roman" w:eastAsia="Calibri" w:cs="Times New Roman"/>
          <w:b/>
          <w:sz w:val="24"/>
          <w:szCs w:val="24"/>
          <w:lang w:val="x-none" w:eastAsia="x-none"/>
        </w:rPr>
      </w:pPr>
      <w:bookmarkStart w:id="34" w:name="_Toc51339698_Копия_1_Копия_1_Копия_1_Коп"/>
      <w:bookmarkEnd w:id="34"/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</w:p>
    <w:p>
      <w:pPr>
        <w:pStyle w:val="Heading4"/>
        <w:numPr>
          <w:ilvl w:val="1"/>
          <w:numId w:val="3"/>
        </w:numPr>
        <w:tabs>
          <w:tab w:val="clear" w:pos="708"/>
          <w:tab w:val="left" w:pos="851" w:leader="none"/>
        </w:tabs>
        <w:spacing w:before="0" w:after="0"/>
        <w:rPr>
          <w:rFonts w:ascii="Times New Roman" w:hAnsi="Times New Roman" w:cs="Times New Roman"/>
          <w:i w:val="false"/>
          <w:i w:val="false"/>
          <w:color w:val="auto"/>
          <w:sz w:val="24"/>
        </w:rPr>
      </w:pPr>
      <w:r>
        <w:rPr>
          <w:rFonts w:eastAsia="Calibri" w:cs="Times New Roman" w:ascii="Times New Roman" w:hAnsi="Times New Roman"/>
          <w:b/>
          <w:bCs/>
          <w:i w:val="false"/>
          <w:color w:val="auto"/>
          <w:sz w:val="24"/>
          <w:lang w:val="x-none" w:eastAsia="x-none"/>
        </w:rPr>
        <w:t xml:space="preserve">Требования к </w:t>
      </w:r>
      <w:r>
        <w:rPr>
          <w:rFonts w:eastAsia="Calibri" w:cs="Times New Roman" w:ascii="Times New Roman" w:hAnsi="Times New Roman"/>
          <w:b/>
          <w:bCs/>
          <w:i w:val="false"/>
          <w:color w:val="auto"/>
          <w:sz w:val="24"/>
          <w:lang w:eastAsia="x-none"/>
        </w:rPr>
        <w:t>качеству продукции</w:t>
      </w:r>
    </w:p>
    <w:p>
      <w:pPr>
        <w:pStyle w:val="Heading1"/>
        <w:tabs>
          <w:tab w:val="clear" w:pos="708"/>
          <w:tab w:val="left" w:pos="851" w:leader="none"/>
        </w:tabs>
        <w:ind w:firstLine="284"/>
        <w:jc w:val="left"/>
        <w:rPr>
          <w:szCs w:val="24"/>
        </w:rPr>
      </w:pPr>
      <w:bookmarkStart w:id="35" w:name="_Toc130203449"/>
      <w:r>
        <w:rPr>
          <w:szCs w:val="24"/>
        </w:rPr>
        <w:t>Таблица 3. Требования к продукции</w:t>
      </w:r>
      <w:bookmarkEnd w:id="35"/>
      <w:r>
        <w:rPr>
          <w:szCs w:val="24"/>
        </w:rPr>
        <w:t xml:space="preserve"> </w:t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4"/>
          <w:lang w:val="en-US" w:eastAsia="ru-RU"/>
        </w:rPr>
      </w:pPr>
      <w:r>
        <w:rPr>
          <w:rFonts w:cs="Times New Roman" w:ascii="Times New Roman" w:hAnsi="Times New Roman"/>
          <w:b/>
          <w:sz w:val="24"/>
          <w:lang w:eastAsia="ru-RU"/>
        </w:rPr>
        <w:t xml:space="preserve">     </w:t>
      </w:r>
      <w:r>
        <w:rPr>
          <w:rFonts w:cs="Times New Roman" w:ascii="Times New Roman" w:hAnsi="Times New Roman"/>
          <w:b/>
          <w:sz w:val="24"/>
          <w:lang w:eastAsia="ru-RU"/>
        </w:rPr>
        <w:t xml:space="preserve">Наименование продукции: </w:t>
      </w:r>
      <w:r>
        <w:rPr>
          <w:rFonts w:cs="Times New Roman" w:ascii="Times New Roman" w:hAnsi="Times New Roman"/>
          <w:b/>
          <w:sz w:val="24"/>
          <w:lang w:val="en-US" w:eastAsia="ru-RU"/>
        </w:rPr>
        <w:t>Автобус</w:t>
      </w:r>
    </w:p>
    <w:tbl>
      <w:tblPr>
        <w:tblStyle w:val="13"/>
        <w:tblW w:w="1474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31"/>
        <w:gridCol w:w="2562"/>
        <w:gridCol w:w="1419"/>
        <w:gridCol w:w="2991"/>
        <w:gridCol w:w="15"/>
        <w:gridCol w:w="9"/>
        <w:gridCol w:w="12"/>
        <w:gridCol w:w="2202"/>
        <w:gridCol w:w="2369"/>
        <w:gridCol w:w="2330"/>
      </w:tblGrid>
      <w:tr>
        <w:trPr>
          <w:trHeight w:val="311" w:hRule="atLeast"/>
        </w:trPr>
        <w:tc>
          <w:tcPr>
            <w:tcW w:w="83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3981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Наименование параметра</w:t>
            </w:r>
          </w:p>
        </w:tc>
        <w:tc>
          <w:tcPr>
            <w:tcW w:w="299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bCs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заказчика*</w:t>
            </w:r>
          </w:p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</w:rPr>
            </w:r>
          </w:p>
        </w:tc>
        <w:tc>
          <w:tcPr>
            <w:tcW w:w="4607" w:type="dxa"/>
            <w:gridSpan w:val="5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33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Предложения участника по характеристикам и параметрам</w:t>
            </w:r>
          </w:p>
        </w:tc>
      </w:tr>
      <w:tr>
        <w:trPr>
          <w:trHeight w:val="70" w:hRule="atLeast"/>
        </w:trPr>
        <w:tc>
          <w:tcPr>
            <w:tcW w:w="83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</w:r>
          </w:p>
        </w:tc>
        <w:tc>
          <w:tcPr>
            <w:tcW w:w="3981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399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299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399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2238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Согласие с требованием/ указание характеристик</w:t>
            </w:r>
          </w:p>
        </w:tc>
        <w:tc>
          <w:tcPr>
            <w:tcW w:w="23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33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</w:rPr>
            </w:pPr>
            <w:r>
              <w:rPr>
                <w:rFonts w:cs="Times New Roman" w:ascii="Times New Roman" w:hAnsi="Times New Roman"/>
                <w:i/>
                <w:iCs/>
                <w:color w:val="000000" w:themeColor="text1"/>
              </w:rPr>
            </w:r>
          </w:p>
        </w:tc>
      </w:tr>
      <w:tr>
        <w:trPr>
          <w:trHeight w:val="70" w:hRule="atLeast"/>
        </w:trPr>
        <w:tc>
          <w:tcPr>
            <w:tcW w:w="8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13909" w:type="dxa"/>
            <w:gridSpan w:val="9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399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263" w:hRule="atLeast"/>
        </w:trPr>
        <w:tc>
          <w:tcPr>
            <w:tcW w:w="8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1.1.</w:t>
            </w:r>
          </w:p>
        </w:tc>
        <w:tc>
          <w:tcPr>
            <w:tcW w:w="13909" w:type="dxa"/>
            <w:gridSpan w:val="9"/>
            <w:tcBorders/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iCs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Характеристики</w:t>
            </w:r>
          </w:p>
        </w:tc>
      </w:tr>
      <w:tr>
        <w:trPr>
          <w:trHeight w:val="70" w:hRule="atLeast"/>
        </w:trPr>
        <w:tc>
          <w:tcPr>
            <w:tcW w:w="8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1.1.1</w:t>
            </w:r>
          </w:p>
        </w:tc>
        <w:tc>
          <w:tcPr>
            <w:tcW w:w="3981" w:type="dxa"/>
            <w:gridSpan w:val="2"/>
            <w:tcBorders/>
            <w:shd w:color="000000" w:fill="FFFFFF" w:val="clear"/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Длина, мм</w:t>
            </w:r>
          </w:p>
        </w:tc>
        <w:tc>
          <w:tcPr>
            <w:tcW w:w="2991" w:type="dxa"/>
            <w:tcBorders/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Не более 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6415</w:t>
            </w:r>
          </w:p>
        </w:tc>
        <w:tc>
          <w:tcPr>
            <w:tcW w:w="2238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3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3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1.1.2</w:t>
            </w:r>
          </w:p>
        </w:tc>
        <w:tc>
          <w:tcPr>
            <w:tcW w:w="3981" w:type="dxa"/>
            <w:gridSpan w:val="2"/>
            <w:tcBorders/>
            <w:shd w:color="000000" w:fill="FFFFFF" w:val="clear"/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Ширина, мм</w:t>
            </w:r>
          </w:p>
        </w:tc>
        <w:tc>
          <w:tcPr>
            <w:tcW w:w="2991" w:type="dxa"/>
            <w:tcBorders/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Не 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более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2513</w:t>
            </w:r>
          </w:p>
        </w:tc>
        <w:tc>
          <w:tcPr>
            <w:tcW w:w="2238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3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3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1.1.3</w:t>
            </w:r>
          </w:p>
        </w:tc>
        <w:tc>
          <w:tcPr>
            <w:tcW w:w="3981" w:type="dxa"/>
            <w:gridSpan w:val="2"/>
            <w:tcBorders/>
            <w:shd w:color="000000" w:fill="FFFFFF" w:val="clear"/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Высота, мм</w:t>
            </w:r>
          </w:p>
        </w:tc>
        <w:tc>
          <w:tcPr>
            <w:tcW w:w="2991" w:type="dxa"/>
            <w:tcBorders/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Не 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более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2837</w:t>
            </w:r>
          </w:p>
        </w:tc>
        <w:tc>
          <w:tcPr>
            <w:tcW w:w="2238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3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3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1.1.4</w:t>
            </w:r>
          </w:p>
        </w:tc>
        <w:tc>
          <w:tcPr>
            <w:tcW w:w="3981" w:type="dxa"/>
            <w:gridSpan w:val="2"/>
            <w:tcBorders/>
            <w:shd w:color="000000" w:fill="FFFFFF" w:val="clear"/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Максимальная скорость, км/ч</w:t>
            </w:r>
          </w:p>
        </w:tc>
        <w:tc>
          <w:tcPr>
            <w:tcW w:w="2991" w:type="dxa"/>
            <w:tcBorders/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Не 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менее</w:t>
            </w: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90</w:t>
            </w:r>
          </w:p>
        </w:tc>
        <w:tc>
          <w:tcPr>
            <w:tcW w:w="2238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3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3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1.1.5</w:t>
            </w:r>
          </w:p>
        </w:tc>
        <w:tc>
          <w:tcPr>
            <w:tcW w:w="3981" w:type="dxa"/>
            <w:gridSpan w:val="2"/>
            <w:tcBorders/>
            <w:shd w:color="000000" w:fill="FFFFFF" w:val="clear"/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Максимальная пассажировместительность</w:t>
            </w:r>
          </w:p>
        </w:tc>
        <w:tc>
          <w:tcPr>
            <w:tcW w:w="2991" w:type="dxa"/>
            <w:tcBorders/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Не менее 19+1 посадочных пассажирских мест </w:t>
            </w:r>
          </w:p>
        </w:tc>
        <w:tc>
          <w:tcPr>
            <w:tcW w:w="2238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3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3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3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1.1.7</w:t>
            </w:r>
          </w:p>
        </w:tc>
        <w:tc>
          <w:tcPr>
            <w:tcW w:w="3981" w:type="dxa"/>
            <w:gridSpan w:val="2"/>
            <w:tcBorders>
              <w:top w:val="nil"/>
            </w:tcBorders>
            <w:shd w:color="000000" w:fill="FFFFFF" w:val="clear"/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Двигатель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238" w:type="dxa"/>
            <w:gridSpan w:val="4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3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33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3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981" w:type="dxa"/>
            <w:gridSpan w:val="2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Максимальная мощность,  л.с.</w:t>
            </w:r>
          </w:p>
        </w:tc>
        <w:tc>
          <w:tcPr>
            <w:tcW w:w="2991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kern w:val="0"/>
                <w:szCs w:val="24"/>
                <w:lang w:val="ru-RU" w:bidi="ar-SA"/>
              </w:rPr>
              <w:t>Не менее (149,6кВт / 2499 об/мин</w:t>
            </w:r>
          </w:p>
        </w:tc>
        <w:tc>
          <w:tcPr>
            <w:tcW w:w="2238" w:type="dxa"/>
            <w:gridSpan w:val="4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3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3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1.1.8</w:t>
            </w:r>
          </w:p>
        </w:tc>
        <w:tc>
          <w:tcPr>
            <w:tcW w:w="3981" w:type="dxa"/>
            <w:gridSpan w:val="2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Тип двигателя</w:t>
            </w:r>
          </w:p>
        </w:tc>
        <w:tc>
          <w:tcPr>
            <w:tcW w:w="299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Дизельный</w:t>
            </w:r>
          </w:p>
        </w:tc>
        <w:tc>
          <w:tcPr>
            <w:tcW w:w="2238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3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3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>
          <w:trHeight w:val="70" w:hRule="atLeast"/>
        </w:trPr>
        <w:tc>
          <w:tcPr>
            <w:tcW w:w="8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1.1.9</w:t>
            </w:r>
          </w:p>
        </w:tc>
        <w:tc>
          <w:tcPr>
            <w:tcW w:w="3981" w:type="dxa"/>
            <w:gridSpan w:val="2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Экологический класс</w:t>
            </w:r>
          </w:p>
        </w:tc>
        <w:tc>
          <w:tcPr>
            <w:tcW w:w="299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 ниже Евро 5</w:t>
            </w:r>
          </w:p>
        </w:tc>
        <w:tc>
          <w:tcPr>
            <w:tcW w:w="2238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3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3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3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1.1.10</w:t>
            </w:r>
          </w:p>
        </w:tc>
        <w:tc>
          <w:tcPr>
            <w:tcW w:w="3981" w:type="dxa"/>
            <w:gridSpan w:val="2"/>
            <w:tcBorders>
              <w:top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Объем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 менее 2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000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куб. см.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3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</w:rPr>
            </w:pPr>
            <w:r>
              <w:rPr>
                <w:rFonts w:cs="Times New Roman" w:ascii="Times New Roman" w:hAnsi="Times New Roman"/>
                <w:i/>
                <w:iCs/>
                <w:color w:val="000000" w:themeColor="text1"/>
              </w:rPr>
            </w:r>
          </w:p>
        </w:tc>
        <w:tc>
          <w:tcPr>
            <w:tcW w:w="233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1.1.11</w:t>
            </w:r>
          </w:p>
        </w:tc>
        <w:tc>
          <w:tcPr>
            <w:tcW w:w="3981" w:type="dxa"/>
            <w:gridSpan w:val="2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Емкость топливного бака, л</w:t>
            </w:r>
          </w:p>
        </w:tc>
        <w:tc>
          <w:tcPr>
            <w:tcW w:w="299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 менее 70</w:t>
            </w:r>
          </w:p>
        </w:tc>
        <w:tc>
          <w:tcPr>
            <w:tcW w:w="2238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3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3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3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1.1.12</w:t>
            </w:r>
          </w:p>
        </w:tc>
        <w:tc>
          <w:tcPr>
            <w:tcW w:w="3981" w:type="dxa"/>
            <w:gridSpan w:val="2"/>
            <w:tcBorders>
              <w:top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Электростеклоподъемники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Наличие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3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>
          <w:trHeight w:val="70" w:hRule="atLeast"/>
        </w:trPr>
        <w:tc>
          <w:tcPr>
            <w:tcW w:w="83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1.1.13</w:t>
            </w:r>
          </w:p>
        </w:tc>
        <w:tc>
          <w:tcPr>
            <w:tcW w:w="3981" w:type="dxa"/>
            <w:gridSpan w:val="2"/>
            <w:tcBorders>
              <w:top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Кондиционер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Наличие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3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>
          <w:trHeight w:val="70" w:hRule="atLeast"/>
        </w:trPr>
        <w:tc>
          <w:tcPr>
            <w:tcW w:w="83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1.1.14</w:t>
            </w:r>
          </w:p>
        </w:tc>
        <w:tc>
          <w:tcPr>
            <w:tcW w:w="3981" w:type="dxa"/>
            <w:gridSpan w:val="2"/>
            <w:tcBorders>
              <w:top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Автомагнитола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Наличие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3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33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1.1.15</w:t>
            </w:r>
          </w:p>
        </w:tc>
        <w:tc>
          <w:tcPr>
            <w:tcW w:w="3981" w:type="dxa"/>
            <w:gridSpan w:val="2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Центральный эамок</w:t>
            </w:r>
          </w:p>
        </w:tc>
        <w:tc>
          <w:tcPr>
            <w:tcW w:w="299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Наличие</w:t>
            </w:r>
          </w:p>
        </w:tc>
        <w:tc>
          <w:tcPr>
            <w:tcW w:w="2238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3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3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>
          <w:trHeight w:val="70" w:hRule="atLeast"/>
        </w:trPr>
        <w:tc>
          <w:tcPr>
            <w:tcW w:w="8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1.1.16</w:t>
            </w:r>
          </w:p>
        </w:tc>
        <w:tc>
          <w:tcPr>
            <w:tcW w:w="3981" w:type="dxa"/>
            <w:gridSpan w:val="2"/>
            <w:tcBorders/>
            <w:shd w:color="000000" w:fill="FFFFFF" w:val="clear"/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Размер шин</w:t>
            </w:r>
          </w:p>
        </w:tc>
        <w:tc>
          <w:tcPr>
            <w:tcW w:w="2991" w:type="dxa"/>
            <w:tcBorders/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 менее 185/75R16</w:t>
            </w:r>
          </w:p>
        </w:tc>
        <w:tc>
          <w:tcPr>
            <w:tcW w:w="2238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3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3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3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1.1.17</w:t>
            </w:r>
          </w:p>
        </w:tc>
        <w:tc>
          <w:tcPr>
            <w:tcW w:w="3981" w:type="dxa"/>
            <w:gridSpan w:val="2"/>
            <w:tcBorders>
              <w:top w:val="nil"/>
            </w:tcBorders>
            <w:shd w:color="000000" w:fill="FFFFFF" w:val="clear"/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Колесная база, мм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 более 3950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3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33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3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1.1.18</w:t>
            </w:r>
          </w:p>
        </w:tc>
        <w:tc>
          <w:tcPr>
            <w:tcW w:w="3981" w:type="dxa"/>
            <w:gridSpan w:val="2"/>
            <w:tcBorders>
              <w:top w:val="nil"/>
            </w:tcBorders>
            <w:shd w:color="000000" w:fill="FFFFFF" w:val="clear"/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Антиблокировочная тормозная система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Наличие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3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>
          <w:trHeight w:val="70" w:hRule="atLeast"/>
        </w:trPr>
        <w:tc>
          <w:tcPr>
            <w:tcW w:w="83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1.1.19</w:t>
            </w:r>
          </w:p>
        </w:tc>
        <w:tc>
          <w:tcPr>
            <w:tcW w:w="3981" w:type="dxa"/>
            <w:gridSpan w:val="2"/>
            <w:vMerge w:val="restart"/>
            <w:tcBorders>
              <w:top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both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Комплект поставки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Медицинская автоаптечка (Приказ Минздравсоцразвития России от 08 октября 2020 года N 1080н)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3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>
          <w:trHeight w:val="70" w:hRule="atLeast"/>
        </w:trPr>
        <w:tc>
          <w:tcPr>
            <w:tcW w:w="83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</w:r>
          </w:p>
        </w:tc>
        <w:tc>
          <w:tcPr>
            <w:tcW w:w="3981" w:type="dxa"/>
            <w:gridSpan w:val="2"/>
            <w:vMerge w:val="continue"/>
            <w:tcBorders>
              <w:top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cs="Times New Roman" w:ascii="Times New Roman" w:hAnsi="Times New Roman"/>
                <w:iCs/>
                <w:color w:val="000000" w:themeColor="text1"/>
              </w:rPr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Огнетушители (Приложение «В» к Приказу МЧС России №179 от 25.03.2009 года) - 2 шт</w:t>
            </w:r>
          </w:p>
        </w:tc>
        <w:tc>
          <w:tcPr>
            <w:tcW w:w="2238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3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>
          <w:trHeight w:val="70" w:hRule="atLeast"/>
        </w:trPr>
        <w:tc>
          <w:tcPr>
            <w:tcW w:w="83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</w:r>
          </w:p>
        </w:tc>
        <w:tc>
          <w:tcPr>
            <w:tcW w:w="3981" w:type="dxa"/>
            <w:gridSpan w:val="2"/>
            <w:vMerge w:val="continue"/>
            <w:tcBorders>
              <w:top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cs="Times New Roman" w:ascii="Times New Roman" w:hAnsi="Times New Roman"/>
                <w:iCs/>
                <w:color w:val="000000" w:themeColor="text1"/>
              </w:rPr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Знак аварийной остановки</w:t>
            </w:r>
          </w:p>
        </w:tc>
        <w:tc>
          <w:tcPr>
            <w:tcW w:w="2238" w:type="dxa"/>
            <w:gridSpan w:val="4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36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>
          <w:trHeight w:val="70" w:hRule="atLeast"/>
        </w:trPr>
        <w:tc>
          <w:tcPr>
            <w:tcW w:w="83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</w:r>
          </w:p>
        </w:tc>
        <w:tc>
          <w:tcPr>
            <w:tcW w:w="3981" w:type="dxa"/>
            <w:gridSpan w:val="2"/>
            <w:vMerge w:val="continue"/>
            <w:tcBorders>
              <w:top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cs="Times New Roman" w:ascii="Times New Roman" w:hAnsi="Times New Roman"/>
                <w:iCs/>
                <w:color w:val="000000" w:themeColor="text1"/>
              </w:rPr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Противооткатные упоры</w:t>
            </w:r>
          </w:p>
        </w:tc>
        <w:tc>
          <w:tcPr>
            <w:tcW w:w="2238" w:type="dxa"/>
            <w:gridSpan w:val="4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36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>
          <w:trHeight w:val="70" w:hRule="atLeast"/>
        </w:trPr>
        <w:tc>
          <w:tcPr>
            <w:tcW w:w="83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981" w:type="dxa"/>
            <w:gridSpan w:val="2"/>
            <w:vMerge w:val="continue"/>
            <w:tcBorders>
              <w:top w:val="nil"/>
            </w:tcBorders>
            <w:shd w:color="000000" w:fill="FFFFFF" w:val="clear"/>
            <w:vAlign w:val="center"/>
          </w:tcPr>
          <w:p>
            <w:pPr>
              <w:pStyle w:val="NoSpacing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Тахограф с блоком СКЗИ.</w:t>
            </w:r>
          </w:p>
        </w:tc>
        <w:tc>
          <w:tcPr>
            <w:tcW w:w="2238" w:type="dxa"/>
            <w:gridSpan w:val="4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36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3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>
          <w:trHeight w:val="249" w:hRule="atLeast"/>
        </w:trPr>
        <w:tc>
          <w:tcPr>
            <w:tcW w:w="8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13909" w:type="dxa"/>
            <w:gridSpan w:val="9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к безопасности</w:t>
            </w:r>
          </w:p>
        </w:tc>
      </w:tr>
      <w:tr>
        <w:trPr>
          <w:trHeight w:val="688" w:hRule="atLeast"/>
        </w:trPr>
        <w:tc>
          <w:tcPr>
            <w:tcW w:w="8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2.1</w:t>
            </w:r>
          </w:p>
        </w:tc>
        <w:tc>
          <w:tcPr>
            <w:tcW w:w="6972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Поставляемые ТС в отношении используемого шасси, должны соответствовать требованиям технического регламента таможенного союза ТР ТС 018/2011 «О безопасности колесных транспортных средств» и иметь действующий сертификат соответствия (ОТТС), выданный органом сертификации Российской Федерации</w:t>
            </w:r>
          </w:p>
        </w:tc>
        <w:tc>
          <w:tcPr>
            <w:tcW w:w="2238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3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3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>
          <w:trHeight w:val="568" w:hRule="atLeast"/>
        </w:trPr>
        <w:tc>
          <w:tcPr>
            <w:tcW w:w="8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13909" w:type="dxa"/>
            <w:gridSpan w:val="9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>
        <w:trPr>
          <w:trHeight w:val="289" w:hRule="atLeast"/>
        </w:trPr>
        <w:tc>
          <w:tcPr>
            <w:tcW w:w="8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3.1</w:t>
            </w:r>
          </w:p>
        </w:tc>
        <w:tc>
          <w:tcPr>
            <w:tcW w:w="6972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both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Автобус должен быть рассчитан на эксплуатацию при рабочих температурах окружающего воздуха не уже от - 40 до + 40 °С.</w:t>
            </w:r>
          </w:p>
        </w:tc>
        <w:tc>
          <w:tcPr>
            <w:tcW w:w="2238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3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3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>
          <w:trHeight w:val="523" w:hRule="atLeast"/>
        </w:trPr>
        <w:tc>
          <w:tcPr>
            <w:tcW w:w="83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13909" w:type="dxa"/>
            <w:gridSpan w:val="9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iCs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948" w:hRule="atLeast"/>
        </w:trPr>
        <w:tc>
          <w:tcPr>
            <w:tcW w:w="8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4.1</w:t>
            </w:r>
          </w:p>
        </w:tc>
        <w:tc>
          <w:tcPr>
            <w:tcW w:w="2562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both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Место поставки </w:t>
            </w:r>
          </w:p>
        </w:tc>
        <w:tc>
          <w:tcPr>
            <w:tcW w:w="4410" w:type="dxa"/>
            <w:gridSpan w:val="2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both"/>
              <w:rPr>
                <w:rFonts w:ascii="Times New Roman" w:hAnsi="Times New Roman" w:eastAsia="Calibri" w:cs="Times New Roman"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368219, Россия, Ставропольский край, Кочубеевский р-н, с. Кочубеевское, автодорога «Кавказ»  246км+1200м (справа)</w:t>
            </w:r>
          </w:p>
        </w:tc>
        <w:tc>
          <w:tcPr>
            <w:tcW w:w="2238" w:type="dxa"/>
            <w:gridSpan w:val="4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 w:eastAsia="Calibri" w:cs="Times New Roman"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3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3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</w:rPr>
            </w:pPr>
            <w:r>
              <w:rPr>
                <w:rFonts w:cs="Times New Roman" w:ascii="Times New Roman" w:hAnsi="Times New Roman"/>
                <w:i/>
                <w:iCs/>
                <w:color w:val="000000" w:themeColor="text1"/>
              </w:rPr>
            </w:r>
          </w:p>
        </w:tc>
      </w:tr>
      <w:tr>
        <w:trPr>
          <w:trHeight w:val="300" w:hRule="atLeast"/>
        </w:trPr>
        <w:tc>
          <w:tcPr>
            <w:tcW w:w="8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4.2</w:t>
            </w:r>
          </w:p>
        </w:tc>
        <w:tc>
          <w:tcPr>
            <w:tcW w:w="2562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Способ доставки до места поставки (получения)</w:t>
            </w:r>
          </w:p>
        </w:tc>
        <w:tc>
          <w:tcPr>
            <w:tcW w:w="4410" w:type="dxa"/>
            <w:gridSpan w:val="2"/>
            <w:tcBorders/>
            <w:shd w:color="000000" w:fill="FFFFFF" w:val="clear"/>
          </w:tcPr>
          <w:p>
            <w:pPr>
              <w:pStyle w:val="BodyText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ind w:hanging="0" w:left="40"/>
              <w:jc w:val="both"/>
              <w:rPr>
                <w:szCs w:val="24"/>
              </w:rPr>
            </w:pPr>
            <w:r>
              <w:rPr>
                <w:kern w:val="0"/>
                <w:szCs w:val="24"/>
                <w:lang w:val="ru-RU" w:bidi="ar-SA"/>
              </w:rPr>
              <w:t>Доставка осуществляется силами Поставщика:</w:t>
            </w:r>
          </w:p>
          <w:p>
            <w:pPr>
              <w:pStyle w:val="BodyText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ind w:hanging="0" w:left="4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szCs w:val="24"/>
                <w:lang w:val="ru-RU" w:bidi="ar-SA"/>
              </w:rPr>
              <w:t>1) Доставка до места поставки осуществляется рекомендованными способами завода изготовителя. В случаях перегона ТС своим ходом, должно проводиться техническое обслуживание согласно инструкции по эксплуатации с отметками в сервисной книжке.</w:t>
            </w:r>
          </w:p>
          <w:p>
            <w:pPr>
              <w:pStyle w:val="BodyText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ind w:hanging="0" w:left="4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szCs w:val="24"/>
                <w:lang w:val="ru-RU" w:bidi="ar-SA"/>
              </w:rPr>
              <w:t>2) Акты выполненных работ по техническому обслуживанию (скан копии, подписанные и заверенные ответственным лицом), предоставляются при передаче ТС Заказчику.</w:t>
            </w:r>
          </w:p>
          <w:p>
            <w:pPr>
              <w:pStyle w:val="BodyText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szCs w:val="24"/>
                <w:lang w:val="ru-RU" w:bidi="ar-SA"/>
              </w:rPr>
              <w:t>3) Фото с фиксацией пробега (название файла VIN ТС) при каждом техническом обслуживании до места поставки, предоставляются при передаче ТС Заказчику.</w:t>
            </w:r>
          </w:p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both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4) При поступлении транспортного средства на склад Заказчика, пробег транспортного средства на одометре не должен превышать 10 000 км.</w:t>
            </w:r>
          </w:p>
        </w:tc>
        <w:tc>
          <w:tcPr>
            <w:tcW w:w="2238" w:type="dxa"/>
            <w:gridSpan w:val="4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36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3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</w:rPr>
            </w:pPr>
            <w:r>
              <w:rPr>
                <w:rFonts w:cs="Times New Roman" w:ascii="Times New Roman" w:hAnsi="Times New Roman"/>
                <w:i/>
                <w:iCs/>
                <w:color w:val="000000" w:themeColor="text1"/>
              </w:rPr>
            </w:r>
          </w:p>
        </w:tc>
      </w:tr>
      <w:tr>
        <w:trPr>
          <w:trHeight w:val="424" w:hRule="atLeast"/>
        </w:trPr>
        <w:tc>
          <w:tcPr>
            <w:tcW w:w="8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4.3</w:t>
            </w:r>
          </w:p>
        </w:tc>
        <w:tc>
          <w:tcPr>
            <w:tcW w:w="2562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Требования к предпродажной подготовке</w:t>
            </w:r>
          </w:p>
        </w:tc>
        <w:tc>
          <w:tcPr>
            <w:tcW w:w="4446" w:type="dxa"/>
            <w:gridSpan w:val="5"/>
            <w:tcBorders/>
            <w:shd w:color="000000" w:fill="FFFFFF" w:val="clear"/>
          </w:tcPr>
          <w:p>
            <w:pPr>
              <w:pStyle w:val="BodyText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ind w:hanging="0" w:left="40"/>
              <w:jc w:val="both"/>
              <w:rPr>
                <w:szCs w:val="24"/>
              </w:rPr>
            </w:pPr>
            <w:r>
              <w:rPr>
                <w:kern w:val="0"/>
                <w:szCs w:val="24"/>
                <w:lang w:val="ru-RU" w:bidi="ar-SA"/>
              </w:rPr>
              <w:t>Поставщику необходимо выполнить предпродажную подготовку (протяжка, проверка всех уровней жидкостей), (Подтверждается отметкой в сервисной книжке либо Заказ-нарядом, Актом выполненных работ по предпродажному обслуживанию на любом авторизованном техническом центре)</w:t>
            </w:r>
          </w:p>
        </w:tc>
        <w:tc>
          <w:tcPr>
            <w:tcW w:w="2202" w:type="dxa"/>
            <w:tcBorders/>
            <w:shd w:color="000000" w:fill="FFFFFF" w:val="clear"/>
            <w:vAlign w:val="center"/>
          </w:tcPr>
          <w:p>
            <w:pPr>
              <w:pStyle w:val="BodyText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ind w:hanging="0" w:left="40"/>
              <w:jc w:val="center"/>
              <w:rPr>
                <w:szCs w:val="24"/>
              </w:rPr>
            </w:pPr>
            <w:r>
              <w:rPr>
                <w:rFonts w:eastAsia="Calibri"/>
                <w:iCs/>
                <w:color w:val="000000" w:themeColor="text1"/>
                <w:kern w:val="0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3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lineRule="auto" w:line="240"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3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</w:rPr>
            </w:pPr>
            <w:r>
              <w:rPr>
                <w:rFonts w:cs="Times New Roman" w:ascii="Times New Roman" w:hAnsi="Times New Roman"/>
                <w:i/>
                <w:iCs/>
                <w:color w:val="000000" w:themeColor="text1"/>
              </w:rPr>
            </w:r>
          </w:p>
        </w:tc>
      </w:tr>
      <w:tr>
        <w:trPr>
          <w:trHeight w:val="572" w:hRule="atLeast"/>
        </w:trPr>
        <w:tc>
          <w:tcPr>
            <w:tcW w:w="8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13909" w:type="dxa"/>
            <w:gridSpan w:val="9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iCs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1961" w:hRule="atLeast"/>
        </w:trPr>
        <w:tc>
          <w:tcPr>
            <w:tcW w:w="8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5.1</w:t>
            </w:r>
          </w:p>
        </w:tc>
        <w:tc>
          <w:tcPr>
            <w:tcW w:w="2562" w:type="dxa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 гарантии</w:t>
            </w:r>
          </w:p>
        </w:tc>
        <w:tc>
          <w:tcPr>
            <w:tcW w:w="4446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Срок гарантии на оборудование должен составлять - не менее 12 месяцев или 50000 км. с даты продажи Заказчику, в зависимости от того, что наступит ранее.</w:t>
            </w:r>
          </w:p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Срок гарантии на базовое шасси должен составлять - не менее 18 месяцев или 180000 км с даты продажи Заказчику, в зависимости от того, что наступит ранее.</w:t>
            </w:r>
          </w:p>
        </w:tc>
        <w:tc>
          <w:tcPr>
            <w:tcW w:w="22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3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3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</w:rPr>
            </w:pPr>
            <w:r>
              <w:rPr>
                <w:rFonts w:cs="Times New Roman" w:ascii="Times New Roman" w:hAnsi="Times New Roman"/>
                <w:i/>
                <w:iCs/>
                <w:color w:val="000000" w:themeColor="text1"/>
              </w:rPr>
            </w:r>
          </w:p>
        </w:tc>
      </w:tr>
      <w:tr>
        <w:trPr>
          <w:trHeight w:val="562" w:hRule="atLeast"/>
        </w:trPr>
        <w:tc>
          <w:tcPr>
            <w:tcW w:w="8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13909" w:type="dxa"/>
            <w:gridSpan w:val="9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iCs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688" w:hRule="atLeast"/>
        </w:trPr>
        <w:tc>
          <w:tcPr>
            <w:tcW w:w="8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6.1</w:t>
            </w:r>
          </w:p>
        </w:tc>
        <w:tc>
          <w:tcPr>
            <w:tcW w:w="2562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Документы, передаваемые вместе с продукцией</w:t>
            </w:r>
          </w:p>
        </w:tc>
        <w:tc>
          <w:tcPr>
            <w:tcW w:w="4434" w:type="dxa"/>
            <w:gridSpan w:val="4"/>
            <w:tcBorders/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iCs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Поставщик передает Заказчику товарную накладную (ТОРГ-12)/УПД, счет-фактуру, ПТС/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выписку из ЭПТС транспортного средства, Паспорт подъемного сооружения, Руководство по эксплуатации транспортного средства на русском языке. Сервисную книжку.</w:t>
            </w:r>
          </w:p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iCs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А также:</w:t>
            </w:r>
          </w:p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iCs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 Предоставление действующего сертификата/декларации в соответствии с требованиями тех. регламента Таможенного Союза ТР ТС 018/2011 «О безопасности колесных транспортных средств»</w:t>
            </w:r>
          </w:p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lef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 xml:space="preserve">-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Предоставление действующего сертификата/декларации в соответствии с требованиями тех.регламента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Таможенного Союза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ТР ТС 010/2011 «О безопасности машин и оборудования»</w:t>
            </w:r>
          </w:p>
        </w:tc>
        <w:tc>
          <w:tcPr>
            <w:tcW w:w="2214" w:type="dxa"/>
            <w:gridSpan w:val="2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3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33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</w:rPr>
            </w:pPr>
            <w:r>
              <w:rPr>
                <w:rFonts w:cs="Times New Roman" w:ascii="Times New Roman" w:hAnsi="Times New Roman"/>
                <w:i/>
                <w:iCs/>
                <w:color w:val="000000" w:themeColor="text1"/>
              </w:rPr>
            </w:r>
          </w:p>
        </w:tc>
      </w:tr>
      <w:tr>
        <w:trPr>
          <w:trHeight w:val="485" w:hRule="atLeast"/>
        </w:trPr>
        <w:tc>
          <w:tcPr>
            <w:tcW w:w="8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7.</w:t>
            </w:r>
          </w:p>
        </w:tc>
        <w:tc>
          <w:tcPr>
            <w:tcW w:w="13909" w:type="dxa"/>
            <w:gridSpan w:val="9"/>
            <w:tcBorders>
              <w:top w:val="nil"/>
            </w:tcBorders>
            <w:shd w:color="000000" w:fill="FFFFFF" w:val="clear"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Прочие (дополнительные) требования к продукции</w:t>
            </w:r>
          </w:p>
        </w:tc>
      </w:tr>
      <w:tr>
        <w:trPr>
          <w:trHeight w:val="688" w:hRule="atLeast"/>
        </w:trPr>
        <w:tc>
          <w:tcPr>
            <w:tcW w:w="8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7.1</w:t>
            </w:r>
          </w:p>
        </w:tc>
        <w:tc>
          <w:tcPr>
            <w:tcW w:w="6987" w:type="dxa"/>
            <w:gridSpan w:val="4"/>
            <w:tcBorders>
              <w:top w:val="nil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both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Продукция должна быть новой и ранее не использовавшейся.</w:t>
            </w:r>
          </w:p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both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Год изготовления товара – не ранее 2025 г.</w:t>
            </w:r>
          </w:p>
        </w:tc>
        <w:tc>
          <w:tcPr>
            <w:tcW w:w="2223" w:type="dxa"/>
            <w:gridSpan w:val="3"/>
            <w:tcBorders>
              <w:top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3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</w:rPr>
            </w:pPr>
            <w:r>
              <w:rPr>
                <w:rFonts w:cs="Times New Roman" w:ascii="Times New Roman" w:hAnsi="Times New Roman"/>
                <w:i/>
                <w:iCs/>
                <w:color w:val="000000" w:themeColor="text1"/>
              </w:rPr>
            </w:r>
          </w:p>
        </w:tc>
        <w:tc>
          <w:tcPr>
            <w:tcW w:w="233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9911" w:leader="dot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</w:rPr>
            </w:pPr>
            <w:r>
              <w:rPr>
                <w:rFonts w:cs="Times New Roman" w:ascii="Times New Roman" w:hAnsi="Times New Roman"/>
                <w:i/>
                <w:iCs/>
                <w:color w:val="000000" w:themeColor="text1"/>
              </w:rPr>
            </w:r>
          </w:p>
        </w:tc>
      </w:tr>
    </w:tbl>
    <w:p>
      <w:pPr>
        <w:pStyle w:val="Normal"/>
        <w:spacing w:lineRule="auto" w:line="240" w:before="120" w:after="0"/>
        <w:rPr/>
      </w:pPr>
      <w:r>
        <w:rPr/>
      </w:r>
    </w:p>
    <w:sectPr>
      <w:footerReference w:type="default" r:id="rId3"/>
      <w:footerReference w:type="first" r:id="rId4"/>
      <w:type w:val="nextPage"/>
      <w:pgSz w:orient="landscape" w:w="16838" w:h="11906"/>
      <w:pgMar w:left="1134" w:right="1134" w:gutter="0" w:header="0" w:top="1134" w:footer="710" w:bottom="767"/>
      <w:pgNumType w:start="0"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220"/>
      <w:numFmt w:val="decimal"/>
      <w:suff w:val="space"/>
      <w:lvlText w:val="2.1.1%1"/>
      <w:lvlJc w:val="left"/>
      <w:pPr>
        <w:tabs>
          <w:tab w:val="num" w:pos="0"/>
        </w:tabs>
        <w:ind w:left="360" w:hanging="360"/>
      </w:pPr>
      <w:rPr>
        <w:i w:val="false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decimal"/>
      <w:suff w:val="space"/>
      <w:lvlText w:val="1.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7158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071583"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946b2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d5770d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071583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071583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4" w:customStyle="1">
    <w:name w:val="Заголовок 4 Знак"/>
    <w:basedOn w:val="DefaultParagraphFont"/>
    <w:uiPriority w:val="9"/>
    <w:semiHidden/>
    <w:qFormat/>
    <w:rsid w:val="00071583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Style5" w:customStyle="1">
    <w:name w:val="Верхний колонтитул Знак"/>
    <w:basedOn w:val="DefaultParagraphFont"/>
    <w:uiPriority w:val="99"/>
    <w:qFormat/>
    <w:rsid w:val="00071583"/>
    <w:rPr/>
  </w:style>
  <w:style w:type="character" w:styleId="Style6" w:customStyle="1">
    <w:name w:val="Нижний колонтитул Знак"/>
    <w:basedOn w:val="DefaultParagraphFont"/>
    <w:uiPriority w:val="99"/>
    <w:qFormat/>
    <w:rsid w:val="00071583"/>
    <w:rPr/>
  </w:style>
  <w:style w:type="character" w:styleId="Style7" w:customStyle="1">
    <w:name w:val="Текст сноски Знак"/>
    <w:basedOn w:val="DefaultParagraphFont"/>
    <w:uiPriority w:val="99"/>
    <w:semiHidden/>
    <w:qFormat/>
    <w:rsid w:val="00071583"/>
    <w:rPr>
      <w:sz w:val="20"/>
      <w:szCs w:val="20"/>
    </w:rPr>
  </w:style>
  <w:style w:type="character" w:styleId="Style8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071583"/>
    <w:rPr>
      <w:vertAlign w:val="superscript"/>
    </w:rPr>
  </w:style>
  <w:style w:type="character" w:styleId="Style9" w:customStyle="1">
    <w:name w:val="Основной текст Знак"/>
    <w:basedOn w:val="DefaultParagraphFont"/>
    <w:qFormat/>
    <w:rsid w:val="00071583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071583"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71583"/>
    <w:rPr>
      <w:sz w:val="16"/>
      <w:szCs w:val="16"/>
    </w:rPr>
  </w:style>
  <w:style w:type="character" w:styleId="Style11" w:customStyle="1">
    <w:name w:val="Текст примечания Знак"/>
    <w:basedOn w:val="DefaultParagraphFont"/>
    <w:link w:val="Annotationtext"/>
    <w:uiPriority w:val="99"/>
    <w:semiHidden/>
    <w:qFormat/>
    <w:rsid w:val="00071583"/>
    <w:rPr>
      <w:sz w:val="20"/>
      <w:szCs w:val="20"/>
    </w:rPr>
  </w:style>
  <w:style w:type="character" w:styleId="Style12" w:customStyle="1">
    <w:name w:val="Тема примечания Знак"/>
    <w:basedOn w:val="Style11"/>
    <w:link w:val="Annotationsubject"/>
    <w:uiPriority w:val="99"/>
    <w:semiHidden/>
    <w:qFormat/>
    <w:rsid w:val="00071583"/>
    <w:rPr>
      <w:b/>
      <w:bCs/>
      <w:sz w:val="20"/>
      <w:szCs w:val="20"/>
    </w:rPr>
  </w:style>
  <w:style w:type="character" w:styleId="Style13" w:customStyle="1">
    <w:name w:val="Абзац списка Знак"/>
    <w:link w:val="ListParagraph"/>
    <w:uiPriority w:val="34"/>
    <w:qFormat/>
    <w:locked/>
    <w:rsid w:val="0007158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комментарий"/>
    <w:qFormat/>
    <w:rsid w:val="00071583"/>
    <w:rPr>
      <w:b/>
      <w:i/>
      <w:shd w:fill="FFFF99" w:val="clear"/>
    </w:rPr>
  </w:style>
  <w:style w:type="character" w:styleId="11" w:customStyle="1">
    <w:name w:val="Гиперссылка1"/>
    <w:uiPriority w:val="99"/>
    <w:qFormat/>
    <w:rsid w:val="00071583"/>
    <w:rPr>
      <w:color w:val="0000FF"/>
      <w:u w:val="single"/>
    </w:rPr>
  </w:style>
  <w:style w:type="character" w:styleId="2" w:customStyle="1">
    <w:name w:val="Заголовок 2 Знак"/>
    <w:basedOn w:val="DefaultParagraphFont"/>
    <w:uiPriority w:val="9"/>
    <w:semiHidden/>
    <w:qFormat/>
    <w:rsid w:val="00e946b2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semiHidden/>
    <w:qFormat/>
    <w:rsid w:val="00d5770d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Style15" w:customStyle="1">
    <w:name w:val="Ссылка указателя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9"/>
    <w:rsid w:val="00071583"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ListParagraph">
    <w:name w:val="List Paragraph"/>
    <w:basedOn w:val="Normal"/>
    <w:link w:val="Style13"/>
    <w:uiPriority w:val="34"/>
    <w:qFormat/>
    <w:rsid w:val="00071583"/>
    <w:pPr>
      <w:spacing w:lineRule="auto" w:line="240" w:before="0" w:after="0"/>
      <w:ind w:hanging="0"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Default" w:customStyle="1">
    <w:name w:val="Default"/>
    <w:qFormat/>
    <w:rsid w:val="0007158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18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rsid w:val="0007158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6"/>
    <w:uiPriority w:val="99"/>
    <w:unhideWhenUsed/>
    <w:rsid w:val="0007158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Style7"/>
    <w:uiPriority w:val="99"/>
    <w:semiHidden/>
    <w:unhideWhenUsed/>
    <w:rsid w:val="00071583"/>
    <w:pPr>
      <w:spacing w:lineRule="auto" w:line="240" w:before="0" w:after="0"/>
    </w:pPr>
    <w:rPr>
      <w:sz w:val="20"/>
      <w:szCs w:val="20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07158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Style11"/>
    <w:uiPriority w:val="99"/>
    <w:semiHidden/>
    <w:unhideWhenUsed/>
    <w:qFormat/>
    <w:rsid w:val="00071583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2"/>
    <w:uiPriority w:val="99"/>
    <w:semiHidden/>
    <w:unhideWhenUsed/>
    <w:qFormat/>
    <w:rsid w:val="00071583"/>
    <w:pPr/>
    <w:rPr>
      <w:b/>
      <w:bCs/>
    </w:rPr>
  </w:style>
  <w:style w:type="paragraph" w:styleId="Style19" w:customStyle="1">
    <w:name w:val="Раздел положения"/>
    <w:basedOn w:val="Normal"/>
    <w:qFormat/>
    <w:rsid w:val="00071583"/>
    <w:pPr/>
    <w:rPr/>
  </w:style>
  <w:style w:type="paragraph" w:styleId="Style20" w:customStyle="1">
    <w:name w:val="Подраздел раздела положения"/>
    <w:basedOn w:val="Normal"/>
    <w:qFormat/>
    <w:rsid w:val="00071583"/>
    <w:pPr>
      <w:numPr>
        <w:ilvl w:val="1"/>
        <w:numId w:val="1"/>
      </w:numPr>
    </w:pPr>
    <w:rPr/>
  </w:style>
  <w:style w:type="paragraph" w:styleId="TOC1">
    <w:name w:val="TOC 1"/>
    <w:basedOn w:val="Normal"/>
    <w:next w:val="Normal"/>
    <w:autoRedefine/>
    <w:uiPriority w:val="39"/>
    <w:rsid w:val="00924bd7"/>
    <w:pPr>
      <w:tabs>
        <w:tab w:val="clear" w:pos="708"/>
        <w:tab w:val="right" w:pos="9911" w:leader="dot"/>
      </w:tabs>
      <w:spacing w:lineRule="auto" w:line="240" w:before="120" w:after="0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TOC3">
    <w:name w:val="TOC 3"/>
    <w:basedOn w:val="Normal"/>
    <w:next w:val="Normal"/>
    <w:autoRedefine/>
    <w:uiPriority w:val="39"/>
    <w:rsid w:val="003e531c"/>
    <w:pPr>
      <w:tabs>
        <w:tab w:val="clear" w:pos="708"/>
        <w:tab w:val="right" w:pos="9911" w:leader="dot"/>
      </w:tabs>
      <w:spacing w:lineRule="auto" w:line="240" w:before="0" w:after="0"/>
      <w:ind w:hanging="0" w:left="280"/>
    </w:pPr>
    <w:rPr>
      <w:rFonts w:ascii="Times New Roman" w:hAnsi="Times New Roman" w:eastAsia="Times New Roman" w:cs="Calibri" w:cstheme="minorHAns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uiPriority w:val="39"/>
    <w:rsid w:val="00071583"/>
    <w:pPr>
      <w:spacing w:lineRule="auto" w:line="240" w:before="0" w:after="0"/>
      <w:ind w:hanging="0" w:left="560"/>
      <w:jc w:val="center"/>
    </w:pPr>
    <w:rPr>
      <w:rFonts w:ascii="Times New Roman" w:hAnsi="Times New Roman" w:eastAsia="Times New Roman" w:cs="Calibri" w:cstheme="minorHAnsi"/>
      <w:b/>
      <w:bCs/>
      <w:sz w:val="28"/>
      <w:szCs w:val="28"/>
      <w:lang w:eastAsia="ru-RU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071583"/>
    <w:pPr>
      <w:keepLines/>
      <w:spacing w:lineRule="auto" w:line="259" w:before="240" w:after="0"/>
      <w:jc w:val="left"/>
      <w:outlineLvl w:val="9"/>
    </w:pPr>
    <w:rPr>
      <w:rFonts w:ascii="Calibri Light" w:hAnsi="Calibri Light" w:eastAsia="" w:cs="" w:asciiTheme="majorHAnsi" w:cstheme="majorBidi" w:eastAsiaTheme="majorEastAsia" w:hAnsiTheme="majorHAnsi"/>
      <w:b w:val="false"/>
      <w:color w:val="2E74B5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e946b2"/>
    <w:pPr>
      <w:tabs>
        <w:tab w:val="clear" w:pos="708"/>
        <w:tab w:val="right" w:pos="9911" w:leader="dot"/>
      </w:tabs>
      <w:spacing w:lineRule="auto" w:line="259" w:before="0" w:after="100"/>
      <w:ind w:hanging="0" w:left="220"/>
    </w:pPr>
    <w:rPr>
      <w:rFonts w:eastAsia="" w:cs="Times New Roman" w:eastAsiaTheme="minorEastAsia"/>
      <w:lang w:eastAsia="ru-RU"/>
    </w:rPr>
  </w:style>
  <w:style w:type="paragraph" w:styleId="NoSpacing">
    <w:name w:val="No Spacing"/>
    <w:uiPriority w:val="1"/>
    <w:qFormat/>
    <w:rsid w:val="000350f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paragraph" w:styleId="Style23" w:customStyle="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2"/>
    <w:uiPriority w:val="39"/>
    <w:rsid w:val="0007158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Сетка таблицы1"/>
    <w:basedOn w:val="a2"/>
    <w:uiPriority w:val="39"/>
    <w:rsid w:val="00637295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7AB7B-9023-4A12-B84B-E24053C2E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AlterOffice/2026.2.1.0$Linux_X86_64 LibreOffice_project/f008988ffacaa0b2bf57911c2759d08ca79831df</Application>
  <AppVersion>15.0000</AppVersion>
  <DocSecurity>4</DocSecurity>
  <Pages>9</Pages>
  <Words>889</Words>
  <Characters>5827</Characters>
  <CharactersWithSpaces>6490</CharactersWithSpaces>
  <Paragraphs>237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2026-09-02T10:31:00Z</dcterms:created>
  <dc:creator>Третьяков Михаил Михайлович</dc:creator>
  <dc:description/>
  <dc:language>ru-RU</dc:language>
  <cp:lastModifiedBy>velikosvyatnn@corp.gidroogk.com</cp:lastModifiedBy>
  <cp:lastPrinted>2024-05-30T11:53:00Z</cp:lastPrinted>
  <dcterms:modified xsi:type="dcterms:W3CDTF">2026-09-03T14:05:45Z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