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36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ОКПД2 - 33.12.29.900. Обслуживание климатического оборудования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Центре обработки данных с 2027 по 2028 год.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6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6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6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6"/>
        <w:pBdr/>
        <w:spacing/>
        <w:ind/>
        <w:rPr/>
        <w:sectPr>
          <w:headerReference w:type="default" r:id="rId9"/>
          <w:headerReference w:type="first" r:id="rId10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h="16838" w:orient="portrait" w:w="11906"/>
          <w:pgMar w:top="1134" w:right="709" w:bottom="992" w:left="1134" w:header="680" w:footer="709" w:gutter="0"/>
          <w:pgNumType w:fmt="none"/>
          <w:cols w:num="1" w:sep="0" w:space="1701" w:equalWidth="1"/>
        </w:sectPr>
      </w:pPr>
      <w:r/>
      <w:r/>
    </w:p>
    <w:p>
      <w:pPr>
        <w:pStyle w:val="736"/>
        <w:pBdr/>
        <w:spacing/>
        <w:ind/>
        <w:jc w:val="center"/>
        <w:rPr/>
      </w:pPr>
      <w:r>
        <w:rPr>
          <w:b/>
          <w:sz w:val="26"/>
          <w:szCs w:val="26"/>
        </w:rPr>
        <w:t xml:space="preserve">СОДЕРЖАНИЕ</w:t>
      </w:r>
      <w:r/>
    </w:p>
    <w:p>
      <w:pPr>
        <w:pStyle w:val="866"/>
        <w:pBdr/>
        <w:tabs>
          <w:tab w:val="right" w:leader="dot" w:pos="10040"/>
        </w:tabs>
        <w:spacing/>
        <w:ind/>
        <w:rPr/>
      </w:pPr>
      <w:r>
        <w:fldChar w:fldCharType="begin"/>
      </w:r>
      <w:r>
        <w:instrText xml:space="preserve"> TOC \z \o "1-4" \u \h</w:instrText>
      </w:r>
      <w:r>
        <w:fldChar w:fldCharType="separate"/>
      </w:r>
      <w:r>
        <w:fldChar w:fldCharType="begin"/>
      </w:r>
      <w:r>
        <w:instrText xml:space="preserve"> HYPERLINK  \l "__RefHeading___Toc1490_1404068585"</w:instrText>
      </w:r>
      <w:r>
        <w:fldChar w:fldCharType="separate"/>
      </w:r>
      <w:r>
        <w:rPr>
          <w:vanish w:val="0"/>
        </w:rPr>
        <w:t xml:space="preserve">1. Общие сведения</w:t>
        <w:tab/>
        <w:t xml:space="preserve">3</w:t>
      </w:r>
      <w:r>
        <w:fldChar w:fldCharType="end"/>
      </w:r>
      <w:r/>
    </w:p>
    <w:p>
      <w:pPr>
        <w:pStyle w:val="868"/>
        <w:pBdr/>
        <w:tabs>
          <w:tab w:val="right" w:leader="dot" w:pos="10040"/>
        </w:tabs>
        <w:spacing/>
        <w:ind/>
        <w:rPr/>
      </w:pPr>
      <w:r>
        <w:fldChar w:fldCharType="begin"/>
      </w:r>
      <w:r>
        <w:instrText xml:space="preserve"> HYPERLINK  \l "__RefHeading___Toc1492_1404068585"</w:instrText>
      </w:r>
      <w:r>
        <w:fldChar w:fldCharType="separate"/>
      </w:r>
      <w:r>
        <w:rPr>
          <w:vanish w:val="0"/>
        </w:rPr>
        <w:t xml:space="preserve">1.1. Наименование объекта, место выполнения работ</w:t>
        <w:tab/>
        <w:t xml:space="preserve">3</w:t>
      </w:r>
      <w:r>
        <w:fldChar w:fldCharType="end"/>
      </w:r>
      <w:r/>
    </w:p>
    <w:p>
      <w:pPr>
        <w:pStyle w:val="868"/>
        <w:pBdr/>
        <w:tabs>
          <w:tab w:val="right" w:leader="dot" w:pos="10040"/>
        </w:tabs>
        <w:spacing/>
        <w:ind/>
        <w:rPr/>
      </w:pPr>
      <w:r>
        <w:fldChar w:fldCharType="begin"/>
      </w:r>
      <w:r>
        <w:instrText xml:space="preserve"> HYPERLINK  \l "__RefHeading___Toc1494_1404068585"</w:instrText>
      </w:r>
      <w:r>
        <w:fldChar w:fldCharType="separate"/>
      </w:r>
      <w:r>
        <w:rPr>
          <w:vanish w:val="0"/>
        </w:rPr>
        <w:t xml:space="preserve">1.2. Цель использования закупаемой услуги.</w:t>
        <w:tab/>
        <w:t xml:space="preserve">3</w:t>
      </w:r>
      <w:r>
        <w:fldChar w:fldCharType="end"/>
      </w:r>
      <w:r/>
    </w:p>
    <w:p>
      <w:pPr>
        <w:pStyle w:val="868"/>
        <w:pBdr/>
        <w:tabs>
          <w:tab w:val="right" w:leader="dot" w:pos="10040"/>
        </w:tabs>
        <w:spacing/>
        <w:ind/>
        <w:rPr/>
      </w:pPr>
      <w:r>
        <w:fldChar w:fldCharType="begin"/>
      </w:r>
      <w:r>
        <w:instrText xml:space="preserve"> HYPERLINK  \l "__RefHeading___Toc1496_1404068585"</w:instrText>
      </w:r>
      <w:r>
        <w:fldChar w:fldCharType="separate"/>
      </w:r>
      <w:r>
        <w:rPr>
          <w:vanish w:val="0"/>
        </w:rPr>
        <w:t xml:space="preserve">1.3. Существующее положение.</w:t>
        <w:tab/>
        <w:t xml:space="preserve">3</w:t>
      </w:r>
      <w:r>
        <w:fldChar w:fldCharType="end"/>
      </w:r>
      <w:r/>
    </w:p>
    <w:p>
      <w:pPr>
        <w:pStyle w:val="866"/>
        <w:pBdr/>
        <w:tabs>
          <w:tab w:val="right" w:leader="dot" w:pos="10040"/>
        </w:tabs>
        <w:spacing/>
        <w:ind/>
        <w:rPr/>
      </w:pPr>
      <w:r>
        <w:fldChar w:fldCharType="begin"/>
      </w:r>
      <w:r>
        <w:instrText xml:space="preserve"> HYPERLINK  \l "__RefHeading___Toc1498_1404068585"</w:instrText>
      </w:r>
      <w:r>
        <w:fldChar w:fldCharType="separate"/>
      </w:r>
      <w:r>
        <w:rPr>
          <w:vanish w:val="0"/>
        </w:rPr>
        <w:t xml:space="preserve">2. Требования заказчика</w:t>
        <w:tab/>
        <w:t xml:space="preserve">3</w:t>
      </w:r>
      <w:r>
        <w:fldChar w:fldCharType="end"/>
      </w:r>
      <w:r/>
    </w:p>
    <w:p>
      <w:pPr>
        <w:pStyle w:val="867"/>
        <w:pBdr/>
        <w:tabs>
          <w:tab w:val="clear" w:leader="none" w:pos="1100"/>
          <w:tab w:val="right" w:leader="dot" w:pos="10040"/>
          <w:tab w:val="clear" w:leader="none" w:pos="10053"/>
        </w:tabs>
        <w:spacing/>
        <w:ind/>
        <w:rPr/>
      </w:pPr>
      <w:r>
        <w:fldChar w:fldCharType="begin"/>
      </w:r>
      <w:r>
        <w:instrText xml:space="preserve"> HYPERLINK  \l "__RefHeading___Toc1500_1404068585"</w:instrText>
      </w:r>
      <w:r>
        <w:fldChar w:fldCharType="separate"/>
      </w:r>
      <w:r>
        <w:rPr>
          <w:vanish w:val="0"/>
        </w:rPr>
        <w:t xml:space="preserve">2.1. Требования к объемам и срокам выполнения работ</w:t>
        <w:tab/>
        <w:t xml:space="preserve">3</w:t>
      </w:r>
      <w:r>
        <w:fldChar w:fldCharType="end"/>
      </w:r>
      <w:r/>
    </w:p>
    <w:p>
      <w:pPr>
        <w:pStyle w:val="867"/>
        <w:pBdr/>
        <w:tabs>
          <w:tab w:val="clear" w:leader="none" w:pos="1100"/>
          <w:tab w:val="right" w:leader="dot" w:pos="10040"/>
          <w:tab w:val="clear" w:leader="none" w:pos="10053"/>
        </w:tabs>
        <w:spacing/>
        <w:ind/>
        <w:rPr/>
      </w:pPr>
      <w:r>
        <w:fldChar w:fldCharType="begin"/>
      </w:r>
      <w:r>
        <w:instrText xml:space="preserve"> HYPERLINK  \l "__RefHeading___Toc1502_1404068585"</w:instrText>
      </w:r>
      <w:r>
        <w:fldChar w:fldCharType="separate"/>
      </w:r>
      <w:r>
        <w:rPr>
          <w:vanish w:val="0"/>
        </w:rPr>
        <w:t xml:space="preserve">2.1.1. Перечень и объем выполняемых работ</w:t>
        <w:tab/>
        <w:t xml:space="preserve">3</w:t>
      </w:r>
      <w:r>
        <w:fldChar w:fldCharType="end"/>
      </w:r>
      <w:r/>
    </w:p>
    <w:p>
      <w:pPr>
        <w:pStyle w:val="867"/>
        <w:pBdr/>
        <w:tabs>
          <w:tab w:val="clear" w:leader="none" w:pos="1100"/>
          <w:tab w:val="right" w:leader="dot" w:pos="10040"/>
          <w:tab w:val="clear" w:leader="none" w:pos="10053"/>
        </w:tabs>
        <w:spacing/>
        <w:ind/>
        <w:rPr/>
      </w:pPr>
      <w:r>
        <w:fldChar w:fldCharType="begin"/>
      </w:r>
      <w:r>
        <w:instrText xml:space="preserve"> HYPERLINK  \l "__RefHeading___Toc1504_1404068585_%25252"</w:instrText>
      </w:r>
      <w:r>
        <w:fldChar w:fldCharType="separate"/>
      </w:r>
      <w:r>
        <w:rPr>
          <w:vanish w:val="0"/>
        </w:rPr>
        <w:t xml:space="preserve">2.2. Требования к объемам и срокам выполнения работ</w:t>
        <w:tab/>
        <w:t xml:space="preserve">4</w:t>
      </w:r>
      <w:r>
        <w:fldChar w:fldCharType="end"/>
      </w:r>
      <w:r/>
    </w:p>
    <w:p>
      <w:pPr>
        <w:pStyle w:val="867"/>
        <w:pBdr/>
        <w:tabs>
          <w:tab w:val="clear" w:leader="none" w:pos="1100"/>
          <w:tab w:val="right" w:leader="dot" w:pos="10040"/>
          <w:tab w:val="clear" w:leader="none" w:pos="10053"/>
        </w:tabs>
        <w:spacing/>
        <w:ind/>
        <w:rPr/>
      </w:pPr>
      <w:r>
        <w:fldChar w:fldCharType="begin"/>
      </w:r>
      <w:r>
        <w:instrText xml:space="preserve"> HYPERLINK  \l "__RefHeading___Toc1508_1404068585"</w:instrText>
      </w:r>
      <w:r>
        <w:fldChar w:fldCharType="separate"/>
      </w:r>
      <w:r>
        <w:rPr>
          <w:vanish w:val="0"/>
        </w:rPr>
        <w:t xml:space="preserve">Таблица 2. Требования к качеству выполняемых работ</w:t>
        <w:tab/>
        <w:t xml:space="preserve">4</w:t>
      </w:r>
      <w:r>
        <w:fldChar w:fldCharType="end"/>
      </w:r>
      <w:r/>
    </w:p>
    <w:p>
      <w:pPr>
        <w:pStyle w:val="866"/>
        <w:pBdr/>
        <w:tabs>
          <w:tab w:val="right" w:leader="dot" w:pos="10053"/>
        </w:tabs>
        <w:spacing/>
        <w:ind/>
        <w:rPr>
          <w:rFonts w:cs="Times New Roman"/>
          <w:sz w:val="26"/>
          <w:szCs w:val="26"/>
        </w:rPr>
      </w:pPr>
      <w:r>
        <w:fldChar w:fldCharType="end"/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738"/>
        <w:numPr>
          <w:ilvl w:val="1"/>
          <w:numId w:val="1"/>
        </w:numPr>
        <w:pBdr/>
        <w:spacing/>
        <w:ind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736"/>
        <w:keepNext w:val="true"/>
        <w:keepLines w:val="true"/>
        <w:pBdr/>
        <w:spacing/>
        <w:ind/>
        <w:jc w:val="center"/>
        <w:rPr>
          <w:rFonts w:eastAsia="Calibri" w:cs="Times New Roman"/>
          <w:b/>
          <w:i/>
          <w:sz w:val="26"/>
          <w:szCs w:val="26"/>
        </w:rPr>
      </w:pPr>
      <w:r>
        <w:rPr>
          <w:rFonts w:eastAsia="Calibri" w:cs="Times New Roman"/>
          <w:b/>
          <w:i/>
          <w:sz w:val="26"/>
          <w:szCs w:val="26"/>
        </w:rPr>
      </w:r>
      <w:r>
        <w:rPr>
          <w:rFonts w:eastAsia="Calibri" w:cs="Times New Roman"/>
          <w:b/>
          <w:i/>
          <w:sz w:val="26"/>
          <w:szCs w:val="26"/>
        </w:rPr>
      </w:r>
    </w:p>
    <w:p>
      <w:pPr>
        <w:pStyle w:val="737"/>
        <w:pageBreakBefore w:val="true"/>
        <w:numPr>
          <w:ilvl w:val="0"/>
          <w:numId w:val="2"/>
        </w:numPr>
        <w:pBdr/>
        <w:spacing/>
        <w:ind w:right="0" w:hanging="340" w:left="3458"/>
        <w:rPr>
          <w:sz w:val="26"/>
          <w:szCs w:val="26"/>
        </w:rPr>
      </w:pPr>
      <w:r/>
      <w:bookmarkStart w:id="0" w:name="__RefHeading___Toc1490_1404068585"/>
      <w:r/>
      <w:bookmarkEnd w:id="0"/>
      <w:r>
        <w:rPr>
          <w:sz w:val="26"/>
          <w:szCs w:val="26"/>
        </w:rPr>
        <w:t xml:space="preserve">Общие сведения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40"/>
        <w:numPr>
          <w:ilvl w:val="1"/>
          <w:numId w:val="2"/>
        </w:numPr>
        <w:pBdr/>
        <w:spacing/>
        <w:ind/>
        <w:rPr>
          <w:color w:val="000000"/>
          <w:sz w:val="26"/>
          <w:szCs w:val="26"/>
        </w:rPr>
      </w:pPr>
      <w:r/>
      <w:bookmarkStart w:id="1" w:name="__RefHeading___Toc1492_1404068585"/>
      <w:r/>
      <w:bookmarkEnd w:id="1"/>
      <w:r>
        <w:rPr>
          <w:sz w:val="26"/>
          <w:szCs w:val="26"/>
        </w:rPr>
        <w:t xml:space="preserve">Наименование объекта, место выполнения работ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736"/>
        <w:pBdr/>
        <w:spacing/>
        <w:ind w:right="0" w:firstLine="709" w:left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Выполнение работ по техническому обслуживанию климатического оборудования в Центре обработки данных АО «Сахаэнерго»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40"/>
        <w:numPr>
          <w:ilvl w:val="1"/>
          <w:numId w:val="2"/>
        </w:numPr>
        <w:pBdr/>
        <w:spacing/>
        <w:ind/>
        <w:rPr>
          <w:color w:val="000000"/>
          <w:sz w:val="26"/>
          <w:szCs w:val="26"/>
        </w:rPr>
      </w:pPr>
      <w:r/>
      <w:bookmarkStart w:id="2" w:name="__RefHeading___Toc1494_1404068585"/>
      <w:r/>
      <w:bookmarkEnd w:id="2"/>
      <w:r>
        <w:rPr>
          <w:sz w:val="26"/>
          <w:szCs w:val="26"/>
        </w:rPr>
        <w:t xml:space="preserve">Цель использования закупаемой услуги.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736"/>
        <w:pBdr/>
        <w:spacing/>
        <w:ind w:right="0" w:firstLine="709" w:left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Обслуживанию и ремонт климатического оборудования в Центре обработки данных АО «Сахаэнерго»</w:t>
      </w:r>
      <w:r>
        <w:rPr>
          <w:sz w:val="26"/>
          <w:szCs w:val="26"/>
        </w:rPr>
        <w:t xml:space="preserve"> для поддержания в исправном работоспособном состоянии 2 прецизионных кондиционеров, находящихся в Центре обработки данных АО «Сахаэнерго»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pBdr/>
        <w:spacing/>
        <w:ind w:right="0"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40"/>
        <w:numPr>
          <w:ilvl w:val="3"/>
          <w:numId w:val="1"/>
        </w:numPr>
        <w:pBdr/>
        <w:spacing/>
        <w:ind w:right="0" w:firstLine="0" w:left="1225"/>
        <w:rPr>
          <w:sz w:val="26"/>
          <w:szCs w:val="26"/>
        </w:rPr>
      </w:pPr>
      <w:r/>
      <w:bookmarkStart w:id="3" w:name="__RefHeading___Toc1496_1404068585"/>
      <w:r/>
      <w:bookmarkEnd w:id="3"/>
      <w:r>
        <w:rPr>
          <w:sz w:val="26"/>
          <w:szCs w:val="26"/>
        </w:rPr>
        <w:t xml:space="preserve">1.3. </w:t>
      </w:r>
      <w:r>
        <w:rPr>
          <w:sz w:val="26"/>
          <w:szCs w:val="26"/>
          <w:lang w:val="ru-RU"/>
        </w:rPr>
        <w:t xml:space="preserve">Существующее положение.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pBdr/>
        <w:tabs>
          <w:tab w:val="left" w:leader="none" w:pos="426"/>
        </w:tabs>
        <w:spacing w:line="276" w:lineRule="auto"/>
        <w:ind w:right="0" w:firstLine="432" w:left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У Заказчика по адресу г. Якутск, переулок Энергетиков, 2 в Центре обработки данных (231 кабинет) имеются следующие кондиционеры: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36"/>
        <w:pBdr/>
        <w:spacing/>
        <w:ind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Таблица 1. Перечень оборудования Заказчика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0" w:type="auto"/>
        <w:tblInd w:w="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0"/>
        <w:gridCol w:w="4427"/>
        <w:gridCol w:w="1305"/>
        <w:gridCol w:w="367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736"/>
              <w:widowControl w:val="false"/>
              <w:pBdr/>
              <w:spacing/>
              <w:ind/>
              <w:rPr/>
            </w:pPr>
            <w:r>
              <w:rPr>
                <w:b/>
                <w:bCs/>
                <w:sz w:val="26"/>
                <w:szCs w:val="26"/>
              </w:rP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объекта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736"/>
              <w:widowControl w:val="false"/>
              <w:pBdr/>
              <w:spacing/>
              <w:ind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 xml:space="preserve">Кол, шт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 xml:space="preserve">Расположение объекта</w:t>
            </w:r>
            <w:r/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sz w:val="26"/>
                <w:szCs w:val="26"/>
              </w:rPr>
              <w:t xml:space="preserve">3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sz w:val="26"/>
                <w:szCs w:val="26"/>
              </w:rPr>
              <w:t xml:space="preserve">4</w:t>
            </w:r>
            <w:r/>
          </w:p>
        </w:tc>
      </w:tr>
      <w:tr>
        <w:trPr>
          <w:trHeight w:val="140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869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rPr/>
            </w:pPr>
            <w:r>
              <w:rPr>
                <w:bCs/>
                <w:sz w:val="26"/>
                <w:szCs w:val="26"/>
              </w:rPr>
              <w:t xml:space="preserve">ПК UNIFLAIR SDAC0601A (кондиционер прецизионный летний)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iCs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5" w:type="dxa"/>
            <w:vAlign w:val="center"/>
            <w:vMerge w:val="restart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iCs/>
                <w:sz w:val="26"/>
                <w:szCs w:val="26"/>
              </w:rPr>
              <w:t xml:space="preserve">г. Якутск, переулок Энергетиков 2, 231 кабинет</w:t>
            </w:r>
            <w:r/>
          </w:p>
        </w:tc>
      </w:tr>
      <w:tr>
        <w:trPr>
          <w:trHeight w:val="103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869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ПК UNIFLAIR </w:t>
            </w:r>
            <w:r>
              <w:rPr>
                <w:bCs/>
                <w:sz w:val="26"/>
                <w:szCs w:val="26"/>
                <w:lang w:val="en-US"/>
              </w:rPr>
              <w:t xml:space="preserve">SDAC</w:t>
            </w:r>
            <w:r>
              <w:rPr>
                <w:bCs/>
                <w:sz w:val="26"/>
                <w:szCs w:val="26"/>
              </w:rPr>
              <w:t xml:space="preserve">0601</w:t>
            </w:r>
            <w:r>
              <w:rPr>
                <w:bCs/>
                <w:sz w:val="26"/>
                <w:szCs w:val="26"/>
                <w:lang w:val="en-US"/>
              </w:rPr>
              <w:t xml:space="preserve">A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736"/>
              <w:widowControl w:val="false"/>
              <w:pBdr/>
              <w:spacing/>
              <w:ind/>
              <w:rPr/>
            </w:pPr>
            <w:r>
              <w:rPr>
                <w:bCs/>
                <w:sz w:val="26"/>
                <w:szCs w:val="26"/>
              </w:rPr>
              <w:t xml:space="preserve">(кондиционер прецизионный зимний)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iCs/>
                <w:sz w:val="26"/>
                <w:szCs w:val="26"/>
              </w:rP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5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>
          <w:trHeight w:val="103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869"/>
              <w:widowControl w:val="false"/>
              <w:numPr>
                <w:ilvl w:val="0"/>
                <w:numId w:val="4"/>
              </w:numPr>
              <w:pBdr/>
              <w:spacing/>
              <w: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882"/>
              <w:widowControl w:val="false"/>
              <w:pBdr/>
              <w:spacing w:line="20" w:lineRule="atLeast"/>
              <w:ind/>
              <w:jc w:val="both"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XIGMA XG-TXC50RHA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305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jc w:val="center"/>
              <w:rPr/>
            </w:pPr>
            <w:r>
              <w:rPr>
                <w:iCs/>
                <w:sz w:val="26"/>
                <w:szCs w:val="26"/>
              </w:rPr>
              <w:t xml:space="preserve">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5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/>
              <w: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737"/>
        <w:numPr>
          <w:ilvl w:val="0"/>
          <w:numId w:val="2"/>
        </w:numPr>
        <w:pBdr/>
        <w:spacing/>
        <w:ind w:right="0" w:hanging="340" w:left="3458"/>
        <w:rPr>
          <w:sz w:val="26"/>
          <w:szCs w:val="26"/>
        </w:rPr>
      </w:pPr>
      <w:r/>
      <w:bookmarkStart w:id="4" w:name="__RefHeading___Toc1498_1404068585"/>
      <w:r/>
      <w:bookmarkEnd w:id="4"/>
      <w:r>
        <w:rPr>
          <w:sz w:val="26"/>
          <w:szCs w:val="26"/>
        </w:rPr>
        <w:t xml:space="preserve">Требования заказчика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9"/>
        <w:numPr>
          <w:ilvl w:val="1"/>
          <w:numId w:val="2"/>
        </w:numPr>
        <w:pBdr/>
        <w:spacing/>
        <w:ind/>
        <w:rPr>
          <w:sz w:val="26"/>
          <w:szCs w:val="26"/>
        </w:rPr>
      </w:pPr>
      <w:r/>
      <w:bookmarkStart w:id="5" w:name="__RefHeading___Toc1500_1404068585"/>
      <w:r/>
      <w:bookmarkEnd w:id="5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 xml:space="preserve">выполнения работ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9"/>
        <w:numPr>
          <w:ilvl w:val="2"/>
          <w:numId w:val="2"/>
        </w:numPr>
        <w:pBdr/>
        <w:spacing/>
        <w:ind/>
        <w:rPr>
          <w:sz w:val="26"/>
          <w:szCs w:val="26"/>
          <w:lang w:eastAsia="en-US"/>
        </w:rPr>
      </w:pPr>
      <w:r/>
      <w:bookmarkStart w:id="6" w:name="__RefHeading___Toc1502_1404068585"/>
      <w:r/>
      <w:bookmarkEnd w:id="6"/>
      <w:r>
        <w:rPr>
          <w:sz w:val="26"/>
          <w:szCs w:val="26"/>
        </w:rPr>
        <w:t xml:space="preserve">Перечень и объем выполняемых работ</w: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736"/>
        <w:pBdr/>
        <w:spacing/>
        <w:ind w:right="0" w:firstLine="426" w:left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Исполнитель на территории Заказчика обязуется производить следующие виды работ:</w: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869"/>
        <w:numPr>
          <w:ilvl w:val="0"/>
          <w:numId w:val="5"/>
        </w:numPr>
        <w:pBdr/>
        <w:spacing/>
        <w:ind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Регламентированное техническое обслуживание прецизионных кондиционеров.</w: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869"/>
        <w:numPr>
          <w:ilvl w:val="0"/>
          <w:numId w:val="5"/>
        </w:numPr>
        <w:pBdr/>
        <w:spacing/>
        <w:ind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Текущий ремонт прецизионных кондиционеров.</w: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869"/>
        <w:numPr>
          <w:ilvl w:val="0"/>
          <w:numId w:val="5"/>
        </w:numPr>
        <w:pBdr/>
        <w:spacing/>
        <w:ind/>
        <w:jc w:val="both"/>
        <w:rPr>
          <w:sz w:val="26"/>
          <w:szCs w:val="26"/>
        </w:rPr>
        <w:sectPr>
          <w:headerReference w:type="default" r:id="rId11"/>
          <w:headerReference w:type="even" r:id="rId12"/>
          <w:headerReference w:type="first" r:id="rId13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h="16838" w:orient="portrait" w:w="11906"/>
          <w:pgMar w:top="1134" w:right="732" w:bottom="992" w:left="1134" w:header="680" w:footer="709" w:gutter="0"/>
          <w:pgNumType w:fmt="none"/>
          <w:cols w:num="1" w:sep="0" w:space="1701" w:equalWidth="1"/>
        </w:sectPr>
      </w:pPr>
      <w:r>
        <w:rPr>
          <w:sz w:val="26"/>
          <w:szCs w:val="26"/>
          <w:lang w:eastAsia="en-US"/>
        </w:rPr>
        <w:t xml:space="preserve">Введение документации после выполнения работ.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9"/>
        <w:numPr>
          <w:ilvl w:val="1"/>
          <w:numId w:val="2"/>
        </w:numPr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 xml:space="preserve">выполнения работ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9"/>
        <w:numPr>
          <w:ilvl w:val="2"/>
          <w:numId w:val="1"/>
        </w:numPr>
        <w:pBdr/>
        <w:spacing/>
        <w:ind w:right="0" w:hanging="505" w:left="1225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Таблица 2. Требования к качеству</w:t>
      </w:r>
      <w:r>
        <w:rPr>
          <w:sz w:val="26"/>
          <w:szCs w:val="26"/>
        </w:rPr>
        <w:t xml:space="preserve"> выполняемых работ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6"/>
        <w:pBdr/>
        <w:spacing/>
        <w:ind/>
        <w:rPr>
          <w:b/>
          <w:bCs/>
          <w:color w:val="000000"/>
          <w:sz w:val="24"/>
          <w:szCs w:val="24"/>
          <w:lang w:val="ru-RU" w:bidi="ar-SA"/>
        </w:rPr>
      </w:pPr>
      <w:r>
        <w:rPr>
          <w:b/>
          <w:bCs/>
          <w:sz w:val="26"/>
          <w:szCs w:val="26"/>
        </w:rPr>
        <w:t xml:space="preserve">Наименование выполняемых работ: Обслуживание климатического оборудования</w:t>
      </w:r>
      <w:r>
        <w:rPr>
          <w:b/>
          <w:bCs/>
          <w:color w:val="000000"/>
          <w:sz w:val="24"/>
          <w:szCs w:val="24"/>
          <w:lang w:val="ru-RU" w:bidi="ar-SA"/>
        </w:rPr>
      </w:r>
      <w:r>
        <w:rPr>
          <w:b/>
          <w:bCs/>
          <w:color w:val="000000"/>
          <w:sz w:val="24"/>
          <w:szCs w:val="24"/>
          <w:lang w:val="ru-RU" w:bidi="ar-SA"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5837"/>
        <w:gridCol w:w="2099"/>
        <w:gridCol w:w="1983"/>
        <w:gridCol w:w="426"/>
        <w:gridCol w:w="127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center"/>
            <w:vMerge w:val="restart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Требование заказчика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82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vMerge w:val="restart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</w:r>
            <w:r>
              <w:rPr>
                <w:b/>
                <w:bCs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</w:r>
            <w:r>
              <w:rPr>
                <w:b/>
                <w:bCs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</w:r>
            <w:r>
              <w:rPr>
                <w:b/>
                <w:bCs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vMerge w:val="continue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</w:r>
            <w:r>
              <w:rPr>
                <w:b/>
                <w:bCs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lang w:val="ru-RU" w:bidi="ar-SA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numPr>
                <w:ilvl w:val="0"/>
                <w:numId w:val="3"/>
              </w:numPr>
              <w:pBdr/>
              <w:spacing w:after="60" w:before="60"/>
              <w:ind/>
              <w:contextualSpacing w:val="true"/>
              <w:jc w:val="left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</w:r>
            <w:r>
              <w:rPr>
                <w:lang w:val="ru-RU" w:eastAsia="en-US" w:bidi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6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к выполняемым работам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bCs/>
                <w:color w:val="000000"/>
                <w:lang w:val="ru-RU" w:bidi="ar-SA"/>
              </w:rPr>
              <w:t xml:space="preserve">1.1.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Общие требования к оказанию услуг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1.1. Под техническим обслуживанием оборудования понимается поддержание в исправном работоспособном состоянии кондиционеров, как единых технических комплексов, с техническими и функциональными характеристиками, соответствующими технической документации.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1.2. Под текущим ремонтом понимается приведение оборудования Заказчика в технически исправное и работоспособное состояние после выхода его из строя.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1.3. В связи с сезоном тополиного пуха в июне-июле месяце должно проводится дополнительная чистка внешнего блока летнего кондиционера.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1.4. При оказании услуг Исполнитель применяет собственный инструмент, материалы, механизмы, транспорт, находящийся в исправном состоянии и прошедший необходимую поверку, техобслуживание и пр.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1.5 Применяемые в 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де оказания услуг расходные материалы и запасные части должны отвечать ГОСТам и стандартам, предъявляемым законодательством РФ к товарам данного рода, сопровождаться документами, подтверждающими качественные характеристики продукции (сертификаты качества).</w:t>
            </w: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hd w:val="clear" w:color="auto" w:fill="ffffff"/>
              <w:spacing w:after="0" w:before="0"/>
              <w:ind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  <w:t xml:space="preserve">Техническое обслуживание кондиционеров (периодичность) включает в себя: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Визуальный осмотр внешнего и внутреннего состояния кондиционеров(ежемесячно)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механических соединений всех блоков и узлов 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электрических соединений всех блоков и узлов 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состояния плат и прочих компонентов 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Чистка декоративной панели внутреннего блока (не менее 2 раз в год)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чистка системы слива конденсата(не менее 2 раз в год)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Чистка вентилятора и проверка балансировки рабочего колеса вентилятора внутреннего и наружного блоков (не менее 2 раз в год 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и чистка при необходимости оребрения испарителя внутреннего блока(проверка ежемесячно, чистка не менее 2 раз в год)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и чистка оребрения конденсатора наружного блока (проверка ежемесячно, чистка при необходимости, но не менее 2 раз в год, обязательная чистка во время сезона тополиного пуха с 20 июня до 10 июля)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подшипников вентилятора внутреннего и наружного блоков и замена при необходимости (проверка не реже 2 раз в год)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работы электронной системы управления и режимов работы кондиционера(ежемесячно)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чистка и замена воздушных фильтров внутреннего блока(чистка не менее 4 раза в год, замена не менее 1 раз в год)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Контроль эффективности работы испарителя по перепаду температур входящего и выходящего воздуха.(ежемесячно)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Замер пускового и рабочего токов компрессора( 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давления хладагента в контуре(ежемесячно)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Обнаружение и устранения мест утечек хладагента.(ежемесячно)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Дозаправка контура фреоном и маслом (по мере необходимости)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надежности крепления внутреннего и наружного блоков(ежемесячно)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Проверка элементов питания пульта дистанционного управления.(ежемесячно)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color w:val="000000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Измерение температуры подачи холодного воздуха(ежемесячно)</w:t>
            </w:r>
            <w:r>
              <w:rPr>
                <w:rFonts w:eastAsia="SimSun"/>
                <w:color w:val="000000"/>
                <w:lang w:val="ru-RU" w:bidi="ar-SA"/>
              </w:rPr>
            </w:r>
            <w:r>
              <w:rPr>
                <w:rFonts w:eastAsia="SimSun"/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spacing w:after="0" w:before="0"/>
              <w:ind/>
              <w:contextualSpacing w:val="true"/>
              <w:jc w:val="both"/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eastAsia="SimSun"/>
                <w:color w:val="000000"/>
                <w:lang w:val="ru-RU" w:bidi="ar-SA"/>
              </w:rPr>
              <w:t xml:space="preserve">Измерение параметров фреонового контура(ежемесячно)</w:t>
            </w: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hd w:val="clear" w:color="auto" w:fill="ffffff"/>
              <w:spacing w:after="0" w:before="0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eastAsia="SimSun"/>
                <w:b/>
                <w:color w:val="000000"/>
                <w:sz w:val="24"/>
                <w:szCs w:val="24"/>
                <w:lang w:val="ru-RU" w:bidi="ar-SA"/>
              </w:rPr>
              <w:t xml:space="preserve">Текущий ремонт прецизионных кондиционеров</w:t>
            </w:r>
            <w:r>
              <w:rPr>
                <w:rFonts w:eastAsia="SimSun"/>
                <w:color w:val="000000"/>
                <w:sz w:val="24"/>
                <w:szCs w:val="24"/>
                <w:lang w:val="ru-RU" w:bidi="ar-SA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1"/>
                <w:numId w:val="8"/>
              </w:numPr>
              <w:pBdr/>
              <w:shd w:val="clear" w:color="auto" w:fill="auto"/>
              <w:tabs>
                <w:tab w:val="left" w:leader="none" w:pos="460"/>
              </w:tabs>
              <w:spacing w:after="0" w:before="0"/>
              <w:ind w:right="0" w:firstLine="107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Исполнитель обязан обеспечить приезд специалиста в течение 1го рабочего дня после получения заявки от представителя Заказчика для проведения диагностики и ремонта.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1"/>
                <w:numId w:val="8"/>
              </w:numPr>
              <w:pBdr/>
              <w:shd w:val="clear" w:color="auto" w:fill="auto"/>
              <w:tabs>
                <w:tab w:val="left" w:leader="none" w:pos="460"/>
              </w:tabs>
              <w:spacing w:after="0" w:before="0"/>
              <w:ind w:right="0" w:firstLine="107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Заявки направляются по эл. почте Исполнителя, по адресу: _________. Исполнитель в течение 2-х часов (в рабочее время) должен отправить в адрес Заказчика подтверждение о получение заявки ответным письмом.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1"/>
                <w:numId w:val="8"/>
              </w:numPr>
              <w:pBdr/>
              <w:shd w:val="clear" w:color="auto" w:fill="auto"/>
              <w:tabs>
                <w:tab w:val="left" w:leader="none" w:pos="460"/>
              </w:tabs>
              <w:spacing w:after="0" w:before="0"/>
              <w:ind w:right="0" w:firstLine="107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Время восстановления работоспособности прецизионных кондиционеров (включая время на диагностику):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6"/>
              </w:numPr>
              <w:pBdr/>
              <w:shd w:val="clear" w:color="auto" w:fill="auto"/>
              <w:spacing w:after="0" w:before="0"/>
              <w:ind w:right="0" w:hanging="170" w:left="73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При критическом инциденте(прецизионный кондиционер не работоспособен): в течении 2-х календарных дней.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6"/>
              </w:numPr>
              <w:pBdr/>
              <w:shd w:val="clear" w:color="auto" w:fill="auto"/>
              <w:spacing w:after="0" w:before="0"/>
              <w:ind w:right="0" w:hanging="170" w:left="73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При некритическом инциденте(прецизионный кондиционер функционирует с ошибкой): в течении 30 календарных дней.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1"/>
              <w:widowControl w:val="false"/>
              <w:pBdr/>
              <w:shd w:val="clear" w:color="auto" w:fill="auto"/>
              <w:spacing w:after="0" w:before="0" w:line="274" w:lineRule="exact"/>
              <w:ind w:right="0" w:firstLine="0" w:left="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Ведение документации: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По окончании работ по техническому обслуживанию/ремонту Исполнителем заполняется Отчет о проведении технического обслуживания/ремонта, в котором содержатся: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7"/>
              </w:numPr>
              <w:pBdr/>
              <w:shd w:val="clear" w:color="auto" w:fill="auto"/>
              <w:tabs>
                <w:tab w:val="left" w:leader="none" w:pos="176"/>
              </w:tabs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результаты проведенных работ,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7"/>
              </w:numPr>
              <w:pBdr/>
              <w:shd w:val="clear" w:color="auto" w:fill="auto"/>
              <w:tabs>
                <w:tab w:val="left" w:leader="none" w:pos="176"/>
              </w:tabs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проведенные измерения характеристик системы кондиционирования(пусковые и рабочие токи компрессора, давления хладагента, температуры)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7"/>
              </w:numPr>
              <w:pBdr/>
              <w:shd w:val="clear" w:color="auto" w:fill="auto"/>
              <w:tabs>
                <w:tab w:val="left" w:leader="none" w:pos="176"/>
              </w:tabs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сделанные изменения конфигурации кондиционеров (было/стало),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7"/>
              </w:numPr>
              <w:pBdr/>
              <w:shd w:val="clear" w:color="auto" w:fill="auto"/>
              <w:tabs>
                <w:tab w:val="left" w:leader="none" w:pos="176"/>
              </w:tabs>
              <w:spacing w:after="0" w:before="0"/>
              <w:ind w:right="0" w:firstLine="0" w:lef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информация об обнаруженных неисправностях, требующих проведения работ, не предусмотренных настоящим Договором,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0"/>
                <w:numId w:val="7"/>
              </w:numPr>
              <w:pBdr/>
              <w:shd w:val="clear" w:color="auto" w:fill="auto"/>
              <w:tabs>
                <w:tab w:val="left" w:leader="none" w:pos="176"/>
              </w:tabs>
              <w:spacing w:after="0" w:before="0"/>
              <w:ind w:right="0" w:firstLine="0" w:left="-107"/>
              <w:rPr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рекомендации по дальнейшему использованию и ремонту оборудования.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bCs/>
                <w:color w:val="000000"/>
                <w:lang w:val="ru-RU" w:bidi="ar-SA"/>
              </w:rPr>
              <w:t xml:space="preserve">1.2.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Место оказания услуг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80"/>
              <w:widowControl w:val="false"/>
              <w:pBdr/>
              <w:shd w:val="clear" w:color="auto" w:fill="auto"/>
              <w:spacing w:after="0" w:before="0"/>
              <w:ind w:right="0" w:firstLine="0" w:left="-107"/>
              <w:rPr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Оказание услуг осуществляется на территории АО «Сахаэнерго» сертифицированными инженерами по адресу г. Якутск, пер. Энергетиков, 2.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color w:val="000000"/>
                <w:lang w:val="ru-RU" w:bidi="ar-SA"/>
              </w:rPr>
              <w:t xml:space="preserve">1.5.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к оплате работ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1. Стоимость максимальная Договора за 12 месяцев обслуживания 456 000,00 руб. без НДС.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2. Срок оказания услуг: Ежемесячно, в течение  12 месяцев начиная с даты подписания договора.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2. Оплата по настоящему Договору осуществляется: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-для договоров с СМП в течение 7 (семи) рабочих дней с даты подписания акта оказания услуг, на основании счета, выставленного Исполнителем.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60" w:before="6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-для остальных Исполнителей договоров в течение 20(двадцати) календарных дней с даты подписания акта выполненных работ, на основании счета, выставленного Исполнителем.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color w:val="000000"/>
                <w:lang w:val="ru-RU" w:bidi="ar-SA"/>
              </w:rPr>
              <w:t xml:space="preserve">1.6.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по сроку выполнения работ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869"/>
              <w:widowControl w:val="false"/>
              <w:numPr>
                <w:ilvl w:val="2"/>
                <w:numId w:val="8"/>
              </w:numPr>
              <w:pBdr/>
              <w:tabs>
                <w:tab w:val="left" w:leader="none" w:pos="426"/>
              </w:tabs>
              <w:spacing w:after="0" w:before="0"/>
              <w:ind w:right="0" w:firstLine="4" w:left="35"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>
              <w:rPr>
                <w:color w:val="000000"/>
                <w:lang w:val="ru-RU" w:eastAsia="en-US" w:bidi="ar-SA"/>
              </w:rPr>
              <w:t xml:space="preserve">Техническое обслуживание должно проводится согласно периодичности, указанное в пункте 1.1 Таблицы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</w:r>
          </w:p>
          <w:p>
            <w:pPr>
              <w:pStyle w:val="880"/>
              <w:widowControl w:val="false"/>
              <w:numPr>
                <w:ilvl w:val="2"/>
                <w:numId w:val="8"/>
              </w:numPr>
              <w:pBdr/>
              <w:shd w:val="clear" w:color="auto" w:fill="auto"/>
              <w:tabs>
                <w:tab w:val="left" w:leader="none" w:pos="460"/>
              </w:tabs>
              <w:spacing w:after="0" w:before="0"/>
              <w:ind w:right="0" w:firstLine="4" w:left="35"/>
              <w:rPr>
                <w:color w:val="000000"/>
                <w:lang w:val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Ремонтные работы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ru-RU"/>
              </w:rPr>
              <w:t xml:space="preserve">Оборудования проводятся- при возникновении неполадок (по мере возникновения необходимости).</w:t>
            </w:r>
            <w:r>
              <w:rPr>
                <w:color w:val="000000"/>
                <w:lang w:val="ru-RU" w:bidi="ru-RU"/>
              </w:rPr>
            </w:r>
            <w:r>
              <w:rPr>
                <w:color w:val="000000"/>
                <w:lang w:val="ru-RU" w:bidi="ru-RU"/>
              </w:rPr>
            </w:r>
          </w:p>
          <w:p>
            <w:pPr>
              <w:pStyle w:val="869"/>
              <w:widowControl w:val="false"/>
              <w:numPr>
                <w:ilvl w:val="2"/>
                <w:numId w:val="8"/>
              </w:numPr>
              <w:pBdr/>
              <w:spacing w:after="0" w:before="0"/>
              <w:ind w:right="0" w:firstLine="4" w:left="35"/>
              <w:contextualSpacing w:val="true"/>
              <w:jc w:val="both"/>
              <w:rPr/>
            </w:pPr>
            <w:r>
              <w:rPr>
                <w:color w:val="000000"/>
                <w:lang w:val="ru-RU" w:bidi="ru-RU"/>
              </w:rPr>
              <w:t xml:space="preserve">По окончании работ по техническому обслуживанию/ремонту Исполнителем заполняется Отчет о проведении технического обслуживания/ремонта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color w:val="000000"/>
                <w:lang w:val="ru-RU" w:bidi="ar-SA"/>
              </w:rPr>
              <w:t xml:space="preserve">1.7.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к выполняемым работам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1.</w:t>
              <w:tab/>
              <w:t xml:space="preserve">Участник гарантирует качество выполненных работ и используемых расходных материалов.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2. При выполнении работ по техническому обслуживанию\ремонту кондиционеров Исполнитель должен менять за свой счёт расходные материалы: все фильтра, трубк</w:t>
            </w:r>
            <w:r>
              <w:rPr>
                <w:color w:val="000000"/>
                <w:sz w:val="24"/>
                <w:szCs w:val="24"/>
                <w:lang w:val="ru-RU" w:bidi="ar-SA"/>
              </w:rPr>
              <w:t xml:space="preserve">и, подшипники, провода, предохранители, масла, хладагент и т.д.. Заказчик за свой счет приобретает узлы и агрегаты оборудования: компрессоры, вентиляторы и т.д. Исполнитель должен предоставить точное название, артикул, вышедшего из строя узла или агрегата.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bidi="ar-SA"/>
              </w:rPr>
              <w:t xml:space="preserve">3.Участник выполняет свои обязательства лично.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color w:val="000000"/>
                <w:lang w:val="ru-RU" w:bidi="ar-SA"/>
              </w:rPr>
              <w:t xml:space="preserve">1.8.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к гарантии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1. Участник предоставляет гарантийный срок на замененные комплектующие и на выполненные работы в течении 6 месяцев после выполнения работ.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25"/>
              <w:contextualSpacing w:val="true"/>
              <w:jc w:val="left"/>
              <w:rPr/>
            </w:pPr>
            <w:r>
              <w:rPr>
                <w:b/>
                <w:color w:val="000000"/>
                <w:lang w:val="ru-RU" w:bidi="ar-SA"/>
              </w:rPr>
              <w:t xml:space="preserve">1.9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Требование к безопасности по выполнению работ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both"/>
              <w:rPr>
                <w:color w:val="000000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1. Выполняемые работы должны отвечать требованиям безопасности для жизни и здоровья людей. Используемые материалы не должны содер</w:t>
            </w:r>
            <w:r>
              <w:rPr>
                <w:color w:val="000000"/>
                <w:sz w:val="24"/>
                <w:szCs w:val="24"/>
                <w:lang w:val="ru-RU" w:bidi="ar-SA"/>
              </w:rPr>
              <w:t xml:space="preserve">жать ядовитых (токсичных) компонентов, должны соответствовать установленным санитарным нормам и правилам Российской Федерации, государственным стандартам или техническим условиям, должны быть разрешены к применению и иметь необходимые сертификаты качества.</w:t>
            </w:r>
            <w:r>
              <w:rPr>
                <w:color w:val="000000"/>
                <w:lang w:val="ru-RU" w:bidi="ar-SA"/>
              </w:rPr>
            </w:r>
            <w:r>
              <w:rPr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3"/>
              </w:numPr>
              <w:pBdr/>
              <w:tabs>
                <w:tab w:val="left" w:leader="none" w:pos="426"/>
              </w:tabs>
              <w:spacing w:after="0" w:before="60"/>
              <w:ind w:right="0" w:hanging="360" w:left="0"/>
              <w:contextualSpacing w:val="true"/>
              <w:jc w:val="both"/>
              <w:rPr>
                <w:color w:val="000000"/>
                <w:lang w:val="ru-RU" w:bidi="ar-SA"/>
              </w:rPr>
            </w:pPr>
            <w:r>
              <w:rPr>
                <w:color w:val="000000"/>
                <w:lang w:val="ru-RU" w:bidi="ar-SA"/>
              </w:rPr>
              <w:t xml:space="preserve">2.Работы должны выполняться в соответствии с действующим законодательством Российской Федерации с обязательным выполнением норм и правил охраны труда, пожарной безопасности и техники безопасности, производственной санитарии.</w:t>
            </w:r>
            <w:r>
              <w:rPr>
                <w:color w:val="000000"/>
                <w:lang w:val="ru-RU" w:bidi="ar-SA"/>
              </w:rPr>
            </w:r>
            <w:r>
              <w:rPr>
                <w:color w:val="000000"/>
                <w:lang w:val="ru-RU" w:bidi="ar-SA"/>
              </w:rPr>
            </w:r>
          </w:p>
          <w:p>
            <w:pPr>
              <w:pStyle w:val="869"/>
              <w:widowControl w:val="false"/>
              <w:numPr>
                <w:ilvl w:val="0"/>
                <w:numId w:val="3"/>
              </w:numPr>
              <w:pBdr/>
              <w:tabs>
                <w:tab w:val="left" w:leader="none" w:pos="426"/>
              </w:tabs>
              <w:spacing w:after="0" w:before="60"/>
              <w:ind w:right="0" w:hanging="360" w:left="0"/>
              <w:contextualSpacing w:val="true"/>
              <w:jc w:val="both"/>
              <w:rPr/>
            </w:pPr>
            <w:r>
              <w:rPr>
                <w:color w:val="000000"/>
                <w:lang w:val="ru-RU" w:bidi="ar-SA"/>
              </w:rPr>
              <w:t xml:space="preserve">3. Подрядчик обеспечивает персонал спецодеждой и средствами индивидуальной защиты, согласно требований ТБ и установленных норм и правил.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60" w:before="60"/>
              <w:ind/>
              <w:jc w:val="left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6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both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Дополнительные к установленным в документации о закупке требования к участникам. Перечень документов, подтверждающих соответствие Участника закупки установленным дополнительным требованиям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keepNext w:val="true"/>
              <w:widowControl w:val="false"/>
              <w:pBdr/>
              <w:spacing w:after="60" w:before="60"/>
              <w:ind/>
              <w:jc w:val="center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5"/>
              <w:contextualSpacing w:val="true"/>
              <w:jc w:val="both"/>
              <w:rPr/>
            </w:pPr>
            <w:r>
              <w:rPr>
                <w:b/>
                <w:color w:val="000000"/>
                <w:lang w:val="ru-RU" w:bidi="ar-SA"/>
              </w:rPr>
              <w:t xml:space="preserve">2.1.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Требования к Участникам закупочных процедур в части ценообразования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709"/>
              </w:tabs>
              <w:spacing w:after="0" w:before="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Для обоснования стоимости заявки Участник должен представить Коммерческое предложение в форме, приведенной в Документации о закупке.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5"/>
              <w:contextualSpacing w:val="true"/>
              <w:jc w:val="both"/>
              <w:rPr/>
            </w:pPr>
            <w:r>
              <w:rPr>
                <w:b/>
                <w:color w:val="000000"/>
                <w:lang w:val="ru-RU" w:bidi="ar-SA"/>
              </w:rPr>
              <w:t xml:space="preserve">2.2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Квалификация персонала исполнения</w:t>
            </w:r>
            <w:r>
              <w:rPr>
                <w:b/>
                <w:color w:val="000000"/>
                <w:sz w:val="24"/>
                <w:szCs w:val="24"/>
                <w:lang w:val="ru-RU" w:bidi="ar-SA"/>
              </w:rPr>
            </w:r>
            <w:r>
              <w:rPr>
                <w:b/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привлекаемого к выполнению работ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Для обслуживания\ремонта кондиционера , Исполнитель должен привлекать персонал со следующими удостоверениями: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bidi="ar-SA"/>
              </w:rPr>
              <w:t xml:space="preserve">- не менее 2 группы по электробезопасности до 1000 В.</w:t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  <w:p>
            <w:pPr>
              <w:pStyle w:val="73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bidi="ar-SA"/>
              </w:rPr>
              <w:t xml:space="preserve">- не менее 2 группы по безопасности работ на высоте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Предоставление копий удостоверений персонала Исполнителя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69"/>
              <w:widowControl w:val="false"/>
              <w:pBdr/>
              <w:spacing w:after="60" w:before="60"/>
              <w:ind w:right="0" w:firstLine="0" w:left="5"/>
              <w:contextualSpacing w:val="true"/>
              <w:jc w:val="both"/>
              <w:rPr/>
            </w:pPr>
            <w:r>
              <w:rPr>
                <w:b/>
                <w:color w:val="000000"/>
                <w:lang w:val="ru-RU" w:bidi="ar-SA"/>
              </w:rP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/>
            </w:pPr>
            <w:r>
              <w:rPr>
                <w:b/>
                <w:color w:val="000000"/>
                <w:sz w:val="24"/>
                <w:szCs w:val="24"/>
                <w:lang w:val="ru-RU" w:bidi="ar-SA"/>
              </w:rPr>
              <w:t xml:space="preserve">Подрядчик предоставляет согласие на обработку персональных данных.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7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color w:val="000000"/>
                <w:sz w:val="24"/>
                <w:szCs w:val="24"/>
                <w:lang w:val="ru-RU" w:bidi="ar-SA"/>
              </w:rPr>
              <w:t xml:space="preserve">Согласие на обработку персональных данных — это письменное разрешение гражданина Российской Федерации, которое он даёт заинтересованной стороне на получение, сбор, хранение и использование персональных сведений о себе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/>
            </w:pPr>
            <w:r>
              <w:rPr>
                <w:bCs/>
                <w:color w:val="000000"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tabs>
                <w:tab w:val="left" w:leader="none" w:pos="426"/>
              </w:tabs>
              <w:spacing w:after="0" w:before="60"/>
              <w:ind/>
              <w:jc w:val="left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8" w:type="dxa"/>
            <w:vAlign w:val="top"/>
            <w:textDirection w:val="lrTb"/>
            <w:noWrap w:val="false"/>
          </w:tcPr>
          <w:p>
            <w:pPr>
              <w:pStyle w:val="736"/>
              <w:widowControl w:val="false"/>
              <w:pBdr/>
              <w:spacing w:after="0" w:before="0"/>
              <w:ind/>
              <w:jc w:val="left"/>
              <w:rPr>
                <w:color w:val="000000"/>
                <w:sz w:val="24"/>
                <w:szCs w:val="24"/>
                <w:lang w:val="ru-RU" w:bidi="ar-SA"/>
              </w:rPr>
            </w:pPr>
            <w:r>
              <w:rPr>
                <w:color w:val="000000"/>
                <w:sz w:val="24"/>
                <w:szCs w:val="24"/>
                <w:lang w:val="ru-RU" w:bidi="ar-SA"/>
              </w:rPr>
            </w:r>
            <w:r>
              <w:rPr>
                <w:color w:val="000000"/>
                <w:sz w:val="24"/>
                <w:szCs w:val="24"/>
                <w:lang w:val="ru-RU" w:bidi="ar-SA"/>
              </w:rPr>
            </w:r>
          </w:p>
        </w:tc>
      </w:tr>
    </w:tbl>
    <w:sectPr>
      <w:headerReference w:type="default" r:id="rId14"/>
      <w:headerReference w:type="even" r:id="rId15"/>
      <w:headerReference w:type="first" r:id="rId16"/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1134" w:right="1134" w:bottom="709" w:left="992" w:header="680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 Light (Заголовки)">
    <w:panose1 w:val="020F0502020204030204"/>
  </w:font>
  <w:font w:name="Liberation Sans">
    <w:panose1 w:val="020B0604020202020204"/>
  </w:font>
  <w:font w:name="Tahoma">
    <w:panose1 w:val="020B0604030504040204"/>
  </w:font>
  <w:font w:name="Lohit Devanagari">
    <w:panose1 w:val="020B0600000000000000"/>
  </w:font>
  <w:font w:name="OpenSymbol">
    <w:panose1 w:val="05010000000000000000"/>
  </w:font>
  <w:font w:name="Symbol">
    <w:panose1 w:val="05010000000000000000"/>
  </w:font>
  <w:font w:name="SimSun">
    <w:panose1 w:val="02000603000000000000"/>
  </w:font>
  <w:font w:name="font">
    <w:panose1 w:val="05040102010807070707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9</w:t>
    </w:r>
    <w:r>
      <w:fldChar w:fldCharType="end"/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/>
      <w:spacing/>
      <w:ind/>
      <w:rPr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37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38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39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40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41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742"/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546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95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11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183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5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2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39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7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4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155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1003"/>
        </w:tabs>
        <w:spacing/>
        <w:ind w:hanging="360" w:left="1003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363"/>
        </w:tabs>
        <w:spacing/>
        <w:ind w:hanging="360" w:left="1363"/>
      </w:pPr>
      <w:rPr>
        <w:rFonts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723"/>
        </w:tabs>
        <w:spacing/>
        <w:ind w:hanging="360" w:left="1723"/>
      </w:pPr>
      <w:rPr>
        <w:rFonts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083"/>
        </w:tabs>
        <w:spacing/>
        <w:ind w:hanging="360" w:left="2083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443"/>
        </w:tabs>
        <w:spacing/>
        <w:ind w:hanging="360" w:left="2443"/>
      </w:pPr>
      <w:rPr>
        <w:rFonts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803"/>
        </w:tabs>
        <w:spacing/>
        <w:ind w:hanging="360" w:left="2803"/>
      </w:pPr>
      <w:rPr>
        <w:rFonts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163"/>
        </w:tabs>
        <w:spacing/>
        <w:ind w:hanging="360" w:left="3163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523"/>
        </w:tabs>
        <w:spacing/>
        <w:ind w:hanging="360" w:left="3523"/>
      </w:pPr>
      <w:rPr>
        <w:rFonts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883"/>
        </w:tabs>
        <w:spacing/>
        <w:ind w:hanging="360" w:left="3883"/>
      </w:pPr>
      <w:rPr>
        <w:rFonts w:ascii="OpenSymbol" w:hAnsi="OpenSymbol" w:cs="OpenSymbol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95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15"/>
      </w:pPr>
      <w:rPr>
        <w:rFonts w:ascii="Symbol" w:hAnsi="Symbol" w:cs="Symbol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0"/>
        </w:tabs>
        <w:spacing/>
        <w:ind w:hanging="360" w:left="201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5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2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39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7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4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155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36"/>
    <w:next w:val="73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36"/>
    <w:next w:val="73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36"/>
    <w:next w:val="73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757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57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57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57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57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57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5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5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5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36"/>
    <w:next w:val="736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5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36"/>
    <w:next w:val="736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5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36"/>
    <w:next w:val="73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5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5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36"/>
    <w:next w:val="73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5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5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36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5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Strong"/>
    <w:basedOn w:val="75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5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5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57"/>
    <w:link w:val="865"/>
    <w:uiPriority w:val="99"/>
    <w:pPr>
      <w:pBdr/>
      <w:spacing/>
      <w:ind/>
    </w:pPr>
  </w:style>
  <w:style w:type="character" w:styleId="178">
    <w:name w:val="Footer Char"/>
    <w:basedOn w:val="757"/>
    <w:link w:val="875"/>
    <w:uiPriority w:val="99"/>
    <w:pPr>
      <w:pBdr/>
      <w:spacing/>
      <w:ind/>
    </w:pPr>
  </w:style>
  <w:style w:type="character" w:styleId="181">
    <w:name w:val="Footnote Text Char"/>
    <w:basedOn w:val="757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5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3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5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5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5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36"/>
    <w:next w:val="736"/>
    <w:uiPriority w:val="99"/>
    <w:unhideWhenUsed/>
    <w:pPr>
      <w:pBdr/>
      <w:spacing w:after="0" w:afterAutospacing="0"/>
      <w:ind/>
    </w:pPr>
  </w:style>
  <w:style w:type="paragraph" w:styleId="736" w:default="1">
    <w:name w:val="Normal"/>
    <w:next w:val="736"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37">
    <w:name w:val="Heading 1"/>
    <w:basedOn w:val="739"/>
    <w:next w:val="736"/>
    <w:pPr>
      <w:numPr>
        <w:ilvl w:val="0"/>
        <w:numId w:val="1"/>
      </w:numPr>
      <w:pBdr/>
      <w:spacing/>
      <w:ind/>
      <w:outlineLvl w:val="0"/>
    </w:pPr>
    <w:rPr>
      <w:sz w:val="28"/>
      <w:szCs w:val="28"/>
    </w:rPr>
  </w:style>
  <w:style w:type="paragraph" w:styleId="738">
    <w:name w:val="Heading 2"/>
    <w:basedOn w:val="740"/>
    <w:next w:val="736"/>
    <w:link w:val="736"/>
    <w:pPr>
      <w:numPr>
        <w:ilvl w:val="1"/>
        <w:numId w:val="1"/>
      </w:numPr>
      <w:pBdr/>
      <w:spacing/>
      <w:ind/>
      <w:outlineLvl w:val="1"/>
    </w:pPr>
  </w:style>
  <w:style w:type="paragraph" w:styleId="739">
    <w:name w:val="Heading 3"/>
    <w:basedOn w:val="736"/>
    <w:next w:val="736"/>
    <w:link w:val="736"/>
    <w:pPr>
      <w:keepNext w:val="true"/>
      <w:numPr>
        <w:ilvl w:val="2"/>
        <w:numId w:val="1"/>
      </w:numPr>
      <w:pBdr/>
      <w:tabs>
        <w:tab w:val="left" w:leader="none" w:pos="0"/>
      </w:tabs>
      <w:spacing w:after="60" w:before="240"/>
      <w:ind w:right="0" w:hanging="505" w:left="1225"/>
      <w:outlineLvl w:val="2"/>
    </w:pPr>
    <w:rPr>
      <w:rFonts w:eastAsia="Calibri"/>
      <w:b/>
      <w:sz w:val="24"/>
      <w:szCs w:val="24"/>
      <w:lang w:val="en-US" w:eastAsia="en-US"/>
    </w:rPr>
  </w:style>
  <w:style w:type="paragraph" w:styleId="740">
    <w:name w:val="Heading 4"/>
    <w:basedOn w:val="739"/>
    <w:next w:val="736"/>
    <w:pPr>
      <w:numPr>
        <w:ilvl w:val="3"/>
        <w:numId w:val="1"/>
      </w:numPr>
      <w:pBdr/>
      <w:spacing/>
      <w:ind/>
      <w:outlineLvl w:val="3"/>
    </w:pPr>
    <w:rPr>
      <w:bCs/>
    </w:rPr>
  </w:style>
  <w:style w:type="paragraph" w:styleId="741">
    <w:name w:val="Heading 5"/>
    <w:basedOn w:val="736"/>
    <w:next w:val="736"/>
    <w:link w:val="736"/>
    <w:pPr>
      <w:keepNext w:val="true"/>
      <w:keepLines w:val="true"/>
      <w:numPr>
        <w:ilvl w:val="4"/>
        <w:numId w:val="1"/>
      </w:numPr>
      <w:pBdr/>
      <w:spacing w:after="0" w:before="200"/>
      <w:ind/>
      <w:outlineLvl w:val="4"/>
    </w:pPr>
    <w:rPr>
      <w:rFonts w:ascii="Cambria" w:hAnsi="Cambria" w:eastAsia="font" w:cs="font"/>
      <w:color w:val="243f60"/>
    </w:rPr>
  </w:style>
  <w:style w:type="paragraph" w:styleId="742">
    <w:name w:val="Heading 6"/>
    <w:basedOn w:val="736"/>
    <w:next w:val="736"/>
    <w:pPr>
      <w:keepNext w:val="true"/>
      <w:keepLines w:val="true"/>
      <w:numPr>
        <w:ilvl w:val="5"/>
        <w:numId w:val="1"/>
      </w:numPr>
      <w:pBdr/>
      <w:spacing w:after="0" w:before="200"/>
      <w:ind/>
      <w:outlineLvl w:val="5"/>
    </w:pPr>
    <w:rPr>
      <w:rFonts w:ascii="Cambria" w:hAnsi="Cambria" w:eastAsia="font" w:cs="font"/>
      <w:i/>
      <w:iCs/>
      <w:color w:val="243f60"/>
    </w:rPr>
  </w:style>
  <w:style w:type="character" w:styleId="743">
    <w:name w:val="WW8Num2z0"/>
    <w:next w:val="743"/>
    <w:link w:val="736"/>
    <w:pPr>
      <w:pBdr/>
      <w:spacing/>
      <w:ind/>
    </w:pPr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744">
    <w:name w:val="WW8Num2z1"/>
    <w:next w:val="744"/>
    <w:pPr>
      <w:pBdr/>
      <w:spacing/>
      <w:ind/>
    </w:pPr>
    <w:rPr>
      <w:b/>
      <w:bCs/>
      <w:i w:val="0"/>
      <w:iCs/>
      <w:sz w:val="24"/>
      <w:szCs w:val="24"/>
    </w:rPr>
  </w:style>
  <w:style w:type="character" w:styleId="745">
    <w:name w:val="WW8Num3z0"/>
    <w:next w:val="745"/>
    <w:pPr>
      <w:pBdr/>
      <w:spacing/>
      <w:ind/>
    </w:pPr>
    <w:rPr>
      <w:b/>
      <w:bCs w:val="0"/>
      <w:sz w:val="24"/>
      <w:szCs w:val="24"/>
    </w:rPr>
  </w:style>
  <w:style w:type="character" w:styleId="746">
    <w:name w:val="WW8Num3z1"/>
    <w:next w:val="746"/>
    <w:link w:val="736"/>
    <w:pPr>
      <w:pBdr/>
      <w:spacing/>
      <w:ind/>
    </w:pPr>
    <w:rPr>
      <w:b w:val="0"/>
      <w:bCs/>
      <w:sz w:val="24"/>
      <w:szCs w:val="24"/>
    </w:rPr>
  </w:style>
  <w:style w:type="character" w:styleId="747">
    <w:name w:val="WW8Num3z2"/>
    <w:next w:val="747"/>
    <w:link w:val="736"/>
    <w:pPr>
      <w:pBdr/>
      <w:spacing/>
      <w:ind/>
    </w:pPr>
    <w:rPr>
      <w:sz w:val="24"/>
      <w:szCs w:val="24"/>
    </w:rPr>
  </w:style>
  <w:style w:type="character" w:styleId="748">
    <w:name w:val="WW8Num6z0"/>
    <w:next w:val="748"/>
    <w:link w:val="736"/>
    <w:pPr>
      <w:pBdr/>
      <w:spacing/>
      <w:ind/>
    </w:pPr>
    <w:rPr>
      <w:rFonts w:ascii="Symbol" w:hAnsi="Symbol" w:cs="Symbol"/>
    </w:rPr>
  </w:style>
  <w:style w:type="character" w:styleId="749">
    <w:name w:val="WW8Num7z0"/>
    <w:next w:val="749"/>
    <w:link w:val="736"/>
    <w:pPr>
      <w:pBdr/>
      <w:spacing/>
      <w:ind/>
    </w:pPr>
    <w:rPr>
      <w:rFonts w:ascii="Symbol" w:hAnsi="Symbol" w:cs="Symbol"/>
    </w:rPr>
  </w:style>
  <w:style w:type="character" w:styleId="750">
    <w:name w:val="WW8Num7z1"/>
    <w:next w:val="750"/>
    <w:pPr>
      <w:pBdr/>
      <w:spacing/>
      <w:ind/>
    </w:pPr>
    <w:rPr>
      <w:rFonts w:ascii="OpenSymbol" w:hAnsi="OpenSymbol" w:cs="OpenSymbol"/>
    </w:rPr>
  </w:style>
  <w:style w:type="character" w:styleId="751">
    <w:name w:val="WW8Num8z0"/>
    <w:next w:val="751"/>
    <w:link w:val="736"/>
    <w:pPr>
      <w:pBdr/>
      <w:spacing/>
      <w:ind/>
    </w:pPr>
    <w:rPr>
      <w:rFonts w:ascii="Symbol" w:hAnsi="Symbol" w:cs="Symbol"/>
    </w:rPr>
  </w:style>
  <w:style w:type="character" w:styleId="752">
    <w:name w:val="WW8Num1z0"/>
    <w:next w:val="752"/>
    <w:link w:val="736"/>
    <w:pPr>
      <w:pBdr/>
      <w:spacing/>
      <w:ind/>
    </w:pPr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753">
    <w:name w:val="WW8Num1z1"/>
    <w:next w:val="753"/>
    <w:pPr>
      <w:pBdr/>
      <w:spacing/>
      <w:ind/>
    </w:pPr>
    <w:rPr>
      <w:b/>
      <w:bCs/>
      <w:i w:val="0"/>
      <w:iCs/>
      <w:sz w:val="24"/>
      <w:szCs w:val="24"/>
    </w:rPr>
  </w:style>
  <w:style w:type="character" w:styleId="754">
    <w:name w:val="WW8Num2z2"/>
    <w:next w:val="754"/>
    <w:pPr>
      <w:pBdr/>
      <w:spacing/>
      <w:ind/>
    </w:pPr>
    <w:rPr>
      <w:sz w:val="24"/>
      <w:szCs w:val="24"/>
    </w:rPr>
  </w:style>
  <w:style w:type="character" w:styleId="755">
    <w:name w:val="WW8Num5z0"/>
    <w:next w:val="755"/>
    <w:link w:val="736"/>
    <w:pPr>
      <w:pBdr/>
      <w:spacing/>
      <w:ind/>
    </w:pPr>
    <w:rPr>
      <w:rFonts w:ascii="Symbol" w:hAnsi="Symbol" w:cs="Symbol"/>
    </w:rPr>
  </w:style>
  <w:style w:type="character" w:styleId="756">
    <w:name w:val="WW8Num6z1"/>
    <w:next w:val="756"/>
    <w:link w:val="736"/>
    <w:pPr>
      <w:pBdr/>
      <w:spacing/>
      <w:ind/>
    </w:pPr>
    <w:rPr>
      <w:rFonts w:ascii="OpenSymbol" w:hAnsi="OpenSymbol" w:cs="OpenSymbol"/>
    </w:rPr>
  </w:style>
  <w:style w:type="character" w:styleId="757" w:default="1">
    <w:name w:val="Default Paragraph Font"/>
    <w:next w:val="757"/>
    <w:link w:val="736"/>
    <w:pPr>
      <w:pBdr/>
      <w:spacing/>
      <w:ind/>
    </w:pPr>
  </w:style>
  <w:style w:type="character" w:styleId="758">
    <w:name w:val="Заголовок 1 Знак"/>
    <w:basedOn w:val="757"/>
    <w:next w:val="758"/>
    <w:link w:val="736"/>
    <w:pPr>
      <w:pBdr/>
      <w:spacing/>
      <w:ind/>
    </w:pPr>
    <w:rPr>
      <w:rFonts w:ascii="Times New Roman" w:hAnsi="Times New Roman" w:eastAsia="Calibri" w:cs="Times New Roman"/>
      <w:b/>
      <w:sz w:val="28"/>
      <w:szCs w:val="28"/>
      <w:lang w:val="en-US" w:eastAsia="en-US"/>
    </w:rPr>
  </w:style>
  <w:style w:type="character" w:styleId="759">
    <w:name w:val="Заголовок 2 Знак"/>
    <w:basedOn w:val="757"/>
    <w:next w:val="759"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  <w:lang w:val="en-US" w:eastAsia="en-US"/>
    </w:rPr>
  </w:style>
  <w:style w:type="character" w:styleId="760">
    <w:name w:val="Заголовок 3 Знак"/>
    <w:basedOn w:val="757"/>
    <w:next w:val="760"/>
    <w:pPr>
      <w:pBdr/>
      <w:spacing/>
      <w:ind/>
    </w:pPr>
    <w:rPr>
      <w:rFonts w:ascii="Times New Roman" w:hAnsi="Times New Roman" w:eastAsia="Calibri" w:cs="Times New Roman"/>
      <w:b/>
      <w:sz w:val="24"/>
      <w:szCs w:val="24"/>
      <w:lang w:val="en-US" w:eastAsia="en-US"/>
    </w:rPr>
  </w:style>
  <w:style w:type="character" w:styleId="761">
    <w:name w:val="Заголовок 4 Знак"/>
    <w:basedOn w:val="757"/>
    <w:next w:val="761"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  <w:lang w:val="en-US" w:eastAsia="en-US"/>
    </w:rPr>
  </w:style>
  <w:style w:type="character" w:styleId="762">
    <w:name w:val="Текст сноски Знак"/>
    <w:basedOn w:val="757"/>
    <w:next w:val="762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63">
    <w:name w:val="Знак сноски1"/>
    <w:next w:val="763"/>
    <w:pPr>
      <w:pBdr/>
      <w:spacing/>
      <w:ind/>
    </w:pPr>
    <w:rPr>
      <w:vertAlign w:val="superscript"/>
    </w:rPr>
  </w:style>
  <w:style w:type="character" w:styleId="764">
    <w:name w:val="Footnote Characters"/>
    <w:next w:val="764"/>
    <w:link w:val="736"/>
    <w:pPr>
      <w:pBdr/>
      <w:spacing/>
      <w:ind/>
    </w:pPr>
    <w:rPr>
      <w:vertAlign w:val="superscript"/>
    </w:rPr>
  </w:style>
  <w:style w:type="character" w:styleId="765">
    <w:name w:val="Верхний колонтитул Знак"/>
    <w:basedOn w:val="757"/>
    <w:next w:val="765"/>
    <w:link w:val="736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6">
    <w:name w:val="page number"/>
    <w:basedOn w:val="757"/>
    <w:next w:val="766"/>
    <w:pPr>
      <w:pBdr/>
      <w:spacing/>
      <w:ind/>
    </w:pPr>
  </w:style>
  <w:style w:type="character" w:styleId="767">
    <w:name w:val="Hyperlink"/>
    <w:basedOn w:val="757"/>
    <w:next w:val="767"/>
    <w:link w:val="736"/>
    <w:pPr>
      <w:pBdr/>
      <w:spacing/>
      <w:ind/>
    </w:pPr>
    <w:rPr>
      <w:color w:val="0000ff"/>
      <w:u w:val="single"/>
    </w:rPr>
  </w:style>
  <w:style w:type="character" w:styleId="768">
    <w:name w:val="Абзац списка Знак"/>
    <w:next w:val="768"/>
    <w:link w:val="736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769">
    <w:name w:val="комментарий"/>
    <w:next w:val="769"/>
    <w:pPr>
      <w:pBdr/>
      <w:spacing/>
      <w:ind/>
    </w:pPr>
    <w:rPr>
      <w:b/>
      <w:i/>
      <w:shd w:val="clear" w:color="auto" w:fill="ffff99"/>
    </w:rPr>
  </w:style>
  <w:style w:type="character" w:styleId="770">
    <w:name w:val="Текст выноски Знак"/>
    <w:basedOn w:val="757"/>
    <w:next w:val="770"/>
    <w:link w:val="736"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771">
    <w:name w:val="Emphasis"/>
    <w:basedOn w:val="757"/>
    <w:next w:val="771"/>
    <w:pPr>
      <w:pBdr/>
      <w:spacing/>
      <w:ind/>
    </w:pPr>
    <w:rPr>
      <w:i/>
      <w:iCs/>
    </w:rPr>
  </w:style>
  <w:style w:type="character" w:styleId="772">
    <w:name w:val="Нижний колонтитул Знак"/>
    <w:basedOn w:val="757"/>
    <w:next w:val="772"/>
    <w:link w:val="736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773">
    <w:name w:val="Ссылка указателя"/>
    <w:next w:val="773"/>
    <w:pPr>
      <w:pBdr/>
      <w:spacing/>
      <w:ind/>
    </w:pPr>
  </w:style>
  <w:style w:type="character" w:styleId="774">
    <w:name w:val="Заголовок 5 Знак"/>
    <w:basedOn w:val="757"/>
    <w:next w:val="774"/>
    <w:link w:val="736"/>
    <w:pPr>
      <w:pBdr/>
      <w:spacing/>
      <w:ind/>
    </w:pPr>
    <w:rPr>
      <w:rFonts w:ascii="Cambria" w:hAnsi="Cambria" w:eastAsia="font" w:cs="font"/>
      <w:color w:val="243f60"/>
      <w:sz w:val="28"/>
      <w:szCs w:val="28"/>
      <w:lang w:eastAsia="ru-RU"/>
    </w:rPr>
  </w:style>
  <w:style w:type="character" w:styleId="775">
    <w:name w:val="Заголовок 6 Знак"/>
    <w:basedOn w:val="757"/>
    <w:next w:val="775"/>
    <w:pPr>
      <w:pBdr/>
      <w:spacing/>
      <w:ind/>
    </w:pPr>
    <w:rPr>
      <w:rFonts w:ascii="Cambria" w:hAnsi="Cambria" w:eastAsia="font" w:cs="font"/>
      <w:i/>
      <w:iCs/>
      <w:color w:val="243f60"/>
      <w:sz w:val="28"/>
      <w:szCs w:val="28"/>
      <w:lang w:eastAsia="ru-RU"/>
    </w:rPr>
  </w:style>
  <w:style w:type="character" w:styleId="776">
    <w:name w:val="Маркеры"/>
    <w:next w:val="776"/>
    <w:pPr>
      <w:pBdr/>
      <w:spacing/>
      <w:ind/>
    </w:pPr>
    <w:rPr>
      <w:rFonts w:ascii="OpenSymbol" w:hAnsi="OpenSymbol" w:eastAsia="OpenSymbol" w:cs="OpenSymbol"/>
    </w:rPr>
  </w:style>
  <w:style w:type="character" w:styleId="777">
    <w:name w:val="ListLabel 1"/>
    <w:next w:val="777"/>
    <w:link w:val="736"/>
    <w:pPr>
      <w:pBdr/>
      <w:spacing/>
      <w:ind/>
    </w:pPr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778">
    <w:name w:val="ListLabel 2"/>
    <w:next w:val="778"/>
    <w:pPr>
      <w:pBdr/>
      <w:spacing/>
      <w:ind/>
    </w:pPr>
    <w:rPr>
      <w:b/>
      <w:bCs/>
      <w:i w:val="0"/>
      <w:iCs/>
      <w:sz w:val="24"/>
      <w:szCs w:val="24"/>
    </w:rPr>
  </w:style>
  <w:style w:type="character" w:styleId="779">
    <w:name w:val="ListLabel 3"/>
    <w:next w:val="779"/>
    <w:pPr>
      <w:pBdr/>
      <w:spacing/>
      <w:ind/>
    </w:pPr>
  </w:style>
  <w:style w:type="character" w:styleId="780">
    <w:name w:val="ListLabel 4"/>
    <w:next w:val="780"/>
    <w:link w:val="736"/>
    <w:pPr>
      <w:pBdr/>
      <w:spacing/>
      <w:ind/>
    </w:pPr>
  </w:style>
  <w:style w:type="character" w:styleId="781">
    <w:name w:val="ListLabel 5"/>
    <w:next w:val="781"/>
    <w:link w:val="736"/>
    <w:pPr>
      <w:pBdr/>
      <w:spacing/>
      <w:ind/>
    </w:pPr>
  </w:style>
  <w:style w:type="character" w:styleId="782">
    <w:name w:val="ListLabel 6"/>
    <w:next w:val="782"/>
    <w:link w:val="736"/>
    <w:pPr>
      <w:pBdr/>
      <w:spacing/>
      <w:ind/>
    </w:pPr>
  </w:style>
  <w:style w:type="character" w:styleId="783">
    <w:name w:val="ListLabel 7"/>
    <w:next w:val="783"/>
    <w:link w:val="736"/>
    <w:pPr>
      <w:pBdr/>
      <w:spacing/>
      <w:ind/>
    </w:pPr>
  </w:style>
  <w:style w:type="character" w:styleId="784">
    <w:name w:val="ListLabel 8"/>
    <w:next w:val="784"/>
    <w:link w:val="736"/>
    <w:pPr>
      <w:pBdr/>
      <w:spacing/>
      <w:ind/>
    </w:pPr>
  </w:style>
  <w:style w:type="character" w:styleId="785">
    <w:name w:val="ListLabel 9"/>
    <w:next w:val="785"/>
    <w:link w:val="736"/>
    <w:pPr>
      <w:pBdr/>
      <w:spacing/>
      <w:ind/>
    </w:pPr>
  </w:style>
  <w:style w:type="character" w:styleId="786">
    <w:name w:val="ListLabel 10"/>
    <w:next w:val="786"/>
    <w:link w:val="736"/>
    <w:pPr>
      <w:pBdr/>
      <w:spacing/>
      <w:ind/>
    </w:pPr>
    <w:rPr>
      <w:b/>
      <w:bCs w:val="0"/>
      <w:sz w:val="24"/>
      <w:szCs w:val="24"/>
    </w:rPr>
  </w:style>
  <w:style w:type="character" w:styleId="787">
    <w:name w:val="ListLabel 11"/>
    <w:next w:val="787"/>
    <w:link w:val="736"/>
    <w:pPr>
      <w:pBdr/>
      <w:spacing/>
      <w:ind/>
    </w:pPr>
    <w:rPr>
      <w:b w:val="0"/>
      <w:bCs/>
      <w:sz w:val="24"/>
      <w:szCs w:val="24"/>
    </w:rPr>
  </w:style>
  <w:style w:type="character" w:styleId="788">
    <w:name w:val="ListLabel 12"/>
    <w:next w:val="788"/>
    <w:link w:val="736"/>
    <w:pPr>
      <w:pBdr/>
      <w:spacing/>
      <w:ind/>
    </w:pPr>
    <w:rPr>
      <w:sz w:val="24"/>
      <w:szCs w:val="24"/>
    </w:rPr>
  </w:style>
  <w:style w:type="character" w:styleId="789">
    <w:name w:val="ListLabel 13"/>
    <w:next w:val="789"/>
    <w:link w:val="736"/>
    <w:pPr>
      <w:pBdr/>
      <w:spacing/>
      <w:ind/>
    </w:pPr>
  </w:style>
  <w:style w:type="character" w:styleId="790">
    <w:name w:val="ListLabel 14"/>
    <w:next w:val="790"/>
    <w:link w:val="736"/>
    <w:pPr>
      <w:pBdr/>
      <w:spacing/>
      <w:ind/>
    </w:pPr>
  </w:style>
  <w:style w:type="character" w:styleId="791">
    <w:name w:val="ListLabel 15"/>
    <w:next w:val="791"/>
    <w:link w:val="736"/>
    <w:pPr>
      <w:pBdr/>
      <w:spacing/>
      <w:ind/>
    </w:pPr>
  </w:style>
  <w:style w:type="character" w:styleId="792">
    <w:name w:val="ListLabel 16"/>
    <w:next w:val="792"/>
    <w:link w:val="736"/>
    <w:pPr>
      <w:pBdr/>
      <w:spacing/>
      <w:ind/>
    </w:pPr>
  </w:style>
  <w:style w:type="character" w:styleId="793">
    <w:name w:val="ListLabel 17"/>
    <w:next w:val="793"/>
    <w:link w:val="736"/>
    <w:pPr>
      <w:pBdr/>
      <w:spacing/>
      <w:ind/>
    </w:pPr>
  </w:style>
  <w:style w:type="character" w:styleId="794">
    <w:name w:val="ListLabel 18"/>
    <w:next w:val="794"/>
    <w:link w:val="736"/>
    <w:pPr>
      <w:pBdr/>
      <w:spacing/>
      <w:ind/>
    </w:pPr>
  </w:style>
  <w:style w:type="character" w:styleId="795">
    <w:name w:val="ListLabel 19"/>
    <w:next w:val="795"/>
    <w:link w:val="736"/>
    <w:pPr>
      <w:pBdr/>
      <w:spacing/>
      <w:ind/>
    </w:pPr>
  </w:style>
  <w:style w:type="character" w:styleId="796">
    <w:name w:val="ListLabel 20"/>
    <w:next w:val="796"/>
    <w:link w:val="736"/>
    <w:pPr>
      <w:pBdr/>
      <w:spacing/>
      <w:ind/>
    </w:pPr>
  </w:style>
  <w:style w:type="character" w:styleId="797">
    <w:name w:val="ListLabel 21"/>
    <w:next w:val="797"/>
    <w:link w:val="736"/>
    <w:pPr>
      <w:pBdr/>
      <w:spacing/>
      <w:ind/>
    </w:pPr>
  </w:style>
  <w:style w:type="character" w:styleId="798">
    <w:name w:val="ListLabel 22"/>
    <w:next w:val="798"/>
    <w:link w:val="736"/>
    <w:pPr>
      <w:pBdr/>
      <w:spacing/>
      <w:ind/>
    </w:pPr>
  </w:style>
  <w:style w:type="character" w:styleId="799">
    <w:name w:val="ListLabel 23"/>
    <w:next w:val="799"/>
    <w:link w:val="736"/>
    <w:pPr>
      <w:pBdr/>
      <w:spacing/>
      <w:ind/>
    </w:pPr>
  </w:style>
  <w:style w:type="character" w:styleId="800">
    <w:name w:val="ListLabel 24"/>
    <w:next w:val="800"/>
    <w:link w:val="736"/>
    <w:pPr>
      <w:pBdr/>
      <w:spacing/>
      <w:ind/>
    </w:pPr>
  </w:style>
  <w:style w:type="character" w:styleId="801">
    <w:name w:val="ListLabel 25"/>
    <w:next w:val="801"/>
    <w:link w:val="736"/>
    <w:pPr>
      <w:pBdr/>
      <w:spacing/>
      <w:ind/>
    </w:pPr>
  </w:style>
  <w:style w:type="character" w:styleId="802">
    <w:name w:val="ListLabel 26"/>
    <w:next w:val="802"/>
    <w:link w:val="736"/>
    <w:pPr>
      <w:pBdr/>
      <w:spacing/>
      <w:ind/>
    </w:pPr>
  </w:style>
  <w:style w:type="character" w:styleId="803">
    <w:name w:val="ListLabel 27"/>
    <w:next w:val="803"/>
    <w:link w:val="736"/>
    <w:pPr>
      <w:pBdr/>
      <w:spacing/>
      <w:ind/>
    </w:pPr>
  </w:style>
  <w:style w:type="character" w:styleId="804">
    <w:name w:val="ListLabel 28"/>
    <w:next w:val="804"/>
    <w:link w:val="736"/>
    <w:pPr>
      <w:pBdr/>
      <w:spacing/>
      <w:ind/>
    </w:pPr>
  </w:style>
  <w:style w:type="character" w:styleId="805">
    <w:name w:val="ListLabel 29"/>
    <w:next w:val="805"/>
    <w:link w:val="736"/>
    <w:pPr>
      <w:pBdr/>
      <w:spacing/>
      <w:ind/>
    </w:pPr>
  </w:style>
  <w:style w:type="character" w:styleId="806">
    <w:name w:val="ListLabel 30"/>
    <w:next w:val="806"/>
    <w:link w:val="736"/>
    <w:pPr>
      <w:pBdr/>
      <w:spacing/>
      <w:ind/>
    </w:pPr>
  </w:style>
  <w:style w:type="character" w:styleId="807">
    <w:name w:val="ListLabel 31"/>
    <w:next w:val="807"/>
    <w:link w:val="736"/>
    <w:pPr>
      <w:pBdr/>
      <w:spacing/>
      <w:ind/>
    </w:pPr>
  </w:style>
  <w:style w:type="character" w:styleId="808">
    <w:name w:val="ListLabel 32"/>
    <w:next w:val="808"/>
    <w:link w:val="736"/>
    <w:pPr>
      <w:pBdr/>
      <w:spacing/>
      <w:ind/>
    </w:pPr>
  </w:style>
  <w:style w:type="character" w:styleId="809">
    <w:name w:val="ListLabel 33"/>
    <w:next w:val="809"/>
    <w:link w:val="736"/>
    <w:pPr>
      <w:pBdr/>
      <w:spacing/>
      <w:ind/>
    </w:pPr>
  </w:style>
  <w:style w:type="character" w:styleId="810">
    <w:name w:val="ListLabel 34"/>
    <w:next w:val="810"/>
    <w:link w:val="736"/>
    <w:pPr>
      <w:pBdr/>
      <w:spacing/>
      <w:ind/>
    </w:pPr>
  </w:style>
  <w:style w:type="character" w:styleId="811">
    <w:name w:val="ListLabel 35"/>
    <w:next w:val="811"/>
    <w:link w:val="736"/>
    <w:pPr>
      <w:pBdr/>
      <w:spacing/>
      <w:ind/>
    </w:pPr>
  </w:style>
  <w:style w:type="character" w:styleId="812">
    <w:name w:val="ListLabel 36"/>
    <w:next w:val="812"/>
    <w:link w:val="736"/>
    <w:pPr>
      <w:pBdr/>
      <w:spacing/>
      <w:ind/>
    </w:pPr>
  </w:style>
  <w:style w:type="character" w:styleId="813">
    <w:name w:val="ListLabel 37"/>
    <w:next w:val="813"/>
    <w:link w:val="736"/>
    <w:pPr>
      <w:pBdr/>
      <w:spacing/>
      <w:ind/>
    </w:pPr>
    <w:rPr>
      <w:rFonts w:cs="Symbol"/>
    </w:rPr>
  </w:style>
  <w:style w:type="character" w:styleId="814">
    <w:name w:val="ListLabel 38"/>
    <w:next w:val="814"/>
    <w:link w:val="736"/>
    <w:pPr>
      <w:pBdr/>
      <w:spacing/>
      <w:ind/>
    </w:pPr>
  </w:style>
  <w:style w:type="character" w:styleId="815">
    <w:name w:val="ListLabel 39"/>
    <w:next w:val="815"/>
    <w:link w:val="736"/>
    <w:pPr>
      <w:pBdr/>
      <w:spacing/>
      <w:ind/>
    </w:pPr>
  </w:style>
  <w:style w:type="character" w:styleId="816">
    <w:name w:val="ListLabel 40"/>
    <w:next w:val="816"/>
    <w:link w:val="736"/>
    <w:pPr>
      <w:pBdr/>
      <w:spacing/>
      <w:ind/>
    </w:pPr>
  </w:style>
  <w:style w:type="character" w:styleId="817">
    <w:name w:val="ListLabel 41"/>
    <w:next w:val="817"/>
    <w:link w:val="736"/>
    <w:pPr>
      <w:pBdr/>
      <w:spacing/>
      <w:ind/>
    </w:pPr>
  </w:style>
  <w:style w:type="character" w:styleId="818">
    <w:name w:val="ListLabel 42"/>
    <w:next w:val="818"/>
    <w:link w:val="736"/>
    <w:pPr>
      <w:pBdr/>
      <w:spacing/>
      <w:ind/>
    </w:pPr>
  </w:style>
  <w:style w:type="character" w:styleId="819">
    <w:name w:val="ListLabel 43"/>
    <w:next w:val="819"/>
    <w:link w:val="736"/>
    <w:pPr>
      <w:pBdr/>
      <w:spacing/>
      <w:ind/>
    </w:pPr>
  </w:style>
  <w:style w:type="character" w:styleId="820">
    <w:name w:val="ListLabel 44"/>
    <w:next w:val="820"/>
    <w:link w:val="736"/>
    <w:pPr>
      <w:pBdr/>
      <w:spacing/>
      <w:ind/>
    </w:pPr>
  </w:style>
  <w:style w:type="character" w:styleId="821">
    <w:name w:val="ListLabel 45"/>
    <w:next w:val="821"/>
    <w:link w:val="736"/>
    <w:pPr>
      <w:pBdr/>
      <w:spacing/>
      <w:ind/>
    </w:pPr>
  </w:style>
  <w:style w:type="character" w:styleId="822">
    <w:name w:val="ListLabel 46"/>
    <w:next w:val="822"/>
    <w:link w:val="736"/>
    <w:pPr>
      <w:pBdr/>
      <w:spacing/>
      <w:ind/>
    </w:pPr>
    <w:rPr>
      <w:rFonts w:cs="Symbol"/>
    </w:rPr>
  </w:style>
  <w:style w:type="character" w:styleId="823">
    <w:name w:val="ListLabel 47"/>
    <w:next w:val="823"/>
    <w:link w:val="736"/>
    <w:pPr>
      <w:pBdr/>
      <w:spacing/>
      <w:ind/>
    </w:pPr>
    <w:rPr>
      <w:rFonts w:cs="OpenSymbol"/>
    </w:rPr>
  </w:style>
  <w:style w:type="character" w:styleId="824">
    <w:name w:val="ListLabel 48"/>
    <w:next w:val="824"/>
    <w:link w:val="736"/>
    <w:pPr>
      <w:pBdr/>
      <w:spacing/>
      <w:ind/>
    </w:pPr>
    <w:rPr>
      <w:rFonts w:cs="OpenSymbol"/>
    </w:rPr>
  </w:style>
  <w:style w:type="character" w:styleId="825">
    <w:name w:val="ListLabel 49"/>
    <w:next w:val="825"/>
    <w:link w:val="736"/>
    <w:pPr>
      <w:pBdr/>
      <w:spacing/>
      <w:ind/>
    </w:pPr>
    <w:rPr>
      <w:rFonts w:cs="Symbol"/>
    </w:rPr>
  </w:style>
  <w:style w:type="character" w:styleId="826">
    <w:name w:val="ListLabel 50"/>
    <w:next w:val="826"/>
    <w:link w:val="736"/>
    <w:pPr>
      <w:pBdr/>
      <w:spacing/>
      <w:ind/>
    </w:pPr>
    <w:rPr>
      <w:rFonts w:cs="OpenSymbol"/>
    </w:rPr>
  </w:style>
  <w:style w:type="character" w:styleId="827">
    <w:name w:val="ListLabel 51"/>
    <w:next w:val="827"/>
    <w:link w:val="736"/>
    <w:pPr>
      <w:pBdr/>
      <w:spacing/>
      <w:ind/>
    </w:pPr>
    <w:rPr>
      <w:rFonts w:cs="OpenSymbol"/>
    </w:rPr>
  </w:style>
  <w:style w:type="character" w:styleId="828">
    <w:name w:val="ListLabel 52"/>
    <w:next w:val="828"/>
    <w:link w:val="736"/>
    <w:pPr>
      <w:pBdr/>
      <w:spacing/>
      <w:ind/>
    </w:pPr>
    <w:rPr>
      <w:rFonts w:cs="Symbol"/>
    </w:rPr>
  </w:style>
  <w:style w:type="character" w:styleId="829">
    <w:name w:val="ListLabel 53"/>
    <w:next w:val="829"/>
    <w:link w:val="736"/>
    <w:pPr>
      <w:pBdr/>
      <w:spacing/>
      <w:ind/>
    </w:pPr>
    <w:rPr>
      <w:rFonts w:cs="OpenSymbol"/>
    </w:rPr>
  </w:style>
  <w:style w:type="character" w:styleId="830">
    <w:name w:val="ListLabel 54"/>
    <w:next w:val="830"/>
    <w:link w:val="736"/>
    <w:pPr>
      <w:pBdr/>
      <w:spacing/>
      <w:ind/>
    </w:pPr>
    <w:rPr>
      <w:rFonts w:cs="OpenSymbol"/>
    </w:rPr>
  </w:style>
  <w:style w:type="character" w:styleId="831">
    <w:name w:val="ListLabel 55"/>
    <w:next w:val="831"/>
    <w:link w:val="736"/>
    <w:pPr>
      <w:pBdr/>
      <w:spacing/>
      <w:ind/>
    </w:pPr>
    <w:rPr>
      <w:rFonts w:cs="Symbol"/>
    </w:rPr>
  </w:style>
  <w:style w:type="character" w:styleId="832">
    <w:name w:val="ListLabel 56"/>
    <w:next w:val="832"/>
    <w:link w:val="736"/>
    <w:pPr>
      <w:pBdr/>
      <w:spacing/>
      <w:ind/>
    </w:pPr>
    <w:rPr>
      <w:rFonts w:cs="Symbol"/>
    </w:rPr>
  </w:style>
  <w:style w:type="character" w:styleId="833">
    <w:name w:val="ListLabel 57"/>
    <w:next w:val="833"/>
    <w:link w:val="736"/>
    <w:pPr>
      <w:pBdr/>
      <w:spacing/>
      <w:ind/>
    </w:pPr>
  </w:style>
  <w:style w:type="character" w:styleId="834">
    <w:name w:val="ListLabel 58"/>
    <w:next w:val="834"/>
    <w:link w:val="736"/>
    <w:pPr>
      <w:pBdr/>
      <w:spacing/>
      <w:ind/>
    </w:pPr>
  </w:style>
  <w:style w:type="character" w:styleId="835">
    <w:name w:val="ListLabel 59"/>
    <w:next w:val="835"/>
    <w:link w:val="736"/>
    <w:pPr>
      <w:pBdr/>
      <w:spacing/>
      <w:ind/>
    </w:pPr>
  </w:style>
  <w:style w:type="character" w:styleId="836">
    <w:name w:val="ListLabel 60"/>
    <w:next w:val="836"/>
    <w:link w:val="736"/>
    <w:pPr>
      <w:pBdr/>
      <w:spacing/>
      <w:ind/>
    </w:pPr>
  </w:style>
  <w:style w:type="character" w:styleId="837">
    <w:name w:val="ListLabel 61"/>
    <w:next w:val="837"/>
    <w:link w:val="736"/>
    <w:pPr>
      <w:pBdr/>
      <w:spacing/>
      <w:ind/>
    </w:pPr>
  </w:style>
  <w:style w:type="character" w:styleId="838">
    <w:name w:val="ListLabel 62"/>
    <w:next w:val="838"/>
    <w:link w:val="736"/>
    <w:pPr>
      <w:pBdr/>
      <w:spacing/>
      <w:ind/>
    </w:pPr>
  </w:style>
  <w:style w:type="character" w:styleId="839">
    <w:name w:val="ListLabel 63"/>
    <w:next w:val="839"/>
    <w:link w:val="736"/>
    <w:pPr>
      <w:pBdr/>
      <w:spacing/>
      <w:ind/>
    </w:pPr>
  </w:style>
  <w:style w:type="character" w:styleId="840">
    <w:name w:val="ListLabel 64"/>
    <w:next w:val="840"/>
    <w:link w:val="736"/>
    <w:pPr>
      <w:pBdr/>
      <w:spacing/>
      <w:ind/>
    </w:pPr>
  </w:style>
  <w:style w:type="character" w:styleId="841">
    <w:name w:val="ListLabel 65"/>
    <w:next w:val="841"/>
    <w:link w:val="736"/>
    <w:pPr>
      <w:pBdr/>
      <w:spacing/>
      <w:ind/>
    </w:pPr>
  </w:style>
  <w:style w:type="character" w:styleId="842">
    <w:name w:val="ListLabel 66"/>
    <w:next w:val="842"/>
    <w:link w:val="736"/>
    <w:pPr>
      <w:pBdr/>
      <w:spacing/>
      <w:ind/>
    </w:pPr>
  </w:style>
  <w:style w:type="character" w:styleId="843">
    <w:name w:val="ListLabel 67"/>
    <w:next w:val="843"/>
    <w:link w:val="736"/>
    <w:pPr>
      <w:pBdr/>
      <w:spacing/>
      <w:ind/>
    </w:pPr>
  </w:style>
  <w:style w:type="character" w:styleId="844">
    <w:name w:val="ListLabel 68"/>
    <w:next w:val="844"/>
    <w:link w:val="736"/>
    <w:pPr>
      <w:pBdr/>
      <w:spacing/>
      <w:ind/>
    </w:pPr>
  </w:style>
  <w:style w:type="character" w:styleId="845">
    <w:name w:val="ListLabel 69"/>
    <w:next w:val="845"/>
    <w:link w:val="736"/>
    <w:pPr>
      <w:pBdr/>
      <w:spacing/>
      <w:ind/>
    </w:pPr>
  </w:style>
  <w:style w:type="character" w:styleId="846">
    <w:name w:val="ListLabel 70"/>
    <w:next w:val="846"/>
    <w:link w:val="736"/>
    <w:pPr>
      <w:pBdr/>
      <w:spacing/>
      <w:ind/>
    </w:pPr>
  </w:style>
  <w:style w:type="character" w:styleId="847">
    <w:name w:val="ListLabel 71"/>
    <w:next w:val="847"/>
    <w:link w:val="736"/>
    <w:pPr>
      <w:pBdr/>
      <w:spacing/>
      <w:ind/>
    </w:pPr>
  </w:style>
  <w:style w:type="character" w:styleId="848">
    <w:name w:val="ListLabel 72"/>
    <w:next w:val="848"/>
    <w:link w:val="736"/>
    <w:pPr>
      <w:pBdr/>
      <w:spacing/>
      <w:ind/>
    </w:pPr>
  </w:style>
  <w:style w:type="paragraph" w:styleId="849">
    <w:name w:val="Заголовок"/>
    <w:basedOn w:val="736"/>
    <w:next w:val="850"/>
    <w:link w:val="736"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850">
    <w:name w:val="Body Text"/>
    <w:basedOn w:val="736"/>
    <w:next w:val="850"/>
    <w:link w:val="736"/>
    <w:pPr>
      <w:pBdr/>
      <w:spacing w:after="140" w:before="0" w:line="276" w:lineRule="auto"/>
      <w:ind/>
    </w:pPr>
  </w:style>
  <w:style w:type="paragraph" w:styleId="851">
    <w:name w:val="List"/>
    <w:basedOn w:val="850"/>
    <w:next w:val="851"/>
    <w:link w:val="736"/>
    <w:pPr>
      <w:pBdr/>
      <w:spacing/>
      <w:ind/>
    </w:pPr>
    <w:rPr>
      <w:rFonts w:cs="Lohit Devanagari"/>
    </w:rPr>
  </w:style>
  <w:style w:type="paragraph" w:styleId="852">
    <w:name w:val="Caption"/>
    <w:basedOn w:val="736"/>
    <w:next w:val="852"/>
    <w:link w:val="736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3">
    <w:name w:val="Указатель"/>
    <w:basedOn w:val="736"/>
    <w:next w:val="853"/>
    <w:pPr>
      <w:suppressLineNumbers w:val="true"/>
      <w:pBdr/>
      <w:spacing/>
      <w:ind/>
    </w:pPr>
    <w:rPr>
      <w:rFonts w:cs="Lohit Devanagari"/>
    </w:rPr>
  </w:style>
  <w:style w:type="paragraph" w:styleId="854">
    <w:name w:val="Caption1"/>
    <w:basedOn w:val="736"/>
    <w:next w:val="854"/>
    <w:link w:val="736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5">
    <w:name w:val="Caption11"/>
    <w:basedOn w:val="736"/>
    <w:next w:val="855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6">
    <w:name w:val="Caption111"/>
    <w:basedOn w:val="736"/>
    <w:next w:val="856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7">
    <w:name w:val="Caption1111"/>
    <w:basedOn w:val="736"/>
    <w:next w:val="857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8">
    <w:name w:val="Caption11111"/>
    <w:basedOn w:val="736"/>
    <w:next w:val="858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59">
    <w:name w:val="caption111111"/>
    <w:basedOn w:val="736"/>
    <w:next w:val="859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60">
    <w:name w:val="index heading"/>
    <w:basedOn w:val="736"/>
    <w:next w:val="860"/>
    <w:pPr>
      <w:suppressLineNumbers w:val="true"/>
      <w:pBdr/>
      <w:spacing/>
      <w:ind/>
    </w:pPr>
    <w:rPr>
      <w:rFonts w:cs="Lohit Devanagari"/>
    </w:rPr>
  </w:style>
  <w:style w:type="paragraph" w:styleId="861">
    <w:name w:val="caption1111111"/>
    <w:basedOn w:val="736"/>
    <w:next w:val="861"/>
    <w:link w:val="736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62">
    <w:name w:val="caption11111111"/>
    <w:basedOn w:val="736"/>
    <w:next w:val="862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63">
    <w:name w:val="footnote text"/>
    <w:basedOn w:val="736"/>
    <w:next w:val="863"/>
    <w:pPr>
      <w:pBdr/>
      <w:spacing/>
      <w:ind/>
    </w:pPr>
    <w:rPr>
      <w:sz w:val="20"/>
      <w:szCs w:val="20"/>
    </w:rPr>
  </w:style>
  <w:style w:type="paragraph" w:styleId="864">
    <w:name w:val="Колонтитул"/>
    <w:basedOn w:val="736"/>
    <w:next w:val="864"/>
    <w:link w:val="736"/>
    <w:pPr>
      <w:pBdr/>
      <w:spacing/>
      <w:ind/>
    </w:pPr>
  </w:style>
  <w:style w:type="paragraph" w:styleId="865">
    <w:name w:val="Header"/>
    <w:basedOn w:val="736"/>
    <w:next w:val="865"/>
    <w:link w:val="736"/>
    <w:pPr>
      <w:pBdr/>
      <w:tabs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66">
    <w:name w:val="TOC 1"/>
    <w:basedOn w:val="736"/>
    <w:next w:val="736"/>
    <w:link w:val="736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67">
    <w:name w:val="TOC 3"/>
    <w:basedOn w:val="736"/>
    <w:next w:val="736"/>
    <w:pPr>
      <w:pBdr/>
      <w:tabs>
        <w:tab w:val="left" w:leader="none" w:pos="1100"/>
        <w:tab w:val="right" w:leader="dot" w:pos="10053"/>
      </w:tabs>
      <w:spacing/>
      <w:ind w:right="0" w:firstLine="0" w:left="567"/>
    </w:pPr>
    <w:rPr>
      <w:rFonts w:cs="Calibri"/>
      <w:sz w:val="20"/>
      <w:szCs w:val="20"/>
    </w:rPr>
  </w:style>
  <w:style w:type="paragraph" w:styleId="868">
    <w:name w:val="TOC 4"/>
    <w:basedOn w:val="736"/>
    <w:next w:val="736"/>
    <w:link w:val="736"/>
    <w:pPr>
      <w:pBdr/>
      <w:spacing/>
      <w:ind w:right="0" w:firstLine="0" w:left="560"/>
    </w:pPr>
    <w:rPr>
      <w:rFonts w:cs="Calibri"/>
      <w:sz w:val="20"/>
      <w:szCs w:val="20"/>
    </w:rPr>
  </w:style>
  <w:style w:type="paragraph" w:styleId="869">
    <w:name w:val="List Paragraph"/>
    <w:basedOn w:val="736"/>
    <w:next w:val="869"/>
    <w:link w:val="736"/>
    <w:pPr>
      <w:pBdr/>
      <w:spacing w:after="0" w:before="0"/>
      <w:ind w:right="0" w:firstLine="0" w:left="720"/>
      <w:contextualSpacing w:val="true"/>
    </w:pPr>
    <w:rPr>
      <w:rFonts w:eastAsia="Calibri"/>
      <w:sz w:val="24"/>
      <w:szCs w:val="24"/>
    </w:rPr>
  </w:style>
  <w:style w:type="paragraph" w:styleId="870">
    <w:name w:val="Таблица"/>
    <w:basedOn w:val="736"/>
    <w:next w:val="870"/>
    <w:link w:val="736"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  <w:lang w:val="en-US" w:eastAsia="en-US"/>
    </w:rPr>
  </w:style>
  <w:style w:type="paragraph" w:styleId="871">
    <w:name w:val="Таблица шапка"/>
    <w:basedOn w:val="736"/>
    <w:next w:val="871"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72">
    <w:name w:val="Раздел положения"/>
    <w:basedOn w:val="736"/>
    <w:next w:val="872"/>
    <w:pPr>
      <w:pBdr/>
      <w:tabs>
        <w:tab w:val="left" w:leader="none" w:pos="360"/>
      </w:tabs>
      <w:spacing w:after="80" w:before="80"/>
      <w:ind w:right="0" w:hanging="360" w:left="360"/>
      <w:jc w:val="center"/>
    </w:pPr>
    <w:rPr>
      <w:b/>
      <w:sz w:val="32"/>
      <w:szCs w:val="32"/>
    </w:rPr>
  </w:style>
  <w:style w:type="paragraph" w:styleId="873">
    <w:name w:val="Подраздел раздела положения"/>
    <w:basedOn w:val="736"/>
    <w:next w:val="873"/>
    <w:link w:val="736"/>
    <w:pPr>
      <w:pBdr/>
      <w:tabs>
        <w:tab w:val="left" w:leader="none" w:pos="357"/>
      </w:tabs>
      <w:spacing w:after="80" w:before="80"/>
      <w:ind/>
      <w:jc w:val="both"/>
    </w:pPr>
  </w:style>
  <w:style w:type="paragraph" w:styleId="874">
    <w:name w:val="Balloon Text"/>
    <w:basedOn w:val="736"/>
    <w:next w:val="874"/>
    <w:pPr>
      <w:pBdr/>
      <w:spacing/>
      <w:ind/>
    </w:pPr>
    <w:rPr>
      <w:rFonts w:ascii="Tahoma" w:hAnsi="Tahoma" w:cs="Tahoma"/>
      <w:sz w:val="16"/>
      <w:szCs w:val="16"/>
    </w:rPr>
  </w:style>
  <w:style w:type="paragraph" w:styleId="875">
    <w:name w:val="Footer"/>
    <w:basedOn w:val="736"/>
    <w:next w:val="87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76">
    <w:name w:val="Содержимое врезки"/>
    <w:basedOn w:val="736"/>
    <w:next w:val="876"/>
    <w:link w:val="736"/>
    <w:pPr>
      <w:pBdr/>
      <w:spacing/>
      <w:ind/>
    </w:pPr>
  </w:style>
  <w:style w:type="paragraph" w:styleId="877">
    <w:name w:val="Содержимое таблицы"/>
    <w:basedOn w:val="736"/>
    <w:next w:val="877"/>
    <w:link w:val="736"/>
    <w:pPr>
      <w:widowControl w:val="false"/>
      <w:suppressLineNumbers w:val="true"/>
      <w:pBdr/>
      <w:spacing/>
      <w:ind/>
    </w:pPr>
  </w:style>
  <w:style w:type="paragraph" w:styleId="878">
    <w:name w:val="Заголовок таблицы"/>
    <w:basedOn w:val="877"/>
    <w:next w:val="878"/>
    <w:link w:val="736"/>
    <w:pPr>
      <w:pBdr/>
      <w:spacing/>
      <w:ind/>
      <w:jc w:val="center"/>
    </w:pPr>
    <w:rPr>
      <w:b/>
      <w:bCs/>
    </w:rPr>
  </w:style>
  <w:style w:type="paragraph" w:styleId="879">
    <w:name w:val="List Paragraph;Table-Normal;RSHB_Table-Normal;Заголовок_3;Подпись рисунка;Алроса_маркер (Уровень 4);Маркер;ПАРАГРАФ;Абзац списка2"/>
    <w:basedOn w:val="736"/>
    <w:next w:val="879"/>
    <w:link w:val="736"/>
    <w:pPr>
      <w:pBdr/>
      <w:spacing w:after="0" w:before="0"/>
      <w:ind w:right="0" w:firstLine="0" w:left="720"/>
      <w:contextualSpacing w:val="true"/>
    </w:pPr>
    <w:rPr>
      <w:rFonts w:eastAsia="Calibri"/>
      <w:sz w:val="24"/>
      <w:szCs w:val="24"/>
    </w:rPr>
  </w:style>
  <w:style w:type="paragraph" w:styleId="880">
    <w:name w:val="Style 5"/>
    <w:basedOn w:val="736"/>
    <w:next w:val="880"/>
    <w:link w:val="736"/>
    <w:pPr>
      <w:widowControl w:val="false"/>
      <w:pBdr/>
      <w:shd w:val="clear" w:color="auto" w:fill="ffffff"/>
      <w:spacing w:line="274" w:lineRule="exact"/>
      <w:ind/>
      <w:jc w:val="both"/>
    </w:pPr>
    <w:rPr>
      <w:rFonts w:ascii="Liberation Serif" w:hAnsi="Liberation Serif" w:eastAsia="Tahoma" w:cs="Lohit Devanagari"/>
      <w:sz w:val="20"/>
      <w:szCs w:val="20"/>
      <w:lang w:eastAsia="zh-CN" w:bidi="hi-IN"/>
    </w:rPr>
  </w:style>
  <w:style w:type="paragraph" w:styleId="881">
    <w:name w:val="Style 2"/>
    <w:basedOn w:val="736"/>
    <w:next w:val="881"/>
    <w:pPr>
      <w:widowControl w:val="false"/>
      <w:pBdr/>
      <w:shd w:val="clear" w:color="auto" w:fill="ffffff"/>
      <w:spacing w:line="278" w:lineRule="exact"/>
      <w:ind/>
      <w:jc w:val="both"/>
    </w:pPr>
    <w:rPr>
      <w:rFonts w:ascii="Liberation Serif" w:hAnsi="Liberation Serif" w:eastAsia="Tahoma" w:cs="Lohit Devanagari"/>
      <w:b/>
      <w:bCs/>
      <w:sz w:val="20"/>
      <w:szCs w:val="20"/>
      <w:lang w:eastAsia="zh-CN" w:bidi="hi-IN"/>
    </w:rPr>
  </w:style>
  <w:style w:type="paragraph" w:styleId="882">
    <w:name w:val="ConsPlusNormal"/>
    <w:next w:val="882"/>
    <w:link w:val="736"/>
    <w:pPr>
      <w:widowControl w:val="false"/>
      <w:pBdr/>
      <w:bidi w:val="false"/>
      <w:spacing w:after="0" w:before="0" w:line="240" w:lineRule="auto"/>
      <w:ind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Таллаева Акулина Николаевна</dc:creator>
  <cp:revision>46</cp:revision>
  <dcterms:created xsi:type="dcterms:W3CDTF">2023-10-09T21:28:00Z</dcterms:created>
  <dcterms:modified xsi:type="dcterms:W3CDTF">2026-09-04T01:33:16Z</dcterms:modified>
</cp:coreProperties>
</file>