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Приложение №1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к документации по запросу предложений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в электронной форме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Лот 51</w:t>
      </w:r>
      <w:r>
        <w:rPr>
          <w:rFonts w:eastAsia="Calibri"/>
          <w:sz w:val="24"/>
          <w:szCs w:val="24"/>
          <w:lang w:eastAsia="en-US"/>
        </w:rPr>
        <w:t>32</w:t>
      </w:r>
      <w:r>
        <w:rPr>
          <w:rFonts w:eastAsia="Calibri"/>
          <w:sz w:val="24"/>
          <w:szCs w:val="24"/>
          <w:lang w:eastAsia="en-US"/>
        </w:rPr>
        <w:t>-ТО ПРОД-2027-ТК-ПриволФ</w:t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Технические требования на оказание услуг</w:t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ОКПД2: 45.20.11 Услуги по техническому обслуживанию и текущему ремонту микроавтобусов марки Ford и Mercedes Benz для нужд Саратовского транспортного участка Приволжского филиала АО «ТК РусГидро»</w:t>
      </w:r>
    </w:p>
    <w:p>
      <w:pPr>
        <w:pStyle w:val="Heading1"/>
        <w:numPr>
          <w:ilvl w:val="0"/>
          <w:numId w:val="1"/>
        </w:numPr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Лот 5132-ТО ПРОД-2027-ТК-ПриволФ</w:t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br w:type="page"/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СОДЕРЖАНИЕ</w:t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b/>
        </w:rPr>
      </w:pPr>
      <w:r>
        <w:rPr>
          <w:b/>
        </w:rPr>
        <w:t>1.    Общие сведения …………………………………………………………………………………...…………………......3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40" w:right="0" w:hanging="0"/>
        <w:jc w:val="both"/>
        <w:rPr/>
      </w:pPr>
      <w:r>
        <w:rPr/>
        <w:t>1.1.</w:t>
        <w:tab/>
        <w:t>Обозначения и сокращения………………………………………………………………………….………………3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40" w:right="0" w:hanging="0"/>
        <w:jc w:val="both"/>
        <w:rPr/>
      </w:pPr>
      <w:r>
        <w:rPr/>
        <w:t>1.2.</w:t>
        <w:tab/>
        <w:t>Наименование закупаемой продукции…………………………………………………………..………………….3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40" w:right="0" w:hanging="0"/>
        <w:jc w:val="both"/>
        <w:rPr/>
      </w:pPr>
      <w:r>
        <w:rPr/>
        <w:t>1.3.</w:t>
        <w:tab/>
        <w:t>Цели оказания услуг………………………………………………………………………….………………………3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40" w:right="0" w:hanging="0"/>
        <w:jc w:val="both"/>
        <w:rPr/>
      </w:pPr>
      <w:r>
        <w:rPr/>
        <w:t>1.4.</w:t>
        <w:tab/>
        <w:t>Существующее положение…………………………………………………………………………….…………….3</w:t>
      </w:r>
    </w:p>
    <w:p>
      <w:pPr>
        <w:pStyle w:val="Normal"/>
        <w:numPr>
          <w:ilvl w:val="1"/>
        </w:numPr>
        <w:jc w:val="both"/>
        <w:rPr/>
      </w:pPr>
      <w:r>
        <w:rPr>
          <w:b/>
          <w:bCs/>
        </w:rPr>
        <w:t xml:space="preserve">      </w:t>
      </w:r>
      <w:r>
        <w:rPr/>
        <w:t xml:space="preserve"> </w:t>
      </w:r>
      <w:r>
        <w:rPr>
          <w:b/>
          <w:bCs/>
        </w:rPr>
        <w:t>Таблица 1. Перечень объектов заказчика ………………….……………..………………………….………………3</w:t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b/>
          <w:bCs/>
        </w:rPr>
      </w:pPr>
      <w:r>
        <w:rPr>
          <w:b/>
          <w:bCs/>
        </w:rPr>
        <w:t>2.    Требования к продукции …………………………………………………...…………………………………………..3</w:t>
      </w:r>
    </w:p>
    <w:p>
      <w:pPr>
        <w:pStyle w:val="Normal"/>
        <w:numPr>
          <w:ilvl w:val="0"/>
        </w:numPr>
        <w:ind w:right="0" w:hanging="0"/>
        <w:jc w:val="both"/>
        <w:rPr/>
      </w:pPr>
      <w:r>
        <w:rPr/>
        <w:t xml:space="preserve">        </w:t>
      </w:r>
      <w:r>
        <w:rPr/>
        <w:t xml:space="preserve">2.1. </w:t>
      </w:r>
      <w:r>
        <w:rPr>
          <w:bCs/>
        </w:rPr>
        <w:t>Требования к объемам и срокам оказания услуг……………………...…………………………………………...3</w:t>
      </w:r>
    </w:p>
    <w:p>
      <w:pPr>
        <w:pStyle w:val="Normal"/>
        <w:ind w:right="0" w:hanging="0"/>
        <w:jc w:val="both"/>
        <w:rPr/>
      </w:pPr>
      <w:r>
        <w:rPr>
          <w:bCs/>
        </w:rPr>
        <w:t xml:space="preserve">        </w:t>
      </w:r>
      <w:r>
        <w:rPr>
          <w:bCs/>
        </w:rPr>
        <w:t>2.1.1. Требования к перечню</w:t>
      </w:r>
      <w:r>
        <w:rPr/>
        <w:t xml:space="preserve"> и объему услуг……………………………...……………………………………………3</w:t>
      </w:r>
    </w:p>
    <w:p>
      <w:pPr>
        <w:pStyle w:val="Normal"/>
        <w:ind w:right="0" w:hanging="0"/>
        <w:jc w:val="both"/>
        <w:rPr/>
      </w:pPr>
      <w:r>
        <w:rPr>
          <w:lang w:val="ru-RU"/>
        </w:rPr>
        <w:t xml:space="preserve">        </w:t>
      </w:r>
      <w:r>
        <w:rPr>
          <w:b/>
          <w:bCs/>
          <w:lang w:val="ru-RU"/>
        </w:rPr>
        <w:t xml:space="preserve">Таблица </w:t>
      </w:r>
      <w:r>
        <w:rPr>
          <w:b/>
          <w:bCs/>
        </w:rPr>
        <w:t>2.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Перечень и объем оказываемых услуг …………………………………………………………………3</w:t>
      </w:r>
    </w:p>
    <w:p>
      <w:pPr>
        <w:pStyle w:val="Normal"/>
        <w:widowControl w:val="false"/>
        <w:jc w:val="both"/>
        <w:rPr/>
      </w:pPr>
      <w:r>
        <w:rPr/>
        <w:t xml:space="preserve">        </w:t>
      </w:r>
      <w:r>
        <w:rPr/>
        <w:t>2.1.2. Требования к срокам оказания услуг…...…………………………….…………………………………………..4</w:t>
      </w:r>
    </w:p>
    <w:p>
      <w:pPr>
        <w:pStyle w:val="Normal"/>
        <w:ind w:right="0" w:hanging="0"/>
        <w:jc w:val="both"/>
        <w:rPr/>
      </w:pPr>
      <w:r>
        <w:rPr>
          <w:lang w:val="ru-RU"/>
        </w:rPr>
        <w:t xml:space="preserve">       </w:t>
      </w: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Таблица 3. Требования </w:t>
      </w:r>
      <w:r>
        <w:rPr>
          <w:b/>
          <w:bCs/>
        </w:rPr>
        <w:t>к</w:t>
      </w:r>
      <w:r>
        <w:rPr>
          <w:b/>
          <w:bCs/>
          <w:lang w:val="ru-RU"/>
        </w:rPr>
        <w:t xml:space="preserve"> срокам </w:t>
      </w:r>
      <w:r>
        <w:rPr>
          <w:b/>
          <w:bCs/>
        </w:rPr>
        <w:t>оказания услуг…………………………………………………………………...4</w:t>
      </w:r>
    </w:p>
    <w:p>
      <w:pPr>
        <w:pStyle w:val="Normal"/>
        <w:ind w:right="0" w:hanging="0"/>
        <w:jc w:val="both"/>
        <w:rPr/>
      </w:pPr>
      <w:r>
        <w:rPr/>
        <w:t xml:space="preserve">        </w:t>
      </w:r>
      <w:r>
        <w:rPr/>
        <w:t>2.2. Требования к качеству продукции..……………………………………….………………………………………..5</w:t>
      </w:r>
    </w:p>
    <w:p>
      <w:pPr>
        <w:pStyle w:val="Normal"/>
        <w:ind w:right="0" w:hanging="0"/>
        <w:jc w:val="both"/>
        <w:rPr/>
      </w:pPr>
      <w:r>
        <w:rPr/>
        <w:t xml:space="preserve">        </w:t>
      </w:r>
      <w:r>
        <w:rPr>
          <w:b/>
          <w:bCs/>
        </w:rPr>
        <w:t>Таблица 4. Требования к качеству продукции...……………………………………………………………………5</w:t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b/>
        </w:rPr>
      </w:pPr>
      <w:r>
        <w:rPr>
          <w:b/>
        </w:rPr>
        <w:t>3.     Требования к документации по ценообразованию на этапе закупки ..…………………………………………..8</w:t>
      </w:r>
    </w:p>
    <w:p>
      <w:pPr>
        <w:pStyle w:val="Normal"/>
        <w:numPr>
          <w:ilvl w:val="0"/>
          <w:numId w:val="0"/>
        </w:numPr>
        <w:ind w:left="0" w:right="0" w:hanging="0"/>
        <w:jc w:val="left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4.     Требования к документации по ценообразованию на этапе заключения (исполнения) договора……………………………………………………………………………………………………….…………….….8</w:t>
      </w:r>
    </w:p>
    <w:p>
      <w:pPr>
        <w:pStyle w:val="Normal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Приложение № 1 детальная стоимость технического обслуживания Ford Transit В 703 СВ 763..……………………….9</w:t>
      </w:r>
    </w:p>
    <w:p>
      <w:pPr>
        <w:pStyle w:val="Normal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Приложение № 2 детальная стоимость технического обслуживания Mercedes Benz А 534 ТМ 763…………………...10</w:t>
      </w:r>
    </w:p>
    <w:p>
      <w:pPr>
        <w:pStyle w:val="Normal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b w:val="false"/>
              <w:i/>
              <w:i/>
            </w:rPr>
          </w:pPr>
          <w:r>
            <w:fldChar w:fldCharType="begin"/>
          </w:r>
          <w:r>
            <w:rPr>
              <w:i/>
              <w:b w:val="false"/>
            </w:rPr>
            <w:instrText xml:space="preserve"> TOC \z \o "1-4" \u \h</w:instrText>
          </w:r>
          <w:r>
            <w:rPr>
              <w:i/>
              <w:b w:val="false"/>
            </w:rPr>
            <w:fldChar w:fldCharType="separate"/>
          </w:r>
          <w:r>
            <w:rPr>
              <w:b w:val="false"/>
              <w:i/>
            </w:rPr>
          </w:r>
        </w:p>
        <w:p>
          <w:pPr>
            <w:pStyle w:val="Normal"/>
            <w:rPr>
              <w:b/>
              <w:i/>
              <w:i/>
            </w:rPr>
          </w:pPr>
          <w:r>
            <w:rPr>
              <w:b/>
              <w:i/>
            </w:rPr>
          </w:r>
        </w:p>
        <w:p>
          <w:pPr>
            <w:pStyle w:val="Normal"/>
            <w:rPr>
              <w:b/>
              <w:i/>
              <w:i/>
            </w:rPr>
          </w:pPr>
          <w:r>
            <w:rPr>
              <w:b/>
              <w:i/>
            </w:rPr>
          </w:r>
        </w:p>
        <w:p>
          <w:pPr>
            <w:pStyle w:val="Normal"/>
            <w:rPr>
              <w:i/>
              <w:i/>
            </w:rPr>
          </w:pPr>
          <w:r>
            <w:rPr>
              <w:i/>
            </w:rPr>
          </w:r>
        </w:p>
        <w:p>
          <w:pPr>
            <w:pStyle w:val="Normal"/>
            <w:rPr>
              <w:i/>
              <w:i/>
            </w:rPr>
          </w:pPr>
          <w:r>
            <w:rPr>
              <w:i/>
            </w:rPr>
          </w:r>
        </w:p>
        <w:p>
          <w:pPr>
            <w:pStyle w:val="Normal"/>
            <w:rPr>
              <w:i/>
              <w:i/>
            </w:rPr>
          </w:pPr>
          <w:r>
            <w:rPr>
              <w:i/>
            </w:rPr>
          </w:r>
        </w:p>
        <w:p>
          <w:pPr>
            <w:pStyle w:val="Normal"/>
            <w:rPr>
              <w:i/>
              <w:i/>
            </w:rPr>
          </w:pPr>
          <w:r>
            <w:rPr>
              <w:i/>
            </w:rPr>
          </w:r>
        </w:p>
        <w:p>
          <w:pPr>
            <w:pStyle w:val="Normal"/>
            <w:rPr>
              <w:i/>
              <w:i/>
            </w:rPr>
          </w:pPr>
          <w:r>
            <w:rPr>
              <w:i/>
            </w:rPr>
          </w:r>
        </w:p>
        <w:p>
          <w:pPr>
            <w:pStyle w:val="Normal"/>
            <w:rPr>
              <w:i/>
              <w:i/>
            </w:rPr>
          </w:pPr>
          <w:r>
            <w:rPr>
              <w:i/>
            </w:rPr>
          </w:r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lang w:eastAsia="zh-CN"/>
        </w:rPr>
      </w:pPr>
      <w:r>
        <w:rPr>
          <w:lang w:eastAsia="zh-CN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120" w:after="60"/>
        <w:ind w:left="720" w:hanging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120" w:after="60"/>
        <w:ind w:left="720" w:hanging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120" w:after="60"/>
        <w:ind w:left="720" w:hanging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120" w:after="60"/>
        <w:ind w:left="720" w:hanging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120" w:after="60"/>
        <w:ind w:left="720" w:hanging="0"/>
        <w:jc w:val="center"/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sz w:val="28"/>
          <w:szCs w:val="28"/>
        </w:rPr>
        <w:t>1. Общие сведения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right="0" w:hanging="432"/>
        <w:outlineLvl w:val="3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1.1.</w:t>
        <w:tab/>
        <w:tab/>
      </w:r>
      <w:r>
        <w:rPr>
          <w:rFonts w:eastAsia="Calibri"/>
          <w:b/>
          <w:bCs/>
          <w:sz w:val="24"/>
          <w:szCs w:val="24"/>
          <w:lang w:val="ru-RU"/>
        </w:rPr>
        <w:t>Обозначения и сокращения</w:t>
      </w:r>
    </w:p>
    <w:p>
      <w:pPr>
        <w:pStyle w:val="Normal"/>
        <w:rPr>
          <w:rFonts w:eastAsia="Calibri"/>
          <w:b/>
          <w:bCs/>
        </w:rPr>
      </w:pPr>
      <w:r>
        <w:rPr>
          <w:rFonts w:eastAsia="Calibri"/>
          <w:b/>
          <w:bCs/>
        </w:rPr>
      </w:r>
    </w:p>
    <w:tbl>
      <w:tblPr>
        <w:tblW w:w="9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7229"/>
      </w:tblGrid>
      <w:tr>
        <w:trPr>
          <w:cantSplit w:val="true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/>
            </w:pPr>
            <w:r>
              <w:rPr/>
              <w:t>ТС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/>
            </w:pPr>
            <w:r>
              <w:rPr/>
              <w:t>ТО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Техническое обслуживание</w:t>
            </w:r>
          </w:p>
        </w:tc>
      </w:tr>
      <w:tr>
        <w:trPr>
          <w:cantSplit w:val="true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/>
            </w:pPr>
            <w:r>
              <w:rPr/>
              <w:t>ТР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Текущий ремонт</w:t>
            </w:r>
          </w:p>
        </w:tc>
      </w:tr>
      <w:tr>
        <w:trPr>
          <w:cantSplit w:val="true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/>
            </w:pPr>
            <w:r>
              <w:rPr/>
              <w:t>Н.Ч.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Норма/час</w:t>
            </w:r>
          </w:p>
        </w:tc>
      </w:tr>
    </w:tbl>
    <w:p>
      <w:pPr>
        <w:pStyle w:val="Normal"/>
        <w:ind w:left="786" w:right="0" w:hanging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</w:p>
    <w:p>
      <w:pPr>
        <w:pStyle w:val="Normal"/>
        <w:tabs>
          <w:tab w:val="clear" w:pos="720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1.2.</w:t>
        <w:tab/>
        <w:tab/>
      </w:r>
      <w:r>
        <w:rPr>
          <w:b/>
          <w:bCs/>
          <w:sz w:val="24"/>
          <w:szCs w:val="24"/>
        </w:rPr>
        <w:t>Наименование закупаемой продукции</w:t>
      </w:r>
    </w:p>
    <w:p>
      <w:pPr>
        <w:pStyle w:val="Normal"/>
        <w:jc w:val="both"/>
        <w:rPr>
          <w:b/>
          <w:bCs/>
          <w:spacing w:val="-2"/>
          <w:sz w:val="24"/>
          <w:szCs w:val="24"/>
        </w:rPr>
      </w:pPr>
      <w:r>
        <w:rPr>
          <w:sz w:val="24"/>
          <w:szCs w:val="24"/>
        </w:rPr>
        <w:tab/>
        <w:t>ОКПД2: 45.20.11 Услуги по техническому обслуживанию и текущему ремонту микроавтобусов марки Ford и Mercedes Benz для нужд Саратовского транспортного участка Приволжского филиала АО «ТК РусГидро»</w:t>
      </w:r>
    </w:p>
    <w:p>
      <w:pPr>
        <w:pStyle w:val="Normal"/>
        <w:jc w:val="both"/>
        <w:rPr>
          <w:b/>
          <w:bCs/>
          <w:spacing w:val="-2"/>
          <w:sz w:val="12"/>
          <w:szCs w:val="12"/>
        </w:rPr>
      </w:pPr>
      <w:r>
        <w:rPr>
          <w:b/>
          <w:bCs/>
          <w:spacing w:val="-2"/>
          <w:sz w:val="12"/>
          <w:szCs w:val="12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26" w:leader="none"/>
        </w:tabs>
        <w:ind w:left="0" w:hanging="0"/>
        <w:jc w:val="both"/>
        <w:outlineLvl w:val="8"/>
        <w:rPr>
          <w:bCs/>
          <w:sz w:val="24"/>
        </w:rPr>
      </w:pPr>
      <w:r>
        <w:rPr>
          <w:b/>
          <w:bCs/>
          <w:spacing w:val="-10"/>
          <w:sz w:val="24"/>
          <w:szCs w:val="24"/>
        </w:rPr>
        <w:t>1.3.</w:t>
        <w:tab/>
        <w:tab/>
        <w:t>Цель оказания услуг</w:t>
      </w:r>
    </w:p>
    <w:p>
      <w:pPr>
        <w:pStyle w:val="Normal"/>
        <w:ind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1.3.1.</w:t>
        <w:tab/>
        <w:t>Проведение технического обслуживания, диагностических и сопутствующих работ с соблюдением инструкций по эксплуатации транспортных средств (далее - ТС), государственных стандартов к техническому состоянию ТС, с целью поддержания надлежащего технического состояния ТС.</w:t>
      </w:r>
    </w:p>
    <w:p>
      <w:pPr>
        <w:pStyle w:val="Normal"/>
        <w:ind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jc w:val="both"/>
        <w:rPr>
          <w:rFonts w:eastAsia="Calibri"/>
          <w:b/>
          <w:bCs/>
          <w:spacing w:val="-2"/>
          <w:sz w:val="24"/>
          <w:szCs w:val="24"/>
          <w:lang w:eastAsia="en-US"/>
        </w:rPr>
      </w:pPr>
      <w:r>
        <w:rPr>
          <w:rFonts w:eastAsia="Calibri"/>
          <w:b/>
          <w:bCs/>
          <w:spacing w:val="-2"/>
          <w:sz w:val="24"/>
          <w:szCs w:val="24"/>
          <w:lang w:eastAsia="en-US"/>
        </w:rPr>
        <w:t xml:space="preserve">1.4. </w:t>
        <w:tab/>
        <w:t>Существующее положение</w:t>
      </w:r>
    </w:p>
    <w:p>
      <w:pPr>
        <w:pStyle w:val="Normal"/>
        <w:jc w:val="both"/>
        <w:rPr>
          <w:bCs/>
          <w:spacing w:val="-2"/>
          <w:sz w:val="12"/>
          <w:szCs w:val="12"/>
        </w:rPr>
      </w:pPr>
      <w:r>
        <w:rPr>
          <w:bCs/>
          <w:spacing w:val="-2"/>
          <w:sz w:val="12"/>
          <w:szCs w:val="12"/>
        </w:rPr>
      </w:r>
    </w:p>
    <w:p>
      <w:pPr>
        <w:pStyle w:val="Normal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Таблица 1. Перечень объектов заказчика</w:t>
      </w:r>
    </w:p>
    <w:tbl>
      <w:tblPr>
        <w:tblW w:w="10035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85"/>
        <w:gridCol w:w="3133"/>
        <w:gridCol w:w="2117"/>
        <w:gridCol w:w="2128"/>
        <w:gridCol w:w="2072"/>
      </w:tblGrid>
      <w:tr>
        <w:trPr/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объекта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Расположение объекта </w:t>
              <w:br/>
            </w:r>
            <w:r>
              <w:rPr>
                <w:i/>
                <w:iCs/>
              </w:rPr>
              <w:t>(место оказания услуг)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Наименование основного средства </w:t>
              <w:br/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Примечания</w:t>
            </w:r>
          </w:p>
        </w:tc>
      </w:tr>
      <w:tr>
        <w:trPr/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5</w:t>
            </w:r>
          </w:p>
        </w:tc>
      </w:tr>
      <w:tr>
        <w:trPr>
          <w:trHeight w:val="101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Услуги по техническому обслуживанию и текущему ремонту микроавтобусов марки Ford и Mercedes Benz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Cs w:val="24"/>
              </w:rPr>
              <w:t>Саратовская область, г. Балаково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Ford Transit</w:t>
            </w:r>
          </w:p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В 703 СВ 763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iCs/>
                <w:szCs w:val="24"/>
              </w:rPr>
              <w:t>Приволжский филиал АО «ТК РусГидро»</w:t>
            </w:r>
          </w:p>
        </w:tc>
      </w:tr>
      <w:tr>
        <w:trPr>
          <w:trHeight w:val="137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sz w:val="22"/>
                <w:szCs w:val="24"/>
              </w:rPr>
            </w:pPr>
            <w:r>
              <w:rPr>
                <w:rFonts w:eastAsia="Calibri"/>
                <w:bCs/>
                <w:iCs/>
                <w:sz w:val="22"/>
                <w:szCs w:val="24"/>
              </w:rPr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sz w:val="22"/>
                <w:szCs w:val="24"/>
              </w:rPr>
            </w:pPr>
            <w:r>
              <w:rPr>
                <w:rFonts w:eastAsia="Calibri"/>
                <w:bCs/>
                <w:iCs/>
                <w:sz w:val="22"/>
                <w:szCs w:val="24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Mercedes Benz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А 534 ТМ 763</w:t>
            </w:r>
          </w:p>
        </w:tc>
        <w:tc>
          <w:tcPr>
            <w:tcW w:w="20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color w:val="000000"/>
                <w:sz w:val="18"/>
                <w:szCs w:val="24"/>
                <w:lang w:val="en-US"/>
              </w:rPr>
            </w:pPr>
            <w:r>
              <w:rPr>
                <w:bCs/>
                <w:iCs/>
                <w:color w:val="000000"/>
                <w:sz w:val="18"/>
                <w:szCs w:val="24"/>
                <w:lang w:val="en-US"/>
              </w:rPr>
            </w:r>
          </w:p>
        </w:tc>
      </w:tr>
    </w:tbl>
    <w:p>
      <w:pPr>
        <w:pStyle w:val="Normal"/>
        <w:ind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-57" w:hanging="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  <w:tab/>
        <w:t>Требования к продукции.</w:t>
      </w:r>
    </w:p>
    <w:p>
      <w:pPr>
        <w:pStyle w:val="Normal"/>
        <w:numPr>
          <w:ilvl w:val="0"/>
          <w:numId w:val="0"/>
        </w:numPr>
        <w:spacing w:before="0" w:after="0"/>
        <w:ind w:left="-57" w:hanging="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  <w:tab/>
        <w:t>Требования к объемам и срокам оказания услуг</w:t>
      </w:r>
    </w:p>
    <w:p>
      <w:pPr>
        <w:pStyle w:val="Normal"/>
        <w:numPr>
          <w:ilvl w:val="0"/>
          <w:numId w:val="0"/>
        </w:numPr>
        <w:spacing w:before="0" w:after="0"/>
        <w:ind w:left="-57" w:hanging="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2.1.1. </w:t>
        <w:tab/>
        <w:t>Требования к перечню</w:t>
      </w:r>
      <w:r>
        <w:rPr>
          <w:rFonts w:eastAsia="Calibri"/>
          <w:b/>
          <w:bCs/>
          <w:sz w:val="24"/>
          <w:szCs w:val="24"/>
        </w:rPr>
        <w:t xml:space="preserve"> и объему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val="x-none"/>
        </w:rPr>
        <w:t xml:space="preserve">Таблица </w:t>
      </w:r>
      <w:r>
        <w:rPr>
          <w:rFonts w:eastAsia="Calibri"/>
          <w:b/>
          <w:sz w:val="24"/>
          <w:szCs w:val="24"/>
        </w:rPr>
        <w:t>2.</w:t>
      </w:r>
      <w:r>
        <w:rPr>
          <w:rFonts w:eastAsia="Calibri"/>
          <w:b/>
          <w:sz w:val="24"/>
          <w:szCs w:val="24"/>
          <w:lang w:val="x-none"/>
        </w:rPr>
        <w:t xml:space="preserve"> </w:t>
      </w:r>
      <w:r>
        <w:rPr>
          <w:rFonts w:eastAsia="Calibri"/>
          <w:b/>
          <w:sz w:val="24"/>
          <w:szCs w:val="24"/>
        </w:rPr>
        <w:t>Перечень и объем оказываемых услуг</w:t>
      </w:r>
    </w:p>
    <w:tbl>
      <w:tblPr>
        <w:tblW w:w="10035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5523"/>
        <w:gridCol w:w="2143"/>
        <w:gridCol w:w="1575"/>
      </w:tblGrid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услуг / этапа услуг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Единица измерения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Количество*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Услуги по техническому обслуживанию и текущему ремонту микроавтобусов марки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Ford Transit В 703 СВ 763</w:t>
            </w:r>
          </w:p>
        </w:tc>
      </w:tr>
      <w:tr>
        <w:trPr/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5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140 000 км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усл. ед.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1.2.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160 000 км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усл. ед.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5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Работы по текущему ремонту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н.ч.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Услуги по техническому обслуживанию и текущему ремонту микроавтобусов марки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Mercedes-Benz А 534 ТМ 763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2.1.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165 000 км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усл. ед.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2.2.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180 000 км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усл. ед.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2.3.</w:t>
            </w:r>
          </w:p>
        </w:tc>
        <w:tc>
          <w:tcPr>
            <w:tcW w:w="5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Работы по текущему ремонту</w:t>
            </w:r>
          </w:p>
        </w:tc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н.ч.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*- объем оказываемых услуг является ориентировочным и Заказчик не несет ответственности за неполную выборку услуг на общую сумму договора. 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2.1.2.</w:t>
        <w:tab/>
        <w:t>Требования к срокам оказания услуг</w:t>
      </w:r>
    </w:p>
    <w:p>
      <w:pPr>
        <w:pStyle w:val="NoSpacing"/>
        <w:rPr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Таблица 3. </w:t>
      </w:r>
      <w:bookmarkStart w:id="0" w:name="_Hlk50465284"/>
      <w:r>
        <w:rPr>
          <w:rFonts w:cs="Times New Roman" w:ascii="Times New Roman" w:hAnsi="Times New Roman"/>
          <w:b/>
          <w:bCs/>
        </w:rPr>
        <w:t xml:space="preserve">Требования к срокам </w:t>
      </w:r>
      <w:bookmarkEnd w:id="0"/>
      <w:r>
        <w:rPr>
          <w:rFonts w:cs="Times New Roman" w:ascii="Times New Roman" w:hAnsi="Times New Roman"/>
          <w:b/>
          <w:bCs/>
        </w:rPr>
        <w:t>оказания услуг</w:t>
      </w:r>
    </w:p>
    <w:tbl>
      <w:tblPr>
        <w:tblW w:w="10020" w:type="dxa"/>
        <w:jc w:val="left"/>
        <w:tblInd w:w="1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0"/>
        <w:gridCol w:w="3544"/>
        <w:gridCol w:w="2675"/>
        <w:gridCol w:w="2950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услуг/ этапа услуг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оказания услуг/ этапа услуг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Услуги по техническому обслуживанию и текущему ремонту микроавтобусов марки Ford и Mercedes Benz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 заключения договора, но не ранее 01.04.2027г.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31.03.2028г.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709" w:gutter="0" w:header="720" w:top="851" w:footer="720" w:bottom="993"/>
          <w:pgNumType w:fmt="decimal"/>
          <w:formProt w:val="false"/>
          <w:textDirection w:val="lrTb"/>
          <w:docGrid w:type="default" w:linePitch="360" w:charSpace="24576"/>
        </w:sectPr>
      </w:pPr>
    </w:p>
    <w:p>
      <w:pPr>
        <w:pStyle w:val="Heading4"/>
        <w:numPr>
          <w:ilvl w:val="3"/>
          <w:numId w:val="1"/>
        </w:numPr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2.2. </w:t>
        <w:tab/>
      </w:r>
      <w:r>
        <w:rPr>
          <w:rFonts w:ascii="Times New Roman" w:hAnsi="Times New Roman"/>
          <w:sz w:val="24"/>
          <w:szCs w:val="24"/>
        </w:rPr>
        <w:t>Требования к качеству продукции</w:t>
      </w:r>
    </w:p>
    <w:p>
      <w:pPr>
        <w:pStyle w:val="Heading4"/>
        <w:numPr>
          <w:ilvl w:val="0"/>
          <w:numId w:val="1"/>
        </w:numPr>
        <w:spacing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 4. Требования к качеству продукции</w:t>
      </w:r>
    </w:p>
    <w:p>
      <w:pPr>
        <w:pStyle w:val="Normal"/>
        <w:keepNext w:val="true"/>
        <w:keepLines/>
        <w:tabs>
          <w:tab w:val="clear" w:pos="720"/>
          <w:tab w:val="left" w:pos="426" w:leader="none"/>
        </w:tabs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1-2 Таблицы 2): </w:t>
      </w:r>
      <w:r>
        <w:rPr>
          <w:sz w:val="24"/>
          <w:szCs w:val="24"/>
          <w:lang w:eastAsia="ru-RU"/>
        </w:rPr>
        <w:t>ОКПД2: 45.20.11 Услуги по техническому обслуживанию и текущему ремонту микроавтобусов марки Ford и Mercedes Benz для нужд Саратовского транспортного участка Приволжского филиала АО «ТК РусГидро»</w:t>
      </w:r>
    </w:p>
    <w:tbl>
      <w:tblPr>
        <w:tblW w:w="15020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3181"/>
        <w:gridCol w:w="7198"/>
        <w:gridCol w:w="2101"/>
        <w:gridCol w:w="1821"/>
      </w:tblGrid>
      <w:tr>
        <w:trPr/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№ </w:t>
            </w:r>
            <w:r>
              <w:rPr>
                <w:b/>
                <w:bCs/>
                <w:lang w:eastAsia="ru-RU"/>
              </w:rPr>
              <w:t>п/п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Наименование параметра</w:t>
            </w:r>
          </w:p>
        </w:tc>
        <w:tc>
          <w:tcPr>
            <w:tcW w:w="7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Требование заказчика</w:t>
            </w:r>
          </w:p>
        </w:tc>
        <w:tc>
          <w:tcPr>
            <w:tcW w:w="3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741" w:hRule="atLeast"/>
        </w:trPr>
        <w:tc>
          <w:tcPr>
            <w:tcW w:w="7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1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Согласие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>с требованием/ указание характеристик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b w:val="false"/>
                <w:bCs w:val="false"/>
                <w:i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b w:val="false"/>
                <w:bCs w:val="false"/>
                <w:i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b w:val="false"/>
                <w:bCs w:val="false"/>
                <w:i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b w:val="false"/>
                <w:bCs w:val="false"/>
                <w:i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b w:val="false"/>
                <w:bCs w:val="false"/>
                <w:i/>
                <w:iCs/>
                <w:sz w:val="16"/>
                <w:szCs w:val="16"/>
                <w:lang w:eastAsia="ru-RU"/>
              </w:rPr>
              <w:t>5</w:t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napToGrid w:val="false"/>
              <w:spacing w:before="60" w:after="60"/>
              <w:ind w:left="-57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оказанию услуг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1.1.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Общие требования к оказанию услуг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1.1.1.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Основание для оказания услуг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bCs/>
                <w:lang w:eastAsia="ru-RU"/>
              </w:rPr>
              <w:t>Исполнитель обязуется принять ТС Заказчика для оказания услуг по техническому обслуживанию и текущему ремонту в срок не более 2-х рабочих дней с момента подачи заявки Заказчиком.</w:t>
            </w:r>
          </w:p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bCs/>
                <w:lang w:eastAsia="ru-RU"/>
              </w:rPr>
              <w:t>После рассмотрения предварительного заказ-наряда и общей суммы ремонта представитель Заказчика принимает решение на проведение или не проведение технических воздействий.</w:t>
            </w:r>
          </w:p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bCs/>
                <w:lang w:eastAsia="ru-RU"/>
              </w:rPr>
              <w:t>Устранение дополнительных неисправностей, выявленных специалистами Исполнителя при проведении технического обслуживания или ремонта ТС производится на основании дополнительного заказ-наряда, предварительно согласованного с представителями Заказчика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jc w:val="center"/>
              <w:rPr/>
            </w:pPr>
            <w:r>
              <w:rPr/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1.1.2.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Виды оказываемых услуг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lang w:eastAsia="ru-RU"/>
              </w:rPr>
              <w:t>Исполнитель должен оказывать регламентное техническое обслуживание ТС;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lang w:eastAsia="ru-RU"/>
              </w:rPr>
              <w:t>текущий ремонт ТС; диагностику узлов и агрегатов ТС.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  <w:lang w:eastAsia="ru-RU"/>
              </w:rPr>
              <w:t>Исполнитель должен обеспечить сохранность ТС и их комплектацию при оказании Услуг.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>
          <w:trHeight w:val="603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1.1.3.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Расходные материалы и запчасти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Исполнитель при оказании услуг должен осуществлять ТО и ТР с использованием собственных материалов и запчастей или материалов и запчастей Заказчика.</w:t>
            </w:r>
          </w:p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/>
              <w:t>Исполнитель обязуется предварительно согласовывать с Заказчиком стоимость и происхождение (оригинал/аналог) запасных частей, используемых в ходе проведения технических воздействий на ТС. Все расходные материалы и запчасти, замененные в процессе проведения ТО и ТР ТС Заказчика, переходят в собственность Исполнителя, и утилизируются его силами.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57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1.1.4.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Возможность выбора запасных частей и расходных материалов.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Предоставить возможность выбора запасных частей и расходных материалов у различных официальных источников. Срок поставки необходимых запасных частей, узлов и агрегатов – не более 15 календарных дней с момента согласования стоимости и перечня работ с Заказчиком.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57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1.1.5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Осуществление контроля</w:t>
            </w:r>
          </w:p>
        </w:tc>
        <w:tc>
          <w:tcPr>
            <w:tcW w:w="7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1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57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1.1.6.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Место оказания услуг</w:t>
            </w:r>
          </w:p>
        </w:tc>
        <w:tc>
          <w:tcPr>
            <w:tcW w:w="7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50" w:leader="none"/>
                <w:tab w:val="left" w:pos="1717" w:leader="none"/>
                <w:tab w:val="left" w:pos="1883" w:leader="none"/>
              </w:tabs>
              <w:jc w:val="both"/>
              <w:rPr>
                <w:bCs/>
              </w:rPr>
            </w:pPr>
            <w:r>
              <w:rPr>
                <w:bCs/>
              </w:rPr>
              <w:t>Исполнитель должен предоставлять услуги по техническому обслуживанию и текущему ремонту автомобилей Ford Transit, Mercedes Benz и иметь станцию технического обслуживания в г. Балаково Саратовской области.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1.2.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способам оказания услуг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1.2.1.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lang w:eastAsia="ru-RU"/>
              </w:rPr>
            </w:pPr>
            <w:r>
              <w:rPr>
                <w:lang w:eastAsia="ru-RU"/>
              </w:rPr>
              <w:t>Техническое обслуживание и технический ремонт ТС должен проводиться с соблюдением «Правил оказания услуг (выполнения работ) по техническому обслуживанию и ремонту автомототранспортных средств», утвержденных Постановлением  Правительства РФ от 29.05.2025 № 780 (в действующей редакции), инструкций по эксплуатации ТС, государственных стандартов к техническому состоянию ТС с целью поддержания надлежащего технического состояния ТС.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1.3.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1.3.1.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lang w:eastAsia="ru-RU"/>
              </w:rPr>
            </w:pPr>
            <w:r>
              <w:rPr>
                <w:lang w:eastAsia="ru-RU"/>
              </w:rPr>
              <w:t>Требования к характеристикам устанавливаемых деталей, узлов, механизмов, материалам, маслам и специальных жидкостей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Устанавливаемые и используемые на ТС детали, узлы, механизмы, материалы, приборы, масла и специальные жидкости должны быть новыми, не бывшими в употреблении, не восстановленными, не содержать восстановленных элементов, не должны иметь дефектов, связанных с конструкцией, материалами или работой по их изготовлению. Должны соответствовать рекомендациям, изложенным в руководстве по эксплуатации, выданным заводом-изготовителем, для данной марки автомобиля.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1.4.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персоналу исполнителя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1.4.1.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/>
            </w:pPr>
            <w:r>
              <w:rPr>
                <w:lang w:eastAsia="ru-RU"/>
              </w:rPr>
              <w:t xml:space="preserve">Проведение ТО и </w:t>
            </w:r>
            <w:r>
              <w:rPr>
                <w:rFonts w:eastAsia="Calibri"/>
                <w:lang w:eastAsia="ru-RU"/>
              </w:rPr>
              <w:t xml:space="preserve">ТР </w:t>
            </w:r>
            <w:r>
              <w:rPr>
                <w:lang w:eastAsia="ru-RU"/>
              </w:rPr>
              <w:t>ТС</w:t>
            </w:r>
            <w:r>
              <w:rPr>
                <w:rFonts w:eastAsia="Calibri"/>
                <w:lang w:eastAsia="ru-RU"/>
              </w:rPr>
              <w:t xml:space="preserve"> </w:t>
            </w:r>
            <w:r>
              <w:rPr>
                <w:lang w:eastAsia="ru-RU"/>
              </w:rPr>
              <w:t>должно выполняться квалифицированным персоналом.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napToGrid w:val="false"/>
              <w:spacing w:before="60" w:after="60"/>
              <w:ind w:left="0" w:right="0" w:hanging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lang w:eastAsia="ru-RU"/>
              </w:rPr>
              <w:t>Требования к результатам у</w:t>
            </w:r>
            <w:r>
              <w:rPr>
                <w:b/>
                <w:lang w:eastAsia="ru-RU"/>
              </w:rPr>
              <w:t>слуг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2.1.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Общие требования к результатам услуг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2.1.1.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После выполнения работ ТС должно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N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(в действующей редакции)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2.2.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2.2.1.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  <w:t>ТС, прошедшие ТО и ТР, должно отвечать требованиям Технического регламента Таможенного союза ТР ТС 018/2011 «О безопасности колесных транспортных средств», утвержденного Решением Комиссии Таможенного союза от 09.12.2011г №877 (в действующей редакции).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2.3.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Style w:val="Style8"/>
                <w:b w:val="false"/>
                <w:bCs/>
                <w:i w:val="false"/>
                <w:i w:val="false"/>
                <w:shd w:fill="auto" w:val="clear"/>
                <w:lang w:eastAsia="ru-RU"/>
              </w:rPr>
            </w:pPr>
            <w:r>
              <w:rPr>
                <w:b/>
                <w:bCs/>
                <w:lang w:eastAsia="ru-RU"/>
              </w:rPr>
              <w:t>Требования к приемке результата оказания у</w:t>
            </w:r>
            <w:r>
              <w:rPr>
                <w:b/>
                <w:lang w:eastAsia="ru-RU"/>
              </w:rPr>
              <w:t>слуг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134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2.3.1.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lang w:eastAsia="ru-RU"/>
              </w:rPr>
            </w:pPr>
            <w:r>
              <w:rPr>
                <w:lang w:eastAsia="ru-RU"/>
              </w:rPr>
              <w:t>Осмотр ТС после оказании услуги.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lang w:eastAsia="ru-RU"/>
              </w:rPr>
            </w:pPr>
            <w:r>
              <w:rPr>
                <w:lang w:eastAsia="ru-RU"/>
              </w:rPr>
              <w:t>После оказании услуги, Заказчик проводит визуальный осмотр ТС на предмет соответствия заменённых деталей, узлов, агрегатов, механизмов в процессе ремонта.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2.4.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2.4.1.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Акт сдачи-приемки оказанных услуг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Исполнитель передает Заказчику акт сдачи-приемки оказанных услуг в двух экземплярах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118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25" w:right="0" w:hanging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2.4.2.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Счет на оплату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Исполнитель передает счет на оплату после оказания услуги.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>
          <w:trHeight w:val="404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2.4.3.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Счет-фактура (если контрагент является плательщиком НДС) / УПД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eastAsia="ru-RU"/>
              </w:rPr>
            </w:pPr>
            <w:r>
              <w:rPr>
                <w:lang w:eastAsia="ru-RU"/>
              </w:rPr>
              <w:t>Исполнитель передает счет фактуру или универсальный передаточный документ (если Исполнитель является плательщиком НДС)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>
          <w:trHeight w:val="134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napToGrid w:val="false"/>
              <w:spacing w:before="60" w:after="60"/>
              <w:ind w:left="-57" w:right="0" w:hanging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60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Требования к ответственности и гарантиям исполнителя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113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3.1.</w:t>
            </w:r>
          </w:p>
        </w:tc>
        <w:tc>
          <w:tcPr>
            <w:tcW w:w="10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Исполнитель обязан предоставить гарантию на проведенные работы по техническому обслуживанию и текущему ремонту должны составлять не менее 3 месяцев, 1000 километров пробега, что наступит ранее при условии эксплуатации ТС согласно руководству по эксплуатации.</w:t>
            </w:r>
          </w:p>
        </w:tc>
        <w:tc>
          <w:tcPr>
            <w:tcW w:w="2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992" w:right="851" w:gutter="0" w:header="720" w:top="1134" w:footer="720" w:bottom="777"/>
          <w:pgNumType w:fmt="decimal"/>
          <w:formProt w:val="false"/>
          <w:textDirection w:val="lrTb"/>
          <w:docGrid w:type="default" w:linePitch="360" w:charSpace="24576"/>
        </w:sectPr>
      </w:pPr>
    </w:p>
    <w:p>
      <w:pPr>
        <w:pStyle w:val="Normal"/>
        <w:tabs>
          <w:tab w:val="clear" w:pos="720"/>
          <w:tab w:val="left" w:pos="284" w:leader="none"/>
        </w:tabs>
        <w:jc w:val="both"/>
        <w:rPr>
          <w:rFonts w:eastAsia="Calibri"/>
          <w:sz w:val="24"/>
          <w:szCs w:val="22"/>
        </w:rPr>
      </w:pPr>
      <w:r>
        <w:rPr>
          <w:rFonts w:eastAsia="Calibri"/>
          <w:b/>
          <w:sz w:val="24"/>
          <w:szCs w:val="24"/>
        </w:rPr>
        <w:t>3.</w:t>
        <w:tab/>
        <w:tab/>
        <w:t>Требования к документации по ценообразованию на этапе закупки</w:t>
      </w:r>
    </w:p>
    <w:p>
      <w:pPr>
        <w:pStyle w:val="Normal"/>
        <w:tabs>
          <w:tab w:val="clear" w:pos="720"/>
          <w:tab w:val="left" w:pos="460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3.1.</w:t>
        <w:tab/>
        <w:tab/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услуг.</w:t>
      </w:r>
    </w:p>
    <w:p>
      <w:pPr>
        <w:pStyle w:val="Normal"/>
        <w:tabs>
          <w:tab w:val="clear" w:pos="720"/>
          <w:tab w:val="left" w:pos="460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3.2.</w:t>
        <w:tab/>
        <w:tab/>
        <w:t>В обоснование стоимости своей заявки Участник предоставляет Коммерческое предложение.</w:t>
      </w:r>
    </w:p>
    <w:p>
      <w:pPr>
        <w:pStyle w:val="Normal"/>
        <w:tabs>
          <w:tab w:val="clear" w:pos="720"/>
          <w:tab w:val="left" w:pos="460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3.3.</w:t>
        <w:tab/>
        <w:tab/>
        <w:t>Дополнительные документы по ценообразованию в состав заявки Участника не включаются.</w:t>
      </w:r>
    </w:p>
    <w:p>
      <w:pPr>
        <w:pStyle w:val="Normal"/>
        <w:tabs>
          <w:tab w:val="clear" w:pos="720"/>
          <w:tab w:val="left" w:pos="460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3.4.</w:t>
        <w:tab/>
        <w:tab/>
        <w:t>Детальная стоимость каждого технического обслуживания должна быть представлена для каждого ТС по образцу, указанному в приложении № 1-2 к ТТ (предоставляется дополнительно к Коммерческому предложению в составе заявки по форме в соответствии с техническим требованием).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20"/>
          <w:tab w:val="left" w:pos="340" w:leader="none"/>
        </w:tabs>
        <w:jc w:val="both"/>
        <w:rPr>
          <w:b/>
          <w:bCs/>
        </w:rPr>
      </w:pPr>
      <w:r>
        <w:rPr>
          <w:rFonts w:eastAsia="Calibri"/>
          <w:b/>
          <w:bCs/>
          <w:sz w:val="24"/>
          <w:szCs w:val="24"/>
        </w:rPr>
        <w:t>4.</w:t>
        <w:tab/>
        <w:tab/>
        <w:t>Требования к документации по ценообразованию на этапе заключения (исполнения) договора</w:t>
      </w:r>
    </w:p>
    <w:p>
      <w:pPr>
        <w:pStyle w:val="Normal"/>
        <w:tabs>
          <w:tab w:val="clear" w:pos="720"/>
          <w:tab w:val="left" w:pos="460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4.1.</w:t>
        <w:tab/>
        <w:tab/>
        <w:t xml:space="preserve">В итоговый расчет стоимости оказания услуг должны быть включены все налоги, сборы, пошлины и прочие обязательные платежи, возникающие в ходе исполнения обязательств по договору, а также стоимость расходных материалов, используемых в ходе проведения работ. </w:t>
      </w:r>
    </w:p>
    <w:p>
      <w:pPr>
        <w:pStyle w:val="Normal"/>
        <w:tabs>
          <w:tab w:val="clear" w:pos="720"/>
          <w:tab w:val="left" w:pos="460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4.2.</w:t>
        <w:tab/>
        <w:tab/>
        <w:t>Стоимость 1 (одной) единицы услуг остается неизменной в течение всего срока действия договора.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№1 - Детальная стоимость ТО Ford Transit В 703 СВ 763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№2 - Детальная стоимость ТО Mercedes Benz А 534 ТМ 763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740" w:leader="none"/>
        </w:tabs>
        <w:jc w:val="right"/>
        <w:rPr>
          <w:b/>
          <w:sz w:val="24"/>
        </w:rPr>
      </w:pPr>
      <w:r>
        <w:rPr>
          <w:bCs/>
          <w:sz w:val="24"/>
          <w:szCs w:val="24"/>
        </w:rPr>
        <w:t>Приложение №</w:t>
      </w:r>
      <w:r>
        <w:rPr>
          <w:sz w:val="24"/>
          <w:szCs w:val="24"/>
        </w:rPr>
        <w:t>1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35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035"/>
      </w:tblGrid>
      <w:tr>
        <w:trPr>
          <w:trHeight w:val="300" w:hRule="atLeast"/>
        </w:trPr>
        <w:tc>
          <w:tcPr>
            <w:tcW w:w="10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Детальная стоимость технического обслуживания и текущего ремонта</w:t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Детальная стоимость ТО 140 000 км автомобиля</w:t>
            </w:r>
            <w:r>
              <w:rPr/>
              <w:t xml:space="preserve"> </w:t>
            </w:r>
            <w:r>
              <w:rPr>
                <w:b/>
                <w:sz w:val="24"/>
              </w:rPr>
              <w:t>Ford Transit В 703 СВ 763</w:t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tbl>
            <w:tblPr>
              <w:tblW w:w="10058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108"/>
              <w:gridCol w:w="2055"/>
              <w:gridCol w:w="1307"/>
              <w:gridCol w:w="1065"/>
              <w:gridCol w:w="1523"/>
            </w:tblGrid>
            <w:tr>
              <w:trPr>
                <w:trHeight w:val="60" w:hRule="atLeast"/>
              </w:trPr>
              <w:tc>
                <w:tcPr>
                  <w:tcW w:w="1005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FFFF00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Ford Transit В 703 СВ 763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Вид ТО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 н/ч, руб. без НДС</w:t>
                  </w:r>
                </w:p>
              </w:tc>
              <w:tc>
                <w:tcPr>
                  <w:tcW w:w="3895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 ТО, руб. без НДС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1005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ТО 140 000 км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Моторное масло, масляный фильтр двигателя – замена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5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воздушный – замена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5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салона – замена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5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топливный – замена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5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Масло в МКПП - замена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5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Итого стоимость работ, без НДС: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5" w:type="dxa"/>
                  <w:gridSpan w:val="3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1005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Запасные части</w:t>
                  </w:r>
                </w:p>
              </w:tc>
            </w:tr>
            <w:tr>
              <w:trPr>
                <w:trHeight w:val="525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Наименование запчасти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Каталожный номер</w:t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Цена</w:t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Масло моторное синтетика Castrol Magnatec Diesel DPF 5W-40 4 л.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Шайба сливной пробки поддона двигателя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Масляный фильтр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Салонный фильтр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Воздушный фильтр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Топливный фильтр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Castrol 15D705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410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Смазка пластичная 400 гр</w:t>
                  </w:r>
                </w:p>
              </w:tc>
              <w:tc>
                <w:tcPr>
                  <w:tcW w:w="205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307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5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853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DBE5F1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color w:val="000000"/>
                      <w:sz w:val="16"/>
                      <w:szCs w:val="16"/>
                      <w:lang w:eastAsia="ru-RU"/>
                    </w:rPr>
                    <w:t>Итого стоимость запасных частей, руб. без НДС:</w:t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DBE5F1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853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000000" w:fill="CCFFFF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Итого стоимость ТО 140 000 км с запасными частями, руб. без НДС:</w:t>
                  </w:r>
                </w:p>
              </w:tc>
              <w:tc>
                <w:tcPr>
                  <w:tcW w:w="15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000000" w:fill="CCFFFF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tbl>
            <w:tblPr>
              <w:tblW w:w="9978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020"/>
              <w:gridCol w:w="2068"/>
              <w:gridCol w:w="1290"/>
              <w:gridCol w:w="1067"/>
              <w:gridCol w:w="1533"/>
            </w:tblGrid>
            <w:tr>
              <w:trPr>
                <w:trHeight w:val="315" w:hRule="atLeast"/>
              </w:trPr>
              <w:tc>
                <w:tcPr>
                  <w:tcW w:w="9978" w:type="dxa"/>
                  <w:gridSpan w:val="5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Детальная стоимость ТО 160 000 км автомобиля</w:t>
                  </w:r>
                  <w:r>
                    <w:rPr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Ford Transit В 703 СВ 763</w:t>
                  </w:r>
                </w:p>
              </w:tc>
            </w:tr>
            <w:tr>
              <w:trPr>
                <w:trHeight w:val="315" w:hRule="exact"/>
              </w:trPr>
              <w:tc>
                <w:tcPr>
                  <w:tcW w:w="9978" w:type="dxa"/>
                  <w:gridSpan w:val="5"/>
                  <w:tcBorders>
                    <w:bottom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FFFF00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Ford Transit В 703 СВ 763</w:t>
                  </w:r>
                </w:p>
              </w:tc>
            </w:tr>
            <w:tr>
              <w:trPr>
                <w:trHeight w:val="525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Вид ТО</w:t>
                  </w:r>
                </w:p>
              </w:tc>
              <w:tc>
                <w:tcPr>
                  <w:tcW w:w="2068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 н/ч, руб. без НДС</w:t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 ТО, руб. без НДС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ТО 160 000 км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Моторное масло, масляный фильтр двигателя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воздушный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салона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топливный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Итого стоимость работ, без НДС: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Запасные части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Наименование запчасти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Каталожный номер</w:t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Цена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Масло моторное синтетика Castrol Magnatec Diesel DPF 5W-40 4 л.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Шайба сливной пробки поддона двигателя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Масляный фильтр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Салонный фильтр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Воздушный фильтр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Топливный фильтр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right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Смазка пластичная 400 гр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8445" w:type="dxa"/>
                  <w:gridSpan w:val="4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BE5F1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Итого стоимость запасных частей, руб. без НДС: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DBE5F1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844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CCFFFF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Итого стоимость ТО 160 000 км с запасными частями, руб. без НДС: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CCFFFF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315" w:hRule="exact"/>
              </w:trPr>
              <w:tc>
                <w:tcPr>
                  <w:tcW w:w="402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2068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7740" w:leader="none"/>
                    </w:tabs>
                    <w:jc w:val="right"/>
                    <w:rPr>
                      <w:b/>
                      <w:sz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Приложение №2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9978" w:type="dxa"/>
                  <w:gridSpan w:val="5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Детальная стоимость ТО 165 000 км автомобиля</w:t>
                  </w:r>
                  <w:r>
                    <w:rPr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Mercedes Benz А 534 ТМ 763</w:t>
                  </w:r>
                </w:p>
              </w:tc>
            </w:tr>
            <w:tr>
              <w:trPr>
                <w:trHeight w:val="315" w:hRule="exact"/>
              </w:trPr>
              <w:tc>
                <w:tcPr>
                  <w:tcW w:w="9978" w:type="dxa"/>
                  <w:gridSpan w:val="5"/>
                  <w:tcBorders>
                    <w:bottom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FFFF00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Mercedes Benz А 534 ТМ 763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Вид ТО</w:t>
                  </w:r>
                </w:p>
              </w:tc>
              <w:tc>
                <w:tcPr>
                  <w:tcW w:w="2068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 н/ч, руб. без НДС</w:t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 ТО, руб. без НДС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ТО 165 000 км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Моторное масло, масляный фильтр двигателя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салона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топливный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Воздушный фильтр -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Карданная передача – смазочные работы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Итого стоимость работ, без НДС: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Запасные части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Наименование запчасти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Каталожный номер</w:t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Цена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Масло моторное синтетика Castrol Magnatec Diesel DPF 5W-40 4 л.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Шайба сливной пробки поддона двигателя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Масляный фильтр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Салонный фильтр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Топливный фильтр</w:t>
                  </w:r>
                </w:p>
              </w:tc>
              <w:tc>
                <w:tcPr>
                  <w:tcW w:w="2068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Воздушный фильтр</w:t>
                  </w:r>
                </w:p>
              </w:tc>
              <w:tc>
                <w:tcPr>
                  <w:tcW w:w="206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Смазка пластичная 400 гр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8445" w:type="dxa"/>
                  <w:gridSpan w:val="4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BE5F1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Итого стоимость запасных частей, руб. без НДС: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DBE5F1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844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CCFFFF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Итого стоимость ТО 165 000 км с запасными частями, руб. без НДС: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CCFFFF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315" w:hRule="exact"/>
              </w:trPr>
              <w:tc>
                <w:tcPr>
                  <w:tcW w:w="402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2068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9978" w:type="dxa"/>
                  <w:gridSpan w:val="5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Детальная стоимость ТО 180 000 км автомобиля</w:t>
                  </w:r>
                  <w:r>
                    <w:rPr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Mercedes Benz А 534 ТМ 763</w:t>
                  </w:r>
                </w:p>
              </w:tc>
            </w:tr>
            <w:tr>
              <w:trPr>
                <w:trHeight w:val="315" w:hRule="exact"/>
              </w:trPr>
              <w:tc>
                <w:tcPr>
                  <w:tcW w:w="9978" w:type="dxa"/>
                  <w:gridSpan w:val="5"/>
                  <w:tcBorders>
                    <w:bottom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FFFF00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Mercedes Benz А 534 ТМ 763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Вид ТО</w:t>
                  </w:r>
                </w:p>
              </w:tc>
              <w:tc>
                <w:tcPr>
                  <w:tcW w:w="2068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 н/ч, руб. без НДС</w:t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 ТО, руб. без НДС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ТО 180 000 км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Моторное масло, масляный фильтр двигателя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салона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Фильтр топливный – замена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Карданная передача – смазочные работы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Итого стоимость работ, без НДС: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3890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AEEF3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997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bookmarkStart w:id="1" w:name="_GoBack"/>
                  <w:bookmarkEnd w:id="1"/>
                  <w:r>
                    <w:rPr>
                      <w:b/>
                      <w:bCs/>
                      <w:color w:val="000000"/>
                      <w:lang w:eastAsia="ru-RU"/>
                    </w:rPr>
                    <w:t>Запасные части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Наименование запчасти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Каталожный номер</w:t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Цена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Стоимость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Масло моторное синтетика Castrol Magnatec Diesel DPF 5W-40 4 л.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Шайба сливной пробки поддона двигателя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Масляный фильтр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Салонный фильтр</w:t>
                  </w:r>
                </w:p>
              </w:tc>
              <w:tc>
                <w:tcPr>
                  <w:tcW w:w="2068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Топливный фильтр</w:t>
                  </w:r>
                </w:p>
              </w:tc>
              <w:tc>
                <w:tcPr>
                  <w:tcW w:w="206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40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Смазка пластичная 400 гр</w:t>
                  </w:r>
                </w:p>
              </w:tc>
              <w:tc>
                <w:tcPr>
                  <w:tcW w:w="206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2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06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8445" w:type="dxa"/>
                  <w:gridSpan w:val="4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DBE5F1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Итого стоимость запасных частей, руб. без НДС: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DBE5F1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844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000000" w:fill="CCFFFF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rPr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lang w:eastAsia="ru-RU"/>
                    </w:rPr>
                    <w:t>Итого стоимость ТО 180 000 км с запасными частями, руб. без НДС:</w:t>
                  </w:r>
                </w:p>
              </w:tc>
              <w:tc>
                <w:tcPr>
                  <w:tcW w:w="1533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000000" w:fill="CCFFFF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1134" w:right="709" w:gutter="0" w:header="720" w:top="851" w:footer="720" w:bottom="993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Rockwell Condensed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38" w:leader="none"/>
        <w:tab w:val="center" w:pos="4677" w:leader="none"/>
        <w:tab w:val="right" w:pos="9355" w:leader="none"/>
      </w:tabs>
      <w:jc w:val="right"/>
      <w:rPr/>
    </w:pPr>
    <w:r>
      <w:rPr/>
      <w:t xml:space="preserve"> </w:t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38" w:leader="none"/>
        <w:tab w:val="center" w:pos="4677" w:leader="none"/>
        <w:tab w:val="right" w:pos="9355" w:leader="none"/>
      </w:tabs>
      <w:jc w:val="right"/>
      <w:rPr/>
    </w:pPr>
    <w:r>
      <w:rPr/>
      <w:t xml:space="preserve"> 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38" w:leader="none"/>
        <w:tab w:val="center" w:pos="4677" w:leader="none"/>
        <w:tab w:val="right" w:pos="9355" w:leader="none"/>
      </w:tabs>
      <w:jc w:val="right"/>
      <w:rPr/>
    </w:pPr>
    <w:r>
      <w:rPr/>
      <w:t xml:space="preserve"> </w:t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20"/>
        <w:tab w:val="left" w:pos="6521" w:leader="none"/>
        <w:tab w:val="left" w:pos="6946" w:leader="none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20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3z0" w:customStyle="1">
    <w:name w:val="WW8Num3z0"/>
    <w:qFormat/>
    <w:rPr/>
  </w:style>
  <w:style w:type="character" w:styleId="WW8Num7z0" w:customStyle="1">
    <w:name w:val="WW8Num7z0"/>
    <w:qFormat/>
    <w:rPr/>
  </w:style>
  <w:style w:type="character" w:styleId="WW8Num1z0" w:customStyle="1">
    <w:name w:val="WW8Num1z0"/>
    <w:qFormat/>
    <w:rPr>
      <w:b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4z0" w:customStyle="1">
    <w:name w:val="WW8Num4z0"/>
    <w:qFormat/>
    <w:rPr/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>
      <w:rFonts w:ascii="Symbol" w:hAnsi="Symbol" w:cs="Symbol"/>
      <w:color w:val="auto"/>
    </w:rPr>
  </w:style>
  <w:style w:type="character" w:styleId="WW8Num13z0" w:customStyle="1">
    <w:name w:val="WW8Num13z0"/>
    <w:qFormat/>
    <w:rPr>
      <w:b/>
    </w:rPr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>
      <w:b/>
    </w:rPr>
  </w:style>
  <w:style w:type="character" w:styleId="WW8Num15z0" w:customStyle="1">
    <w:name w:val="WW8Num15z0"/>
    <w:qFormat/>
    <w:rPr>
      <w:b/>
      <w:bCs w:val="false"/>
      <w:sz w:val="24"/>
      <w:szCs w:val="24"/>
    </w:rPr>
  </w:style>
  <w:style w:type="character" w:styleId="WW8Num15z1" w:customStyle="1">
    <w:name w:val="WW8Num15z1"/>
    <w:qFormat/>
    <w:rPr>
      <w:b w:val="false"/>
      <w:bCs/>
      <w:sz w:val="24"/>
      <w:szCs w:val="24"/>
    </w:rPr>
  </w:style>
  <w:style w:type="character" w:styleId="WW8Num15z2" w:customStyle="1">
    <w:name w:val="WW8Num15z2"/>
    <w:qFormat/>
    <w:rPr>
      <w:sz w:val="24"/>
      <w:szCs w:val="24"/>
    </w:rPr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>
      <w:rFonts w:ascii="Symbol" w:hAnsi="Symbol" w:cs="Symbo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>
      <w:rFonts w:ascii="Symbol" w:hAnsi="Symbol" w:cs="Symbol"/>
    </w:rPr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>
      <w:rFonts w:ascii="Times New Roman" w:hAnsi="Times New Roman" w:cs="Times New Roman"/>
    </w:rPr>
  </w:style>
  <w:style w:type="character" w:styleId="WW8Num26z2" w:customStyle="1">
    <w:name w:val="WW8Num26z2"/>
    <w:qFormat/>
    <w:rPr>
      <w:rFonts w:ascii="Wingdings" w:hAnsi="Wingdings" w:cs="Wingdings"/>
    </w:rPr>
  </w:style>
  <w:style w:type="character" w:styleId="WW8Num26z3" w:customStyle="1">
    <w:name w:val="WW8Num26z3"/>
    <w:qFormat/>
    <w:rPr>
      <w:rFonts w:ascii="Symbol" w:hAnsi="Symbol" w:cs="Symbol"/>
    </w:rPr>
  </w:style>
  <w:style w:type="character" w:styleId="WW8Num26z4" w:customStyle="1">
    <w:name w:val="WW8Num26z4"/>
    <w:qFormat/>
    <w:rPr>
      <w:rFonts w:ascii="Courier New" w:hAnsi="Courier New" w:cs="Courier New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>
      <w:rFonts w:ascii="Symbol" w:hAnsi="Symbol" w:cs="Symbol"/>
      <w:color w:val="auto"/>
    </w:rPr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>
      <w:rFonts w:ascii="Wingdings" w:hAnsi="Wingdings" w:cs="Wingdings"/>
    </w:rPr>
  </w:style>
  <w:style w:type="character" w:styleId="WW8Num35z0" w:customStyle="1">
    <w:name w:val="WW8Num35z0"/>
    <w:qFormat/>
    <w:rPr/>
  </w:style>
  <w:style w:type="character" w:styleId="WW8Num36z0" w:customStyle="1">
    <w:name w:val="WW8Num36z0"/>
    <w:qFormat/>
    <w:rPr>
      <w:rFonts w:ascii="Symbol" w:hAnsi="Symbol" w:cs="Symbol"/>
      <w:color w:val="auto"/>
    </w:rPr>
  </w:style>
  <w:style w:type="character" w:styleId="WW8Num36z1" w:customStyle="1">
    <w:name w:val="WW8Num36z1"/>
    <w:qFormat/>
    <w:rPr>
      <w:rFonts w:ascii="Courier New" w:hAnsi="Courier New" w:cs="Courier New"/>
    </w:rPr>
  </w:style>
  <w:style w:type="character" w:styleId="WW8Num36z2" w:customStyle="1">
    <w:name w:val="WW8Num36z2"/>
    <w:qFormat/>
    <w:rPr>
      <w:rFonts w:ascii="Wingdings" w:hAnsi="Wingdings" w:cs="Wingdings"/>
    </w:rPr>
  </w:style>
  <w:style w:type="character" w:styleId="WW8Num36z3" w:customStyle="1">
    <w:name w:val="WW8Num36z3"/>
    <w:qFormat/>
    <w:rPr>
      <w:rFonts w:ascii="Symbol" w:hAnsi="Symbol" w:cs="Symbol"/>
    </w:rPr>
  </w:style>
  <w:style w:type="character" w:styleId="WW8Num37z1" w:customStyle="1">
    <w:name w:val="WW8Num37z1"/>
    <w:qFormat/>
    <w:rPr>
      <w:rFonts w:ascii="Symbol" w:hAnsi="Symbol" w:cs="Symbol"/>
    </w:rPr>
  </w:style>
  <w:style w:type="character" w:styleId="WW8Num38z0" w:customStyle="1">
    <w:name w:val="WW8Num38z0"/>
    <w:qFormat/>
    <w:rPr/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>
      <w:rFonts w:ascii="Symbol" w:hAnsi="Symbol" w:cs="Symbol"/>
    </w:rPr>
  </w:style>
  <w:style w:type="character" w:styleId="WW8Num40z0" w:customStyle="1">
    <w:name w:val="WW8Num40z0"/>
    <w:qFormat/>
    <w:rPr/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/>
  </w:style>
  <w:style w:type="character" w:styleId="WW8Num43z0" w:customStyle="1">
    <w:name w:val="WW8Num43z0"/>
    <w:qFormat/>
    <w:rPr/>
  </w:style>
  <w:style w:type="character" w:styleId="WW8Num44z0" w:customStyle="1">
    <w:name w:val="WW8Num44z0"/>
    <w:qFormat/>
    <w:rPr>
      <w:rFonts w:ascii="Symbol" w:hAnsi="Symbol" w:cs="Symbol"/>
      <w:color w:val="auto"/>
    </w:rPr>
  </w:style>
  <w:style w:type="character" w:styleId="WW8Num45z0" w:customStyle="1">
    <w:name w:val="WW8Num45z0"/>
    <w:qFormat/>
    <w:rPr>
      <w:rFonts w:ascii="Symbol" w:hAnsi="Symbol" w:cs="Symbol"/>
      <w:color w:val="auto"/>
    </w:rPr>
  </w:style>
  <w:style w:type="character" w:styleId="WW8Num45z1" w:customStyle="1">
    <w:name w:val="WW8Num45z1"/>
    <w:qFormat/>
    <w:rPr>
      <w:rFonts w:ascii="Courier New" w:hAnsi="Courier New" w:cs="Courier New"/>
    </w:rPr>
  </w:style>
  <w:style w:type="character" w:styleId="WW8Num45z2" w:customStyle="1">
    <w:name w:val="WW8Num45z2"/>
    <w:qFormat/>
    <w:rPr>
      <w:rFonts w:ascii="Wingdings" w:hAnsi="Wingdings" w:cs="Wingdings"/>
    </w:rPr>
  </w:style>
  <w:style w:type="character" w:styleId="WW8Num45z3" w:customStyle="1">
    <w:name w:val="WW8Num45z3"/>
    <w:qFormat/>
    <w:rPr>
      <w:rFonts w:ascii="Symbol" w:hAnsi="Symbol" w:cs="Symbol"/>
    </w:rPr>
  </w:style>
  <w:style w:type="character" w:styleId="WW8Num46z0" w:customStyle="1">
    <w:name w:val="WW8Num46z0"/>
    <w:qFormat/>
    <w:rPr>
      <w:rFonts w:ascii="Rockwell Condensed" w:hAnsi="Rockwell Condensed" w:cs="Rockwell Condensed"/>
    </w:rPr>
  </w:style>
  <w:style w:type="character" w:styleId="WW8Num46z1" w:customStyle="1">
    <w:name w:val="WW8Num46z1"/>
    <w:qFormat/>
    <w:rPr>
      <w:rFonts w:ascii="Courier New" w:hAnsi="Courier New" w:cs="Courier New"/>
    </w:rPr>
  </w:style>
  <w:style w:type="character" w:styleId="WW8Num46z2" w:customStyle="1">
    <w:name w:val="WW8Num46z2"/>
    <w:qFormat/>
    <w:rPr>
      <w:rFonts w:ascii="Wingdings" w:hAnsi="Wingdings" w:cs="Wingdings"/>
    </w:rPr>
  </w:style>
  <w:style w:type="character" w:styleId="WW8Num46z3" w:customStyle="1">
    <w:name w:val="WW8Num46z3"/>
    <w:qFormat/>
    <w:rPr>
      <w:rFonts w:ascii="Symbol" w:hAnsi="Symbol" w:cs="Symbol"/>
    </w:rPr>
  </w:style>
  <w:style w:type="character" w:styleId="1" w:customStyle="1">
    <w:name w:val="Основной шрифт абзаца1"/>
    <w:qFormat/>
    <w:rPr/>
  </w:style>
  <w:style w:type="character" w:styleId="Normal1" w:customStyle="1">
    <w:name w:val="Normal1 Знак"/>
    <w:qFormat/>
    <w:rPr>
      <w:rFonts w:eastAsia="Calibri"/>
      <w:lang w:val="ru-RU" w:bidi="ar-SA"/>
    </w:rPr>
  </w:style>
  <w:style w:type="character" w:styleId="Style5" w:customStyle="1">
    <w:name w:val="Текст сноски Знак"/>
    <w:basedOn w:val="1"/>
    <w:qFormat/>
    <w:rPr/>
  </w:style>
  <w:style w:type="character" w:styleId="Style6" w:customStyle="1">
    <w:name w:val="Символ сноски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4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7" w:customStyle="1">
    <w:name w:val="Абзац списка Знак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Верхний колонтитул Знак"/>
    <w:basedOn w:val="1"/>
    <w:qFormat/>
    <w:rPr/>
  </w:style>
  <w:style w:type="character" w:styleId="Style10" w:customStyle="1">
    <w:name w:val="Нижний колонтитул Знак"/>
    <w:basedOn w:val="1"/>
    <w:qFormat/>
    <w:rPr/>
  </w:style>
  <w:style w:type="character" w:styleId="3" w:customStyle="1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paragraph" w:styleId="Style1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tabs>
        <w:tab w:val="clear" w:pos="720"/>
        <w:tab w:val="left" w:pos="6521" w:leader="none"/>
        <w:tab w:val="left" w:pos="6946" w:leader="none"/>
      </w:tabs>
      <w:jc w:val="center"/>
    </w:pPr>
    <w:rPr>
      <w:sz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" w:customStyle="1">
    <w:name w:val="Заголовок1"/>
    <w:basedOn w:val="Normal"/>
    <w:next w:val="BodyText"/>
    <w:qFormat/>
    <w:pPr>
      <w:jc w:val="center"/>
    </w:pPr>
    <w:rPr>
      <w:b/>
      <w:sz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" w:customStyle="1">
    <w:name w:val="Указатель2"/>
    <w:basedOn w:val="Normal"/>
    <w:qFormat/>
    <w:pPr>
      <w:suppressLineNumbers/>
    </w:pPr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3" w:customStyle="1">
    <w:name w:val="Указатель1"/>
    <w:basedOn w:val="Normal"/>
    <w:qFormat/>
    <w:pPr>
      <w:suppressLineNumbers/>
    </w:pPr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31" w:customStyle="1">
    <w:name w:val="Основной текст с отступом 31"/>
    <w:basedOn w:val="Normal"/>
    <w:qFormat/>
    <w:pPr>
      <w:spacing w:before="0" w:after="120"/>
      <w:ind w:left="283" w:hanging="0"/>
    </w:pPr>
    <w:rPr>
      <w:sz w:val="16"/>
    </w:rPr>
  </w:style>
  <w:style w:type="paragraph" w:styleId="Normal1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rmal111" w:customStyle="1">
    <w:name w:val="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14" w:customStyle="1">
    <w:name w:val="Абзац списка1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496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pPr>
      <w:ind w:left="280" w:hanging="0"/>
    </w:pPr>
    <w:rPr>
      <w:rFonts w:cs="Calibri"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hanging="0"/>
    </w:pPr>
    <w:rPr>
      <w:rFonts w:cs="Calibr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13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/>
    </w:rPr>
  </w:style>
  <w:style w:type="paragraph" w:styleId="Style14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/>
    </w:rPr>
  </w:style>
  <w:style w:type="paragraph" w:styleId="Style15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ind w:left="708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Application>AlterOffice/2025.3.1.0$Linux_X86_64 LibreOffice_project/6648c49ab2ca125dff246c75ec00a85a64baa8dd</Application>
  <AppVersion>15.0000</AppVersion>
  <Pages>10</Pages>
  <Words>1934</Words>
  <Characters>12876</Characters>
  <CharactersWithSpaces>14609</CharactersWithSpaces>
  <Paragraphs>327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2025-01-16T05:59:00Z</dcterms:created>
  <dc:creator>Архив</dc:creator>
  <dc:description/>
  <dc:language>ru-RU</dc:language>
  <cp:lastModifiedBy>shcherbakovav@corp.gidroogk.com</cp:lastModifiedBy>
  <cp:lastPrinted>2026-09-01T09:52:42Z</cp:lastPrinted>
  <dcterms:modified xsi:type="dcterms:W3CDTF">2026-09-04T13:29:49Z</dcterms:modified>
  <cp:revision>58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