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6"/>
          <w:szCs w:val="26"/>
        </w:rPr>
        <w:t>УТВЕРЖДАЮ:</w:t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6"/>
          <w:szCs w:val="26"/>
        </w:rPr>
        <w:t>Директор Приволжского филиала</w:t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6"/>
          <w:szCs w:val="26"/>
        </w:rPr>
        <w:t>АО «ТК РусГидро»</w:t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6"/>
          <w:szCs w:val="26"/>
        </w:rPr>
        <w:t xml:space="preserve">___________________ </w:t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6"/>
          <w:szCs w:val="26"/>
        </w:rPr>
        <w:t>«_____» _________________ 2026 г.</w:t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Технические требования на оказание услуг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ОКПД2: 86.90.19.190 Услуги по проведению предрейсовых и послерейсовых медицинских осмотров для нужд Саратовского транспортного участка Приволжского филиала АО «ТК РусГидро»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Лот 5173-ЭКСП ПРОД-2027-ТК-ПриволФ</w:t>
      </w:r>
      <w:r>
        <w:br w:type="page"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numPr>
          <w:ilvl w:val="0"/>
          <w:numId w:val="9"/>
        </w:numPr>
        <w:ind w:left="0" w:hanging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Общие сведения ………………………………………………………………………………. 3</w:t>
      </w:r>
    </w:p>
    <w:p>
      <w:pPr>
        <w:pStyle w:val="Normal"/>
        <w:numPr>
          <w:ilvl w:val="1"/>
          <w:numId w:val="9"/>
        </w:numPr>
        <w:ind w:left="0" w:hanging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Наименование закупаемой продукции………………………………………………………. 3</w:t>
      </w:r>
    </w:p>
    <w:p>
      <w:pPr>
        <w:pStyle w:val="Normal"/>
        <w:numPr>
          <w:ilvl w:val="1"/>
          <w:numId w:val="9"/>
        </w:numPr>
        <w:ind w:left="0" w:hanging="0"/>
        <w:rPr>
          <w:bCs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Цель оказания услуг………………………………………………………………………...… 3</w:t>
      </w:r>
    </w:p>
    <w:p>
      <w:pPr>
        <w:pStyle w:val="Normal"/>
        <w:spacing w:before="0" w:after="0"/>
        <w:contextualSpacing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1.3.</w:t>
        <w:tab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………………………………………………………… 3</w:t>
      </w:r>
    </w:p>
    <w:p>
      <w:pPr>
        <w:pStyle w:val="Normal"/>
        <w:spacing w:before="0" w:after="0"/>
        <w:contextualSpacing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1.4.</w:t>
        <w:tab/>
        <w:t>Иные требования и сведения общего характера………………………………………….… 3</w:t>
      </w:r>
    </w:p>
    <w:p>
      <w:pPr>
        <w:pStyle w:val="Normal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Таблица 1. Перечень объектов заказчика ………………………………………………………...… 3</w:t>
      </w:r>
    </w:p>
    <w:p>
      <w:pPr>
        <w:pStyle w:val="Normal"/>
        <w:numPr>
          <w:ilvl w:val="0"/>
          <w:numId w:val="9"/>
        </w:numPr>
        <w:ind w:left="0" w:hanging="0"/>
        <w:rPr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Требования к продукции ………………………………………………………………..……. 3</w:t>
      </w:r>
    </w:p>
    <w:p>
      <w:pPr>
        <w:pStyle w:val="Normal"/>
        <w:rPr>
          <w:bCs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2.1. </w:t>
      </w:r>
      <w:r>
        <w:rPr>
          <w:bCs/>
          <w:sz w:val="24"/>
          <w:szCs w:val="24"/>
          <w:lang w:eastAsia="zh-CN"/>
        </w:rPr>
        <w:t>Требования к объемам и срокам оказания услуг………………………………………………. 3</w:t>
      </w:r>
    </w:p>
    <w:p>
      <w:pPr>
        <w:pStyle w:val="Normal"/>
        <w:rPr>
          <w:sz w:val="24"/>
          <w:szCs w:val="24"/>
          <w:lang w:val="x-none" w:eastAsia="zh-CN"/>
        </w:rPr>
      </w:pPr>
      <w:r>
        <w:rPr>
          <w:bCs/>
          <w:sz w:val="24"/>
          <w:szCs w:val="24"/>
          <w:lang w:eastAsia="zh-CN"/>
        </w:rPr>
        <w:t>2.1.1. Требования к перечню</w:t>
      </w:r>
      <w:r>
        <w:rPr>
          <w:sz w:val="24"/>
          <w:szCs w:val="24"/>
          <w:lang w:eastAsia="zh-CN"/>
        </w:rPr>
        <w:t xml:space="preserve"> и объему услуг……………………………………………………….. 3</w:t>
      </w:r>
    </w:p>
    <w:p>
      <w:pPr>
        <w:pStyle w:val="Normal"/>
        <w:rPr>
          <w:sz w:val="24"/>
          <w:szCs w:val="24"/>
          <w:lang w:eastAsia="zh-CN"/>
        </w:rPr>
      </w:pPr>
      <w:r>
        <w:rPr>
          <w:sz w:val="24"/>
          <w:szCs w:val="24"/>
          <w:lang w:val="x-none" w:eastAsia="zh-CN"/>
        </w:rPr>
        <w:t xml:space="preserve">Таблица </w:t>
      </w:r>
      <w:r>
        <w:rPr>
          <w:sz w:val="24"/>
          <w:szCs w:val="24"/>
          <w:lang w:eastAsia="zh-CN"/>
        </w:rPr>
        <w:t>2.</w:t>
      </w:r>
      <w:r>
        <w:rPr>
          <w:sz w:val="24"/>
          <w:szCs w:val="24"/>
          <w:lang w:val="x-none" w:eastAsia="zh-CN"/>
        </w:rPr>
        <w:t xml:space="preserve"> </w:t>
      </w:r>
      <w:r>
        <w:rPr>
          <w:sz w:val="24"/>
          <w:szCs w:val="24"/>
          <w:lang w:eastAsia="zh-CN"/>
        </w:rPr>
        <w:t>Перечень и объем оказываемых услуг ………………………………………...……….. 3</w:t>
      </w:r>
    </w:p>
    <w:p>
      <w:pPr>
        <w:pStyle w:val="Normal"/>
        <w:rPr>
          <w:sz w:val="24"/>
          <w:szCs w:val="24"/>
          <w:lang w:val="x-none" w:eastAsia="zh-CN"/>
        </w:rPr>
      </w:pPr>
      <w:r>
        <w:rPr>
          <w:sz w:val="24"/>
          <w:szCs w:val="24"/>
          <w:lang w:eastAsia="zh-CN"/>
        </w:rPr>
        <w:t>2.1.2. Требования к срокам оказания услуг…………………………………………………………. 4</w:t>
      </w:r>
    </w:p>
    <w:p>
      <w:pPr>
        <w:pStyle w:val="Normal"/>
        <w:rPr>
          <w:sz w:val="24"/>
          <w:szCs w:val="24"/>
          <w:lang w:eastAsia="zh-CN"/>
        </w:rPr>
      </w:pPr>
      <w:r>
        <w:rPr>
          <w:sz w:val="24"/>
          <w:szCs w:val="24"/>
          <w:lang w:val="x-none" w:eastAsia="zh-CN"/>
        </w:rPr>
        <w:t xml:space="preserve">Таблица 3. Требования </w:t>
      </w:r>
      <w:r>
        <w:rPr>
          <w:sz w:val="24"/>
          <w:szCs w:val="24"/>
          <w:lang w:eastAsia="zh-CN"/>
        </w:rPr>
        <w:t>к</w:t>
      </w:r>
      <w:r>
        <w:rPr>
          <w:sz w:val="24"/>
          <w:szCs w:val="24"/>
          <w:lang w:val="x-none" w:eastAsia="zh-CN"/>
        </w:rPr>
        <w:t xml:space="preserve"> срокам </w:t>
      </w:r>
      <w:r>
        <w:rPr>
          <w:sz w:val="24"/>
          <w:szCs w:val="24"/>
          <w:lang w:eastAsia="zh-CN"/>
        </w:rPr>
        <w:t>оказания услуг………………………………………………….... 4</w:t>
      </w:r>
    </w:p>
    <w:p>
      <w:pPr>
        <w:pStyle w:val="Normal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2.2 Требование к качеству продукции………………………………..……………………………... 5</w:t>
      </w:r>
    </w:p>
    <w:p>
      <w:pPr>
        <w:pStyle w:val="Normal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Таблица 4. Требование к качеству продукции …………………………………………………….. 5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</w:tabs>
        <w:ind w:left="0" w:hanging="0"/>
        <w:rPr>
          <w:rFonts w:eastAsia="Calibri"/>
          <w:bCs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Требования к документации</w:t>
      </w:r>
      <w:bookmarkStart w:id="0" w:name="_GoBack"/>
      <w:bookmarkEnd w:id="0"/>
      <w:r>
        <w:rPr>
          <w:sz w:val="24"/>
          <w:szCs w:val="24"/>
          <w:lang w:eastAsia="zh-CN"/>
        </w:rPr>
        <w:t xml:space="preserve"> по ценообразованию на этапе закупки ………………………. 9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  <w:id w:val="181637777"/>
      </w:sdtPr>
      <w:sdtContent>
        <w:p>
          <w:pPr>
            <w:pStyle w:val="TOC1"/>
            <w:rPr>
              <w:b w:val="false"/>
              <w:bCs w:val="false"/>
            </w:rPr>
          </w:pPr>
          <w:r>
            <w:rPr>
              <w:b w:val="false"/>
              <w:bCs w:val="false"/>
            </w:rPr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rPr>
              <w:rFonts w:eastAsia="" w:cs="" w:cstheme="minorBidi" w:eastAsiaTheme="minorEastAsia" w:ascii="Calibri" w:hAnsi="Calibri"/>
              <w:b w:val="false"/>
              <w:bCs w:val="false"/>
              <w:sz w:val="22"/>
              <w:szCs w:val="22"/>
            </w:rPr>
          </w:r>
        </w:p>
      </w:sdtContent>
    </w:sdt>
    <w:p>
      <w:pPr>
        <w:pStyle w:val="Heading2"/>
        <w:tabs>
          <w:tab w:val="clear" w:pos="0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1" w:name="_Toc54643694"/>
      <w:bookmarkStart w:id="2" w:name="_Toc13515039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Toc135150391"/>
      <w:bookmarkStart w:id="4" w:name="_Toc46743506"/>
      <w:bookmarkStart w:id="5" w:name="_Toc54643696"/>
      <w:r>
        <w:rPr/>
        <w:t>Наименование закупаемой продукции</w:t>
      </w:r>
      <w:bookmarkEnd w:id="3"/>
      <w:bookmarkEnd w:id="4"/>
      <w:bookmarkEnd w:id="5"/>
    </w:p>
    <w:p>
      <w:pPr>
        <w:pStyle w:val="Normal"/>
        <w:ind w:firstLine="510"/>
        <w:jc w:val="both"/>
        <w:rPr/>
      </w:pPr>
      <w:r>
        <w:rPr>
          <w:sz w:val="24"/>
          <w:szCs w:val="24"/>
        </w:rPr>
        <w:t>ОКПД2: 86.90.19.190 Услуги по проведению предрейсовых и послерейсовых медицинских осмотров для нужд Саратовского транспортного участка Приволжского филиала АО «ТК РусГидро»</w:t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6" w:name="_Toc54643697"/>
      <w:bookmarkStart w:id="7" w:name="_Toc135150392"/>
      <w:bookmarkStart w:id="8" w:name="_Toc46743507"/>
      <w:r>
        <w:rPr/>
        <w:t xml:space="preserve">Цель </w:t>
      </w:r>
      <w:bookmarkEnd w:id="8"/>
      <w:r>
        <w:rPr/>
        <w:t>оказания услуг</w:t>
      </w:r>
      <w:bookmarkEnd w:id="7"/>
      <w:r>
        <w:rPr/>
        <w:t xml:space="preserve"> </w:t>
      </w:r>
      <w:bookmarkEnd w:id="6"/>
    </w:p>
    <w:p>
      <w:pPr>
        <w:pStyle w:val="Normal"/>
        <w:tabs>
          <w:tab w:val="clear" w:pos="708"/>
          <w:tab w:val="left" w:pos="426" w:leader="none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1.2.1.</w:t>
        <w:tab/>
        <w:t>Обеспечение безопасности дорожного движения в части проведения предрейсовых и послерейсовых медицинских осмотров, лицам, допущенным к управлению транспортными средствами в соответствии с пунктом 2 статьи 20 и пунктом 3 статьи 23 Федерального закона от 10.12.1995г. № 196-ФЗ "О безопасности дорожного движения" (в действующей редакции).</w:t>
      </w:r>
    </w:p>
    <w:p>
      <w:pPr>
        <w:pStyle w:val="Heading4"/>
        <w:numPr>
          <w:ilvl w:val="1"/>
          <w:numId w:val="3"/>
        </w:numPr>
        <w:ind w:left="0" w:hanging="57"/>
        <w:jc w:val="both"/>
        <w:rPr/>
      </w:pPr>
      <w:bookmarkStart w:id="9" w:name="_Toc54643700"/>
      <w:bookmarkStart w:id="10" w:name="_Hlk49857604"/>
      <w:bookmarkStart w:id="11" w:name="_Toc135150393"/>
      <w:bookmarkStart w:id="12" w:name="_Toc46743509"/>
      <w:bookmarkStart w:id="13" w:name="_Toc54643698_Копия_1"/>
      <w:bookmarkStart w:id="14" w:name="_Toc46743508_Копия_1"/>
      <w:bookmarkEnd w:id="13"/>
      <w:bookmarkEnd w:id="14"/>
      <w:r>
        <w:rPr/>
        <w:t xml:space="preserve">Информация в отношении исполнения договора, </w:t>
      </w:r>
      <w:bookmarkStart w:id="15" w:name="_Hlk46492347"/>
      <w:r>
        <w:rPr/>
        <w:t xml:space="preserve">которая должна быть учтена при подготовке заявки </w:t>
      </w:r>
      <w:bookmarkEnd w:id="15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  <w:bookmarkEnd w:id="11"/>
      <w:bookmarkEnd w:id="12"/>
      <w:r>
        <w:rPr>
          <w:lang w:val="ru-RU"/>
        </w:rPr>
        <w:t xml:space="preserve"> </w:t>
      </w:r>
      <w:bookmarkStart w:id="16" w:name="_Hlk48209761"/>
      <w:bookmarkEnd w:id="9"/>
    </w:p>
    <w:p>
      <w:pPr>
        <w:pStyle w:val="Normal"/>
        <w:jc w:val="both"/>
        <w:rPr/>
      </w:pPr>
      <w:r>
        <w:rPr>
          <w:color w:val="22272F"/>
          <w:sz w:val="24"/>
          <w:szCs w:val="24"/>
          <w:shd w:fill="FFFFFF" w:val="clear"/>
          <w:lang w:eastAsia="x-none"/>
        </w:rPr>
        <w:t>1.3.1 Медицинские осмотры водителей транспортных средств проводятся в соответствии с пунктом 2 статьи 20 и пунктом 3 статьи 23 Федерального Закона от 10.12.1995 г. № 196-ФЗ «О безопасности дорожного движения» , Приказом Минздрава РФ от 30.05.2023 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</w:t>
      </w:r>
      <w:r>
        <w:rPr>
          <w:sz w:val="24"/>
          <w:szCs w:val="24"/>
          <w:lang w:eastAsia="x-none"/>
        </w:rPr>
        <w:t>.</w:t>
      </w:r>
    </w:p>
    <w:p>
      <w:pPr>
        <w:pStyle w:val="Heading4"/>
        <w:numPr>
          <w:ilvl w:val="1"/>
          <w:numId w:val="3"/>
        </w:numPr>
        <w:ind w:left="426" w:hanging="426"/>
        <w:rPr>
          <w:rStyle w:val="Style8"/>
          <w:b/>
          <w:lang w:val="ru-RU"/>
        </w:rPr>
      </w:pPr>
      <w:bookmarkStart w:id="17" w:name="_Toc54643701"/>
      <w:bookmarkStart w:id="18" w:name="_Toc135150394"/>
      <w:bookmarkStart w:id="19" w:name="_Toc50125126"/>
      <w:bookmarkEnd w:id="16"/>
      <w:bookmarkEnd w:id="19"/>
      <w:r>
        <w:rPr/>
        <w:t>Иные требования и сведения общего характера</w:t>
      </w:r>
      <w:bookmarkEnd w:id="18"/>
      <w:r>
        <w:rPr>
          <w:lang w:val="ru-RU"/>
        </w:rPr>
        <w:t xml:space="preserve"> </w:t>
      </w:r>
      <w:bookmarkEnd w:id="17"/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Ежедневное проведение медицинских осмотров водителей транспортных средств.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sz w:val="24"/>
          <w:szCs w:val="24"/>
        </w:rPr>
      </w:pPr>
      <w:bookmarkStart w:id="20" w:name="_Toc54643699"/>
      <w:bookmarkStart w:id="21" w:name="_Toc135150395"/>
      <w:bookmarkStart w:id="22" w:name="_Toc129097754"/>
      <w:r>
        <w:rPr>
          <w:rFonts w:eastAsia="Calibri"/>
          <w:b/>
          <w:sz w:val="24"/>
          <w:szCs w:val="24"/>
          <w:lang w:val="x-none" w:eastAsia="x-none"/>
        </w:rPr>
        <w:t>Таблица 1</w:t>
      </w:r>
      <w:r>
        <w:rPr>
          <w:rFonts w:eastAsia="Calibri"/>
          <w:b/>
          <w:sz w:val="24"/>
          <w:szCs w:val="24"/>
          <w:lang w:eastAsia="x-none"/>
        </w:rPr>
        <w:t>.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>Перечень объектов заказчика</w:t>
      </w:r>
      <w:bookmarkEnd w:id="20"/>
      <w:bookmarkEnd w:id="21"/>
      <w:bookmarkEnd w:id="22"/>
    </w:p>
    <w:tbl>
      <w:tblPr>
        <w:tblW w:w="10229" w:type="dxa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val="04a0" w:noHBand="0" w:noVBand="1" w:firstColumn="1" w:lastRow="0" w:lastColumn="0" w:firstRow="1"/>
      </w:tblPr>
      <w:tblGrid>
        <w:gridCol w:w="676"/>
        <w:gridCol w:w="2592"/>
        <w:gridCol w:w="3067"/>
        <w:gridCol w:w="2215"/>
        <w:gridCol w:w="1679"/>
      </w:tblGrid>
      <w:tr>
        <w:trPr>
          <w:trHeight w:val="900" w:hRule="atLeast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Style35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5</w:t>
            </w:r>
          </w:p>
        </w:tc>
      </w:tr>
      <w:tr>
        <w:trPr>
          <w:trHeight w:val="1740" w:hRule="atLeast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проведению предрейсовых и послерейсовых медицинских осмотров для нужд Саратовского транспортного участка Приволжского филиала АО «ТК РусГидро»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Саратовский транспортный участок Приволжского филиала</w:t>
            </w:r>
          </w:p>
          <w:p>
            <w:pPr>
              <w:pStyle w:val="Style35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«ТК РусГидро» Саратовская область, г. Балаково, территория филиала ПАО «РусГидро» - «Саратовская ГЭС»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Саратовского транспортного участка Приволжского филиала АО «ТК РусГидро»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5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 филиал АО «ТК РусГидро»</w:t>
            </w:r>
          </w:p>
        </w:tc>
      </w:tr>
    </w:tbl>
    <w:p>
      <w:pPr>
        <w:pStyle w:val="Heading1"/>
        <w:tabs>
          <w:tab w:val="clear" w:pos="0"/>
        </w:tabs>
        <w:ind w:left="426" w:hanging="0"/>
        <w:rPr>
          <w:caps/>
          <w:lang w:val="ru-RU"/>
        </w:rPr>
      </w:pPr>
      <w:r>
        <w:rPr>
          <w:caps/>
          <w:lang w:val="ru-RU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23" w:name="_Toc54643702"/>
      <w:bookmarkStart w:id="24" w:name="_Toc135150396"/>
      <w:bookmarkStart w:id="25" w:name="_Toc51339693"/>
      <w:r>
        <w:rPr>
          <w:lang w:val="ru-RU"/>
        </w:rPr>
        <w:t>Требования</w:t>
      </w:r>
      <w:r>
        <w:rPr/>
        <w:t xml:space="preserve"> к продукции</w:t>
      </w:r>
      <w:bookmarkEnd w:id="23"/>
      <w:bookmarkEnd w:id="24"/>
      <w:bookmarkEnd w:id="25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26" w:name="_Toc54643703"/>
      <w:bookmarkStart w:id="27" w:name="_Toc135150397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6"/>
      <w:bookmarkEnd w:id="27"/>
    </w:p>
    <w:p>
      <w:pPr>
        <w:pStyle w:val="Heading3"/>
        <w:numPr>
          <w:ilvl w:val="2"/>
          <w:numId w:val="3"/>
        </w:numPr>
        <w:ind w:left="426" w:hanging="426"/>
        <w:rPr/>
      </w:pPr>
      <w:bookmarkStart w:id="28" w:name="_Toc54643704"/>
      <w:bookmarkStart w:id="29" w:name="_Toc135150398"/>
      <w:r>
        <w:rPr/>
        <w:t>Требования к перечню и объему услуг</w:t>
      </w:r>
      <w:bookmarkEnd w:id="28"/>
      <w:bookmarkEnd w:id="29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0" w:name="_Toc54643705"/>
      <w:bookmarkStart w:id="31" w:name="_Toc135150399"/>
      <w:bookmarkStart w:id="32" w:name="_Toc51339695"/>
      <w:r>
        <w:rPr>
          <w:sz w:val="24"/>
          <w:szCs w:val="24"/>
        </w:rPr>
        <w:t xml:space="preserve">Таблица 2. Перечень </w:t>
      </w:r>
      <w:bookmarkEnd w:id="32"/>
      <w:r>
        <w:rPr>
          <w:sz w:val="24"/>
          <w:szCs w:val="24"/>
        </w:rPr>
        <w:t>и объем оказываемых услуг</w:t>
      </w:r>
      <w:bookmarkEnd w:id="30"/>
      <w:bookmarkEnd w:id="31"/>
    </w:p>
    <w:tbl>
      <w:tblPr>
        <w:tblW w:w="1006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0"/>
        <w:gridCol w:w="5104"/>
        <w:gridCol w:w="1995"/>
        <w:gridCol w:w="2115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  <w:vertAlign w:val="superscript"/>
              </w:rPr>
              <w:t>*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4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Предрейсовый медицинский осмотр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916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Послерейсовый медицинский осмотр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</w:p>
        </w:tc>
      </w:tr>
    </w:tbl>
    <w:p>
      <w:pPr>
        <w:pStyle w:val="Normal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*Объем оказываемых услуг является ориентировочным и Заказчик не несет ответственность за неполную выборку услуг на общую сумму договора.</w:t>
      </w:r>
    </w:p>
    <w:p>
      <w:pPr>
        <w:pStyle w:val="Heading3"/>
        <w:numPr>
          <w:ilvl w:val="2"/>
          <w:numId w:val="3"/>
        </w:numPr>
        <w:ind w:left="426" w:hanging="426"/>
        <w:rPr/>
      </w:pPr>
      <w:bookmarkStart w:id="33" w:name="_Toc135150400"/>
      <w:bookmarkStart w:id="34" w:name="_Toc54643706"/>
      <w:bookmarkStart w:id="35" w:name="_Toc51339696"/>
      <w:r>
        <w:rPr/>
        <w:t xml:space="preserve">Требования </w:t>
      </w:r>
      <w:bookmarkEnd w:id="35"/>
      <w:r>
        <w:rPr/>
        <w:t>к срокам оказания услуг</w:t>
      </w:r>
      <w:bookmarkEnd w:id="33"/>
      <w:bookmarkEnd w:id="34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6" w:name="_Toc135150401"/>
      <w:bookmarkStart w:id="37" w:name="_Toc54643707"/>
      <w:bookmarkStart w:id="38" w:name="_Toc50125127"/>
      <w:bookmarkStart w:id="39" w:name="_Toc51339697"/>
      <w:bookmarkStart w:id="40" w:name="_Toc50125126_Копия_1"/>
      <w:bookmarkEnd w:id="4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4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8"/>
      <w:bookmarkEnd w:id="39"/>
      <w:bookmarkEnd w:id="41"/>
      <w:r>
        <w:rPr>
          <w:sz w:val="24"/>
          <w:szCs w:val="24"/>
          <w:lang w:val="ru-RU"/>
        </w:rPr>
        <w:t>оказания услуг</w:t>
      </w:r>
      <w:bookmarkEnd w:id="36"/>
      <w:bookmarkEnd w:id="37"/>
    </w:p>
    <w:tbl>
      <w:tblPr>
        <w:tblW w:w="977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3056"/>
        <w:gridCol w:w="2610"/>
        <w:gridCol w:w="2979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проведению предрейсовых и послерейсовых медицинских осмотров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42" w:name="_Toc46743510"/>
            <w:r>
              <w:rPr>
                <w:sz w:val="22"/>
                <w:szCs w:val="22"/>
              </w:rPr>
              <w:t>31.12.2026г.</w:t>
            </w:r>
            <w:bookmarkEnd w:id="42"/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3" w:name="_Toc135150402"/>
      <w:bookmarkStart w:id="44" w:name="_Toc54643708"/>
      <w:bookmarkStart w:id="45" w:name="_Toc46743511"/>
      <w:r>
        <w:rPr/>
        <w:t xml:space="preserve">Требования к </w:t>
      </w:r>
      <w:bookmarkEnd w:id="45"/>
      <w:r>
        <w:rPr>
          <w:lang w:val="ru-RU"/>
        </w:rPr>
        <w:t xml:space="preserve">качеству </w:t>
      </w:r>
      <w:bookmarkEnd w:id="43"/>
      <w:bookmarkEnd w:id="44"/>
      <w:r>
        <w:rPr>
          <w:lang w:val="ru-RU"/>
        </w:rPr>
        <w:t>продукции</w:t>
      </w:r>
    </w:p>
    <w:p>
      <w:pPr>
        <w:pStyle w:val="Normal"/>
        <w:rPr>
          <w:b/>
          <w:bCs/>
        </w:rPr>
      </w:pPr>
      <w:r>
        <w:rPr>
          <w:b/>
          <w:bCs/>
          <w:iCs/>
          <w:sz w:val="24"/>
          <w:szCs w:val="24"/>
        </w:rPr>
        <w:t>Таблица 4. Требования к качеству продукции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iCs/>
          <w:sz w:val="24"/>
          <w:szCs w:val="24"/>
        </w:rPr>
        <w:t>Наименование услуг/этапа услуг (позиция №1-2 Таблицы 2):</w:t>
      </w:r>
      <w:r>
        <w:rPr>
          <w:iCs/>
          <w:sz w:val="24"/>
          <w:szCs w:val="24"/>
        </w:rPr>
        <w:t xml:space="preserve"> «ОКПД2: 86.90.19.190 Услуги по проведению предрейсовых и послерейсовых медицинских осмотров для нужд Саратовского транспортного участка Приволжского филиала АО «ТК РусГидро»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1527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2668"/>
        <w:gridCol w:w="976"/>
        <w:gridCol w:w="382"/>
        <w:gridCol w:w="4029"/>
        <w:gridCol w:w="3570"/>
        <w:gridCol w:w="2809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64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4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оказанию услуг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>
          <w:trHeight w:val="17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ind w:lef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Медицинские осмотры водителей транспортных средств проводятся в соответствии с пунктом 2 статьи 20 и пунктом 3 статьи 23 Федерального Закона от 10.12.1995 г. № 196-ФЗ «О безопасности дорожного движения», Приказом Минздрава РФ от 30.05.2023 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исследований».</w:t>
            </w:r>
          </w:p>
        </w:tc>
        <w:tc>
          <w:tcPr>
            <w:tcW w:w="3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должен предоставить в заявке согласие оказать услуги, полностью соответствующие настоящим Техническим требованиям по форме, установленной в Документации о закупке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Участник должен обладать действующей лицензией на осуществление медицинской деятельности в соответствии с Федеральным законом от 04.05.2011 N 99-ФЗ "О лицензировании отдельных видов деятельности", в которую вписан адрес места нахождения и места осуществления лицензируемого вида деятельности.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должен предоставить лицензию на осуществление медицинской деятельности</w:t>
            </w:r>
          </w:p>
        </w:tc>
      </w:tr>
      <w:tr>
        <w:trPr>
          <w:trHeight w:val="421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оказания услуг</w:t>
            </w:r>
          </w:p>
        </w:tc>
        <w:tc>
          <w:tcPr>
            <w:tcW w:w="53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должен предоставлять услуги по проведению предрейсовых и послерейсовых медицинских осмотров персонала Саратовского транспортного участка и иметь оборудованный медицинский кабинет не далее 1 (одного) километра от местонахождения Саратовского транспортного участка Приволжского филиала АО «ТК РусГидро»: Саратовская область, г. Балаково, территория филиала ПАО «РусГидро» - «Саратовская ГЭС».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предрейсовому и послерейсовому медицинскому осмотру персонала Камского транспортного участка, допущенным к управлению транспортными средствами, проводится Исполнителем в круглосуточном режиме, в рабочие и выходные дни.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решения вопроса о допуске водителя к работе при медицинском осмотре проводятся все необходимые исследования и мероприятия, в том числе: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сбор анамнеза;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определение артериального давления и пульса у водителей;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 наличии показаний проведение любые других разрешенных медицинских исследований, необходимых для решения вопроса о допуске к работе водителя.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водителей, больных гипертонической болезнью, медицинским персоналом «Исполнителя» определяется индивидуальная норма артериального давления по результатам замеров не менее чем десяти предрейсовых медицинских осмотров.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Оборудование, применяемое для проведения медицинского осмотра должно соответствовать нормам безопасности и технико-эксплуатационной надёжности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1.4.2.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приборы, оборудование и материалы для оказания услуг, должны быть сертифицированы для применения на территории РФ, своевременно проходить все необходимые поверки, и применяться в соответствии с инструкцией по эксплуатации.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1.4.3.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поддержании стабильных внешних условий).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fill="FFFFFF" w:val="clear"/>
              </w:rPr>
              <w:t>Исполнитель в обязательном порядке должен обеспечивать полную укомплектованность медицинскими работниками, прошедшими в установленном порядке обучение и имеющих действующее свидетельство (сертификат) на право проведения предрейсовых и послерейсовых медицинских осмотров.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результатам у</w:t>
            </w:r>
            <w:r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результатов обследования вносятся в журнал предрейсовых медицинских осмотров водителей автотранспортных средств, который, после заполнения, хранится у «Исполнителя».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результатам проводимых «Исполнителем» предрейсовых медицинских осмотров водители «Заказчика» допускаются либо не допускаются к управлению автомобилем в случаях, указанных в методических рекомендациях «Медицинское обеспечение безопасности дорожного движения. Организация и порядок проведения предрейсовых медицинских осмотров водителей транспортных средств», утвержденных Минздравом РФ и Минтрансом РФ 29.01.2002 г.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допуске водителя к управлению автомобилем на путевых листах ставится штамп «прошел предрейсовый медицинский осмотр, к исполнению трудовых обязанностей допущен», а также подпись и ФИО медицинского работника, проводившего осмотр, дата и время проведения медицинского осмотра.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0" w:hanging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Исполнитель обязуется обеспечивать соблюдение режима врачебной тайны, конфиденциальность и безопасность персональных данных лиц, проходивших медицинские осмотры при их обработке, в соответствии с требованиями Федерального закона от 27.07.2006г. №152-ФЗ «О персональных данных».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приемке результата оказания у</w:t>
            </w:r>
            <w:r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проведении медицинского осмотра, в случае обнаружения факторов, препятствующих допуску водителя к работе, составляются акты в двух экземплярах. Один экземпляр акта остается у медицинского работника «Исполнителя», второй экземпляр передается руководителю или уполномоченному лицу «Заказчика», который, в свою очередь, принимает решение в отношении данного водителя.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2.3.1.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53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2.3.2.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color w:val="000000"/>
                <w:spacing w:val="7"/>
                <w:sz w:val="22"/>
                <w:szCs w:val="22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2.3.3.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проведению медицинских осмотров должны быть безопасны и должны исключать возможность причинения вреда здоровью работникам Заказчика.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допуске водителя к управлению автомобилем на путевых листах ставится штамп «прошел предрейсовый медицинский осмотр, к исполнению трудовых обязанностей допущен», а также подпись и ФИО медицинского работника, проводившего осмотр, дата и время проведения медицинского осмотра.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2.4.2.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Подводить итоги предрейсовых и послерейсовых медицинских осмотров с анализом причин отстранения от работы водителей транспортных средств и результаты доводить до сведения Заказчика.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обязан проводить медицинский осмотр водителей транспортных средств Заказчика в соответствии с обязательными требованиями и правилами, установленными действующим законодательством в РФ.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несет ответственность предусмотренных законодательством РФ за качество проведенного предрейсового медицинского осмотра и выдачу заключения о допуске водителей к управлению транспортным средством.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требования к оказанию услуг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сдачи-приемки Услуг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1134" w:leader="none"/>
              </w:tabs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окончании оказания Услуг Исполнитель в течение 3 (трех) рабочих дней предоставляет Заказчику подписанные со своей стороны в 2 (двух) экземплярах Акты об оказании Услуг, Счет на оплату</w:t>
            </w:r>
          </w:p>
        </w:tc>
        <w:tc>
          <w:tcPr>
            <w:tcW w:w="3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Normal"/>
        <w:ind w:left="426" w:hanging="426"/>
        <w:rPr>
          <w:b/>
          <w:bCs/>
        </w:rPr>
      </w:pPr>
      <w:r>
        <w:rPr>
          <w:b/>
          <w:bCs/>
          <w:sz w:val="24"/>
          <w:szCs w:val="24"/>
        </w:rPr>
        <w:t>3.Требования к документации по ценообразованию на этапе закупки</w:t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3.1.</w:t>
        <w:tab/>
        <w:t>В обоснование стоимости своей заявки Участник предоставляет Коммерческое предложение.</w:t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3.2.</w:t>
        <w:tab/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3.3.</w:t>
        <w:tab/>
        <w:t>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26" w:hanging="426"/>
        <w:jc w:val="both"/>
        <w:rPr>
          <w:b/>
          <w:bCs/>
        </w:rPr>
      </w:pPr>
      <w:r>
        <w:rPr>
          <w:b/>
          <w:bCs/>
          <w:sz w:val="24"/>
          <w:szCs w:val="24"/>
        </w:rPr>
        <w:t>4.</w:t>
        <w:tab/>
        <w:t>Требования к документации по ценообразованию на этапе заключения (исполнения) договора</w:t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4.1.</w:t>
        <w:tab/>
        <w:t xml:space="preserve">В итоговый расчет стоимости оказания услуг должны быть включены все налоги, сборы, пошлины и прочие обязательные платежи, возникающие в ходе исполнения обязательств по договору, а также стоимость расходных материалов, используемых в ходе проведения работ. </w:t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4.2.</w:t>
        <w:tab/>
        <w:t>Стоимость 1 (одной) единицы услуг остается неизменной в течение всего срока действия договора.</w:t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PT Mono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627ACC7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27ACC7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9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tabs>
        <w:tab w:val="clear" w:pos="708"/>
        <w:tab w:val="left" w:pos="0" w:leader="none"/>
      </w:tabs>
      <w:spacing w:before="120" w:after="60"/>
      <w:ind w:left="426" w:hanging="42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WW8Num7z0" w:customStyle="1">
    <w:name w:val="WW8Num7z0"/>
    <w:qFormat/>
    <w:rPr/>
  </w:style>
  <w:style w:type="character" w:styleId="23" w:customStyle="1">
    <w:name w:val="Основной текст 2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5" w:customStyle="1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Normal1" w:customStyle="1">
    <w:name w:val="Normal1 Знак"/>
    <w:qFormat/>
    <w:rPr>
      <w:rFonts w:eastAsia="Calibri"/>
      <w:lang w:val="ru-RU" w:bidi="ar-SA"/>
    </w:rPr>
  </w:style>
  <w:style w:type="character" w:styleId="13" w:customStyle="1">
    <w:name w:val="Основной шрифт абзаца1"/>
    <w:qFormat/>
    <w:rPr/>
  </w:style>
  <w:style w:type="character" w:styleId="WW8Num11z2" w:customStyle="1">
    <w:name w:val="WW8Num11z2"/>
    <w:qFormat/>
    <w:rPr>
      <w:b w:val="false"/>
    </w:rPr>
  </w:style>
  <w:style w:type="character" w:styleId="WW8Num11z0" w:customStyle="1">
    <w:name w:val="WW8Num11z0"/>
    <w:qFormat/>
    <w:rPr/>
  </w:style>
  <w:style w:type="character" w:styleId="WW8Num10z0" w:customStyle="1">
    <w:name w:val="WW8Num10z0"/>
    <w:qFormat/>
    <w:rPr/>
  </w:style>
  <w:style w:type="character" w:styleId="WW8Num8z2" w:customStyle="1">
    <w:name w:val="WW8Num8z2"/>
    <w:qFormat/>
    <w:rPr>
      <w:rFonts w:ascii="Times New Roman" w:hAnsi="Times New Roman" w:cs="Times New Roman"/>
      <w:b w:val="false"/>
    </w:rPr>
  </w:style>
  <w:style w:type="character" w:styleId="WW8Num8z0" w:customStyle="1">
    <w:name w:val="WW8Num8z0"/>
    <w:qFormat/>
    <w:rPr/>
  </w:style>
  <w:style w:type="character" w:styleId="WW8Num6z0" w:customStyle="1">
    <w:name w:val="WW8Num6z0"/>
    <w:qFormat/>
    <w:rPr/>
  </w:style>
  <w:style w:type="character" w:styleId="WW8Num1z0" w:customStyle="1">
    <w:name w:val="WW8Num1z0"/>
    <w:qFormat/>
    <w:rPr/>
  </w:style>
  <w:style w:type="character" w:styleId="WW8Num4z2" w:customStyle="1">
    <w:name w:val="WW8Num4z2"/>
    <w:qFormat/>
    <w:rPr>
      <w:b w:val="false"/>
    </w:rPr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>
      <w:sz w:val="20"/>
      <w:szCs w:val="20"/>
    </w:rPr>
  </w:style>
  <w:style w:type="character" w:styleId="WW8Num2z0" w:customStyle="1">
    <w:name w:val="WW8Num2z0"/>
    <w:qFormat/>
    <w:rPr>
      <w:b/>
    </w:rPr>
  </w:style>
  <w:style w:type="character" w:styleId="WW8Num5z0" w:customStyle="1">
    <w:name w:val="WW8Num5z0"/>
    <w:qFormat/>
    <w:rPr>
      <w:b/>
    </w:rPr>
  </w:style>
  <w:style w:type="character" w:styleId="WW8Num4z1" w:customStyle="1">
    <w:name w:val="WW8Num4z1"/>
    <w:qFormat/>
    <w:rPr>
      <w:b/>
      <w:bCs/>
    </w:rPr>
  </w:style>
  <w:style w:type="character" w:styleId="WW8Num4z0" w:customStyle="1">
    <w:name w:val="WW8Num4z0"/>
    <w:qFormat/>
    <w:rPr/>
  </w:style>
  <w:style w:type="character" w:styleId="WW8Num3z2" w:customStyle="1">
    <w:name w:val="WW8Num3z2"/>
    <w:qFormat/>
    <w:rPr>
      <w:b w:val="false"/>
    </w:rPr>
  </w:style>
  <w:style w:type="character" w:styleId="WW8Num3z0" w:customStyle="1">
    <w:name w:val="WW8Num3z0"/>
    <w:qFormat/>
    <w:rPr>
      <w:b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14" w:customStyle="1">
    <w:name w:val="Название объекта1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Style16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Caption1" w:customStyle="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ind w:left="708" w:hanging="0"/>
    </w:pPr>
    <w:rPr/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jc w:val="both"/>
      <w:outlineLvl w:val="3"/>
    </w:pPr>
    <w:rPr>
      <w:sz w:val="26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jc w:val="both"/>
      <w:outlineLvl w:val="4"/>
    </w:pPr>
    <w:rPr>
      <w:sz w:val="26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jc w:val="both"/>
    </w:pPr>
    <w:rPr>
      <w:sz w:val="26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jc w:val="both"/>
    </w:pPr>
    <w:rPr>
      <w:sz w:val="26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jc w:val="right"/>
      <w:outlineLvl w:val="3"/>
    </w:pPr>
    <w:rPr>
      <w:sz w:val="26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Bodytext21" w:customStyle="1">
    <w:name w:val="Body text (2)"/>
    <w:basedOn w:val="Normal"/>
    <w:qFormat/>
    <w:pPr>
      <w:widowControl w:val="false"/>
      <w:shd w:val="clear" w:color="auto" w:fill="FFFFFF"/>
      <w:spacing w:lineRule="exact" w:line="277" w:before="0" w:after="60"/>
      <w:ind w:hanging="380"/>
      <w:jc w:val="right"/>
    </w:pPr>
    <w:rPr>
      <w:rFonts w:ascii="Arial" w:hAnsi="Arial" w:eastAsia="Arial" w:cs="Arial"/>
      <w:sz w:val="22"/>
    </w:rPr>
  </w:style>
  <w:style w:type="paragraph" w:styleId="211" w:customStyle="1">
    <w:name w:val="Основной текст 21"/>
    <w:basedOn w:val="Normal"/>
    <w:qFormat/>
    <w:pPr>
      <w:spacing w:lineRule="auto" w:line="480" w:before="0" w:after="120"/>
    </w:pPr>
    <w:rPr/>
  </w:style>
  <w:style w:type="paragraph" w:styleId="Normal1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311" w:customStyle="1">
    <w:name w:val="Основной текст с отступом 31"/>
    <w:basedOn w:val="Normal"/>
    <w:qFormat/>
    <w:pPr>
      <w:spacing w:before="0" w:after="120"/>
      <w:ind w:left="283" w:hanging="0"/>
    </w:pPr>
    <w:rPr>
      <w:sz w:val="16"/>
    </w:rPr>
  </w:style>
  <w:style w:type="paragraph" w:styleId="Caption111111111111" w:customStyle="1">
    <w:name w:val="Caption111111111111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Caption11111111111" w:customStyle="1">
    <w:name w:val="Caption11111111111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111" w:customStyle="1">
    <w:name w:val="Указатель1"/>
    <w:basedOn w:val="Normal"/>
    <w:qFormat/>
    <w:pPr/>
    <w:rPr/>
  </w:style>
  <w:style w:type="paragraph" w:styleId="112" w:customStyle="1">
    <w:name w:val="Заголовок1"/>
    <w:basedOn w:val="Normal"/>
    <w:qFormat/>
    <w:pPr>
      <w:jc w:val="center"/>
    </w:pPr>
    <w:rPr>
      <w:b/>
      <w:sz w:val="24"/>
    </w:rPr>
  </w:style>
  <w:style w:type="paragraph" w:styleId="Caption1111111" w:customStyle="1">
    <w:name w:val="Caption1111111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210" w:customStyle="1">
    <w:name w:val="Указатель2"/>
    <w:basedOn w:val="Normal"/>
    <w:qFormat/>
    <w:pPr/>
    <w:rPr>
      <w:rFonts w:cs="Arial Unicode MS"/>
    </w:rPr>
  </w:style>
  <w:style w:type="paragraph" w:styleId="Caption2">
    <w:name w:val="caption2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212" w:customStyle="1">
    <w:name w:val="Заголовок2"/>
    <w:basedOn w:val="Normal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2" w:customStyle="1">
    <w:name w:val="Caption12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Caption21" w:customStyle="1">
    <w:name w:val="Caption21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 w:customStyle="1">
    <w:name w:val="Текст в заданном формате"/>
    <w:basedOn w:val="Normal"/>
    <w:qFormat/>
    <w:pPr/>
    <w:rPr>
      <w:rFonts w:ascii="PT Mono" w:hAnsi="PT Mono" w:eastAsia="PT Mono" w:cs="PT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13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D135D-D1A6-493D-8D10-ED8BA8C7D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Application>AlterOffice/2025.3.1.0$Linux_X86_64 LibreOffice_project/6648c49ab2ca125dff246c75ec00a85a64baa8dd</Application>
  <AppVersion>15.0000</AppVersion>
  <Pages>9</Pages>
  <Words>1657</Words>
  <Characters>11714</Characters>
  <CharactersWithSpaces>13135</CharactersWithSpaces>
  <Paragraphs>228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muzurovaea@corp.gidroogk.com</cp:lastModifiedBy>
  <cp:lastPrinted>2026-06-16T04:23:00Z</cp:lastPrinted>
  <dcterms:modified xsi:type="dcterms:W3CDTF">2026-09-04T13:36:44Z</dcterms:modified>
  <cp:revision>152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