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w:t>
      </w:r>
      <w:r>
        <w:rPr>
          <w:sz w:val="24"/>
          <w:szCs w:val="24"/>
          <w:shd w:fill="auto" w:val="clear"/>
          <w:lang w:val="ru-RU"/>
        </w:rPr>
        <w:t xml:space="preserve">№ 803 от 12.11.2025 г., с одной стороны, и </w:t>
      </w:r>
    </w:p>
    <w:p>
      <w:pPr>
        <w:pStyle w:val="Normal"/>
        <w:ind w:hanging="0"/>
        <w:jc w:val="both"/>
        <w:rPr>
          <w:lang w:val="ru-RU"/>
        </w:rPr>
      </w:pPr>
      <w:r>
        <w:rPr>
          <w:b/>
          <w:bCs/>
          <w:i w:val="false"/>
          <w:iCs w:val="false"/>
          <w:sz w:val="24"/>
          <w:szCs w:val="24"/>
          <w:shd w:fill="auto" w:val="clear"/>
          <w:lang w:val="ru-RU"/>
        </w:rPr>
        <w:t xml:space="preserve"> </w:t>
      </w:r>
      <w:r>
        <w:rPr>
          <w:b/>
          <w:bCs/>
          <w:i w:val="false"/>
          <w:iCs w:val="false"/>
          <w:sz w:val="24"/>
          <w:szCs w:val="24"/>
          <w:shd w:fill="auto" w:val="clear"/>
          <w:lang w:val="ru-RU"/>
        </w:rPr>
        <w:tab/>
      </w:r>
      <w:r>
        <w:rPr>
          <w:b/>
          <w:bCs/>
          <w:i w:val="false"/>
          <w:iCs w:val="false"/>
          <w:sz w:val="24"/>
          <w:szCs w:val="24"/>
          <w:shd w:fill="B2B2B2" w:val="clear"/>
          <w:lang w:val="ru-RU"/>
        </w:rPr>
        <w:t xml:space="preserve">_________________ </w:t>
      </w:r>
      <w:r>
        <w:rPr>
          <w:b/>
          <w:bCs/>
          <w:sz w:val="24"/>
          <w:szCs w:val="24"/>
          <w:lang w:val="ru-RU"/>
        </w:rPr>
        <w:t xml:space="preserve">(_________) </w:t>
      </w:r>
      <w:r>
        <w:rPr>
          <w:sz w:val="24"/>
          <w:szCs w:val="24"/>
          <w:lang w:val="ru-RU"/>
        </w:rPr>
        <w:t>(далее – «Исполнитель»), в</w:t>
      </w:r>
      <w:r>
        <w:rPr>
          <w:b w:val="false"/>
          <w:bCs w:val="false"/>
          <w:sz w:val="24"/>
          <w:szCs w:val="24"/>
          <w:lang w:val="ru-RU"/>
        </w:rPr>
        <w:t xml:space="preserve"> лице </w:t>
      </w:r>
      <w:r>
        <w:rPr>
          <w:b w:val="false"/>
          <w:bCs w:val="false"/>
          <w:sz w:val="24"/>
          <w:szCs w:val="24"/>
          <w:shd w:fill="B2B2B2" w:val="clear"/>
          <w:lang w:val="ru-RU"/>
        </w:rPr>
        <w:t>_________________</w:t>
      </w:r>
      <w:r>
        <w:rPr>
          <w:b w:val="false"/>
          <w:bCs w:val="false"/>
          <w:sz w:val="24"/>
          <w:szCs w:val="24"/>
          <w:lang w:val="ru-RU"/>
        </w:rPr>
        <w:t xml:space="preserve">, действующего на основании </w:t>
      </w:r>
      <w:r>
        <w:rPr>
          <w:b w:val="false"/>
          <w:bCs w:val="false"/>
          <w:i w:val="false"/>
          <w:iCs w:val="false"/>
          <w:sz w:val="24"/>
          <w:szCs w:val="24"/>
          <w:shd w:fill="B2B2B2" w:val="clear"/>
          <w:lang w:val="ru-RU"/>
        </w:rPr>
        <w:t>____________</w:t>
      </w:r>
      <w:r>
        <w:rPr>
          <w:b w:val="false"/>
          <w:bCs w:val="false"/>
          <w:sz w:val="24"/>
          <w:szCs w:val="24"/>
          <w:lang w:val="ru-RU"/>
        </w:rPr>
        <w:t xml:space="preserve">, с другой стороны, совместно в дальнейшем именуемые «Стороны», а по отдельности – «Сторона», по результатам проведенной Заказчиком </w:t>
      </w:r>
      <w:r>
        <w:rPr>
          <w:b w:val="false"/>
          <w:bCs w:val="false"/>
          <w:i w:val="false"/>
          <w:iCs w:val="false"/>
          <w:sz w:val="24"/>
          <w:szCs w:val="24"/>
          <w:shd w:fill="B2B2B2" w:val="clear"/>
          <w:lang w:val="ru-RU"/>
        </w:rPr>
        <w:t>_____________</w:t>
      </w:r>
      <w:r>
        <w:rPr>
          <w:b w:val="false"/>
          <w:bCs w:val="false"/>
          <w:sz w:val="24"/>
          <w:szCs w:val="24"/>
          <w:lang w:val="ru-RU"/>
        </w:rPr>
        <w:t xml:space="preserve"> процедуры по лоту № </w:t>
      </w:r>
      <w:r>
        <w:rPr>
          <w:b w:val="false"/>
          <w:bCs w:val="false"/>
          <w:sz w:val="24"/>
          <w:szCs w:val="24"/>
          <w:shd w:fill="B2B2B2" w:val="clear"/>
          <w:lang w:val="ru-RU"/>
        </w:rPr>
        <w:t>_______</w:t>
      </w:r>
      <w:r>
        <w:rPr>
          <w:b w:val="false"/>
          <w:bCs w:val="false"/>
          <w:sz w:val="24"/>
          <w:szCs w:val="24"/>
          <w:lang w:val="ru-RU"/>
        </w:rPr>
        <w:t xml:space="preserve">, </w:t>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bookmarkStart w:id="2" w:name="_Ref361320734"/>
      <w:bookmarkEnd w:id="2"/>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numPr>
          <w:ilvl w:val="2"/>
          <w:numId w:val="3"/>
        </w:numPr>
        <w:ind w:left="0" w:firstLine="709"/>
        <w:jc w:val="both"/>
        <w:rPr/>
      </w:pPr>
      <w:bookmarkStart w:id="3" w:name="_Ref361320734_Копия_1"/>
      <w:bookmarkEnd w:id="3"/>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3"/>
        </w:numPr>
        <w:shd w:val="clear" w:color="auto" w:fill="FFFFFF"/>
        <w:tabs>
          <w:tab w:val="clear" w:pos="709"/>
          <w:tab w:val="left" w:pos="1418" w:leader="none"/>
        </w:tabs>
        <w:ind w:left="0" w:firstLine="709"/>
        <w:jc w:val="both"/>
        <w:rPr>
          <w:bCs/>
        </w:rPr>
      </w:pPr>
      <w:bookmarkStart w:id="4"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xml:space="preserve">, установленных Договором, и не влечет </w:t>
      </w:r>
      <w:r>
        <w:rPr>
          <w:shd w:fill="auto" w:val="clear"/>
        </w:rPr>
        <w:t>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3"/>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bCs/>
        </w:rPr>
      </w:pPr>
      <w:r>
        <w:rPr>
          <w:bCs/>
          <w:shd w:fill="auto" w:val="clear"/>
        </w:rPr>
        <w:t>Обеспечить в соответствии с законод</w:t>
      </w:r>
      <w:r>
        <w:rPr>
          <w:bCs/>
        </w:rPr>
        <w:t>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w:t>
      </w:r>
      <w:r>
        <w:rPr>
          <w:bCs/>
          <w:shd w:fill="auto" w:val="clear"/>
        </w:rPr>
        <w:t>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w:t>
      </w:r>
      <w:r>
        <w:rPr/>
        <w:t xml:space="preserve">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2.3.10.1 Договора. </w:t>
      </w:r>
    </w:p>
    <w:p>
      <w:pPr>
        <w:pStyle w:val="ListParagraph"/>
        <w:numPr>
          <w:ilvl w:val="2"/>
          <w:numId w:val="13"/>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3"/>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pPr>
      <w:r>
        <w:rPr/>
        <w:t xml:space="preserve"> </w:t>
      </w:r>
      <w:r>
        <w:rPr/>
        <w:t>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w:t>
      </w:r>
    </w:p>
    <w:p>
      <w:pPr>
        <w:pStyle w:val="ListParagraph"/>
        <w:numPr>
          <w:ilvl w:val="2"/>
          <w:numId w:val="13"/>
        </w:numPr>
        <w:shd w:val="clear" w:color="auto" w:fill="FFFFFF"/>
        <w:tabs>
          <w:tab w:val="clear" w:pos="709"/>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0"/>
          <w:numId w:val="0"/>
        </w:numPr>
        <w:tabs>
          <w:tab w:val="clear" w:pos="709"/>
          <w:tab w:val="left" w:pos="675" w:leader="none"/>
          <w:tab w:val="left" w:pos="1276" w:leader="none"/>
        </w:tabs>
        <w:ind w:left="0" w:hanging="0"/>
        <w:jc w:val="both"/>
        <w:rPr/>
      </w:pPr>
      <w:r>
        <w:rPr/>
        <w:t xml:space="preserve"> </w:t>
      </w:r>
      <w:r>
        <w:rPr/>
        <w:tab/>
        <w:t>2.3.15.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0"/>
          <w:numId w:val="0"/>
        </w:numPr>
        <w:tabs>
          <w:tab w:val="clear" w:pos="709"/>
          <w:tab w:val="left" w:pos="675" w:leader="none"/>
          <w:tab w:val="left" w:pos="1276" w:leader="none"/>
        </w:tabs>
        <w:ind w:left="0" w:hanging="0"/>
        <w:jc w:val="both"/>
        <w:rPr/>
      </w:pPr>
      <w:r>
        <w:rPr/>
        <w:t xml:space="preserve"> </w:t>
      </w:r>
      <w:r>
        <w:rPr/>
        <w:tab/>
        <w:t>2.3.16.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0"/>
          <w:numId w:val="0"/>
        </w:numPr>
        <w:tabs>
          <w:tab w:val="clear" w:pos="709"/>
          <w:tab w:val="left" w:pos="675" w:leader="none"/>
          <w:tab w:val="left" w:pos="1276" w:leader="none"/>
        </w:tabs>
        <w:ind w:left="0" w:hanging="0"/>
        <w:jc w:val="both"/>
        <w:rPr/>
      </w:pPr>
      <w:r>
        <w:rPr/>
        <w:tab/>
        <w:t>2.3.17. Исполнять другие обязанности в соответствии с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shd w:val="clear" w:color="auto" w:fill="FFFFFF"/>
        <w:tabs>
          <w:tab w:val="clear" w:pos="709"/>
          <w:tab w:val="left" w:pos="1418" w:leader="none"/>
        </w:tabs>
        <w:ind w:left="709" w:hanging="0"/>
        <w:jc w:val="both"/>
        <w:rPr/>
      </w:pPr>
      <w:r>
        <w:rPr/>
        <w:t xml:space="preserve">2.4. </w:t>
      </w:r>
      <w:r>
        <w:rPr>
          <w:u w:val="single"/>
        </w:rPr>
        <w:t>Исполнитель имеет право</w:t>
      </w:r>
      <w:r>
        <w:rPr/>
        <w:t>:</w:t>
      </w:r>
    </w:p>
    <w:p>
      <w:pPr>
        <w:pStyle w:val="ListParagraph"/>
        <w:numPr>
          <w:ilvl w:val="2"/>
          <w:numId w:val="18"/>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8"/>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8"/>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w:t>
      </w:r>
      <w:r>
        <w:rPr>
          <w:bCs/>
          <w:highlight w:val="lightGray"/>
        </w:rPr>
        <w:t xml:space="preserve">  </w:t>
      </w:r>
      <w:r>
        <w:rPr>
          <w:bCs/>
          <w:shd w:fill="auto" w:val="clear"/>
        </w:rPr>
        <w:t xml:space="preserve">(десять) </w:t>
      </w:r>
      <w:r>
        <w:rPr>
          <w:bCs/>
        </w:rPr>
        <w:t>процентов 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shd w:val="clear" w:color="auto" w:fill="FFFFFF"/>
        <w:tabs>
          <w:tab w:val="clear" w:pos="709"/>
          <w:tab w:val="left" w:pos="1418" w:leader="none"/>
        </w:tabs>
        <w:ind w:left="709" w:hanging="0"/>
        <w:jc w:val="both"/>
        <w:rPr>
          <w:highlight w:val="lightGray"/>
        </w:rPr>
      </w:pPr>
      <w:r>
        <w:rPr>
          <w:highlight w:val="lightGray"/>
        </w:rPr>
      </w:r>
    </w:p>
    <w:p>
      <w:pPr>
        <w:pStyle w:val="ListParagraph"/>
        <w:numPr>
          <w:ilvl w:val="0"/>
          <w:numId w:val="18"/>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Цена Договора в соответст</w:t>
      </w:r>
      <w:r>
        <w:rPr>
          <w:shd w:fill="auto" w:val="clear"/>
        </w:rPr>
        <w:t xml:space="preserve">вии с Расчетом стоимости Услуг (Приложение № 2 к Договору) является предельной и составляет __________ (_________________) рублей ___ копеек без учета НДС, при этом НДС </w:t>
      </w:r>
      <w:r>
        <w:rPr/>
        <w:t>исчисляется дополнительно по ставке, установленной статьей 164 Налогового кодекса РФ.</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Локальные расчеты стоимости являются неотъемлемой частью Расчета стоимости Услуг (Приложение № 2 к Договору).</w:t>
      </w:r>
    </w:p>
    <w:p>
      <w:pPr>
        <w:pStyle w:val="ListParagraph"/>
        <w:numPr>
          <w:ilvl w:val="1"/>
          <w:numId w:val="21"/>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w:t>
      </w:r>
      <w:r>
        <w:rPr>
          <w:shd w:fill="auto" w:val="clear"/>
        </w:rPr>
        <w:t>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shd w:fill="auto" w:val="clear"/>
        </w:rPr>
        <w:t>подлежащие уплате налог</w:t>
      </w:r>
      <w:r>
        <w:rPr/>
        <w:t xml:space="preserve">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 xml:space="preserve">Оплата по Договору осуществляется Заказчиком в течение </w:t>
      </w:r>
      <w:bookmarkStart w:id="9" w:name="_Ref372549497"/>
      <w:r>
        <w:rPr>
          <w:highlight w:val="lightGray"/>
        </w:rPr>
        <w:t>20 (двадцати) календарных дней</w:t>
      </w:r>
      <w:r>
        <w:rPr>
          <w:rStyle w:val="FootnoteReference"/>
          <w:highlight w:val="lightGray"/>
        </w:rPr>
        <w:footnoteReference w:id="2"/>
      </w:r>
      <w:r>
        <w:rPr/>
        <w:t xml:space="preserve"> / </w:t>
      </w:r>
      <w:r>
        <w:rPr>
          <w:highlight w:val="lightGray"/>
        </w:rPr>
        <w:t>7 (семи) рабочих дней</w:t>
      </w:r>
      <w:r>
        <w:rPr>
          <w:rStyle w:val="FootnoteReference"/>
          <w:highlight w:val="lightGray"/>
        </w:rPr>
        <w:footnoteReference w:id="3"/>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3.5.1 Договора.</w:t>
      </w:r>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709"/>
        <w:jc w:val="both"/>
        <w:rPr/>
      </w:pPr>
      <w:r>
        <w:rPr/>
      </w:r>
    </w:p>
    <w:p>
      <w:pPr>
        <w:pStyle w:val="ListParagraph"/>
        <w:numPr>
          <w:ilvl w:val="0"/>
          <w:numId w:val="17"/>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t>По окончании оказания Услуг Ис</w:t>
      </w:r>
      <w:r>
        <w:rPr>
          <w:shd w:fill="auto" w:val="clear"/>
        </w:rPr>
        <w:t xml:space="preserve">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3 к Договору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pPr>
      <w:bookmarkStart w:id="10" w:name="_Ref372745126"/>
      <w:r>
        <w:rPr>
          <w:shd w:fill="auto" w:val="clear"/>
        </w:rPr>
        <w:t>В течение 15 (пятнадцати) рабочих дней с даты получения полного комплекта документов, указанных в пункте 4.1 Догово</w:t>
      </w:r>
      <w:r>
        <w:rPr/>
        <w:t>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Pr/>
        <w:t xml:space="preserve"> </w:t>
      </w:r>
    </w:p>
    <w:p>
      <w:pPr>
        <w:pStyle w:val="ListParagraph"/>
        <w:numPr>
          <w:ilvl w:val="1"/>
          <w:numId w:val="19"/>
        </w:numPr>
        <w:shd w:val="clear" w:color="auto" w:fill="FFFFFF"/>
        <w:tabs>
          <w:tab w:val="clear" w:pos="709"/>
          <w:tab w:val="left" w:pos="284" w:leader="none"/>
          <w:tab w:val="left" w:pos="1134" w:leader="none"/>
        </w:tabs>
        <w:ind w:left="0" w:firstLine="709"/>
        <w:jc w:val="both"/>
        <w:rPr/>
      </w:pPr>
      <w:bookmarkStart w:id="11"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ListParagraph"/>
        <w:shd w:val="clear" w:color="auto" w:fill="FFFFFF"/>
        <w:tabs>
          <w:tab w:val="clear" w:pos="709"/>
          <w:tab w:val="left" w:pos="1134" w:leader="none"/>
        </w:tabs>
        <w:ind w:left="0" w:firstLine="709"/>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19"/>
        </w:numPr>
        <w:shd w:val="clear" w:color="auto" w:fill="FFFFFF"/>
        <w:tabs>
          <w:tab w:val="left" w:pos="709" w:leader="none"/>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9"/>
        </w:numPr>
        <w:tabs>
          <w:tab w:val="left" w:pos="496" w:leader="none"/>
          <w:tab w:val="left" w:pos="709" w:leader="none"/>
          <w:tab w:val="left" w:pos="1134" w:leader="none"/>
        </w:tabs>
        <w:ind w:left="0" w:firstLine="709"/>
        <w:jc w:val="both"/>
        <w:rPr>
          <w:lang w:val="ru-RU"/>
        </w:rPr>
      </w:pPr>
      <w:r>
        <w:rP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19"/>
        </w:numPr>
        <w:tabs>
          <w:tab w:val="left" w:pos="709" w:leader="none"/>
          <w:tab w:val="left" w:pos="1134" w:leader="none"/>
        </w:tabs>
        <w:ind w:left="0" w:firstLine="709"/>
        <w:jc w:val="both"/>
        <w:rPr>
          <w:lang w:val="ru-RU"/>
        </w:rPr>
      </w:pPr>
      <w:r>
        <w:rPr>
          <w:lang w:val="ru-RU"/>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4 к Договору. </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355" w:leader="none"/>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9"/>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9"/>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9"/>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9"/>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496" w:leader="none"/>
          <w:tab w:val="left" w:pos="1276" w:leader="none"/>
        </w:tabs>
        <w:ind w:left="496" w:hanging="0"/>
        <w:jc w:val="both"/>
        <w:rPr>
          <w:lang w:val="ru-RU"/>
        </w:rPr>
      </w:pPr>
      <w:r>
        <w:rPr>
          <w:lang w:val="ru-RU"/>
        </w:rPr>
      </w:r>
    </w:p>
    <w:p>
      <w:pPr>
        <w:pStyle w:val="ListParagraph"/>
        <w:numPr>
          <w:ilvl w:val="0"/>
          <w:numId w:val="12"/>
        </w:numPr>
        <w:shd w:val="clear" w:color="auto" w:fill="FFFFFF"/>
        <w:tabs>
          <w:tab w:val="clear" w:pos="709"/>
          <w:tab w:val="left" w:pos="284" w:leader="none"/>
        </w:tabs>
        <w:ind w:left="0" w:hanging="360"/>
        <w:jc w:val="center"/>
        <w:rPr>
          <w:b/>
        </w:rPr>
      </w:pPr>
      <w:r>
        <w:rPr>
          <w:b/>
        </w:rPr>
        <w:t>Исключительные права и патенты</w:t>
      </w:r>
    </w:p>
    <w:p>
      <w:pPr>
        <w:pStyle w:val="ListParagraph"/>
        <w:numPr>
          <w:ilvl w:val="1"/>
          <w:numId w:val="12"/>
        </w:numPr>
        <w:shd w:val="clear" w:color="auto" w:fill="FFFFFF"/>
        <w:tabs>
          <w:tab w:val="clear" w:pos="709"/>
          <w:tab w:val="left" w:pos="355" w:leader="none"/>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2"/>
        </w:numPr>
        <w:shd w:val="clear" w:color="auto" w:fill="FFFFFF"/>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2"/>
        </w:numPr>
        <w:shd w:val="clear" w:color="auto" w:fill="FFFFFF"/>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2"/>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2"/>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2"/>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2"/>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2"/>
        </w:numPr>
        <w:shd w:val="clear" w:color="auto" w:fill="FFFFFF"/>
        <w:tabs>
          <w:tab w:val="clear" w:pos="709"/>
          <w:tab w:val="left" w:pos="0" w:leader="none"/>
          <w:tab w:val="left" w:pos="284" w:leader="none"/>
        </w:tabs>
        <w:ind w:left="0" w:hanging="0"/>
        <w:jc w:val="center"/>
        <w:rPr>
          <w:b/>
          <w:bCs/>
        </w:rPr>
      </w:pPr>
      <w:r>
        <w:rPr>
          <w:b/>
          <w:bCs/>
        </w:rPr>
        <w:t>Конфиденциальность</w:t>
      </w:r>
    </w:p>
    <w:p>
      <w:pPr>
        <w:pStyle w:val="ListParagraph"/>
        <w:numPr>
          <w:ilvl w:val="1"/>
          <w:numId w:val="12"/>
        </w:numPr>
        <w:shd w:val="clear" w:color="auto" w:fill="FFFFFF"/>
        <w:tabs>
          <w:tab w:val="clear" w:pos="709"/>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9"/>
          <w:tab w:val="left" w:pos="1134" w:leader="none"/>
        </w:tabs>
        <w:ind w:left="0" w:firstLine="709"/>
        <w:jc w:val="both"/>
        <w:rPr>
          <w:bCs/>
        </w:rPr>
      </w:pPr>
      <w:bookmarkStart w:id="13"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3"/>
      <w:r>
        <w:rPr>
          <w:bCs/>
        </w:rPr>
        <w:t xml:space="preserve"> </w:t>
      </w:r>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shd w:val="clear" w:color="auto" w:fill="FFFFFF"/>
        <w:tabs>
          <w:tab w:val="clear" w:pos="709"/>
          <w:tab w:val="left" w:pos="1134" w:leader="none"/>
        </w:tabs>
        <w:ind w:left="0" w:firstLine="709"/>
        <w:jc w:val="both"/>
        <w:rPr>
          <w:bCs/>
        </w:rPr>
      </w:pPr>
      <w:bookmarkStart w:id="14"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shd w:val="clear" w:color="auto" w:fill="FFFFFF"/>
        <w:tabs>
          <w:tab w:val="left" w:pos="709" w:leader="none"/>
          <w:tab w:val="left" w:pos="1134" w:leader="none"/>
        </w:tabs>
        <w:ind w:left="0" w:firstLine="709"/>
        <w:jc w:val="both"/>
        <w:rPr>
          <w:bCs/>
        </w:rPr>
      </w:pPr>
      <w:bookmarkStart w:id="15"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ListParagraph"/>
        <w:numPr>
          <w:ilvl w:val="1"/>
          <w:numId w:val="12"/>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12"/>
        </w:numPr>
        <w:shd w:val="clear" w:color="auto" w:fill="FFFFFF"/>
        <w:tabs>
          <w:tab w:val="clear" w:pos="709"/>
          <w:tab w:val="left" w:pos="284" w:leader="none"/>
          <w:tab w:val="left" w:pos="426" w:leader="none"/>
        </w:tabs>
        <w:ind w:left="0" w:hanging="0"/>
        <w:jc w:val="center"/>
        <w:rPr>
          <w:bCs/>
        </w:rPr>
      </w:pPr>
      <w:r>
        <w:rPr>
          <w:b/>
          <w:bCs/>
        </w:rPr>
        <w:t>Разрешение споров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Споры, указанные в пункте 8.1 Договора, которые не были урегулированы Сторонам</w:t>
      </w:r>
      <w:r>
        <w:rPr>
          <w:bCs/>
          <w:shd w:fill="auto" w:val="clear"/>
        </w:rPr>
        <w:t>и путем переговоров, подлежат разрешению в Арбитражном суде Самарской области в с</w:t>
      </w:r>
      <w:r>
        <w:rPr>
          <w:bCs/>
        </w:rPr>
        <w:t>оответствии с законодательством Р</w:t>
      </w:r>
      <w:r>
        <w:rPr>
          <w:bCs/>
          <w:shd w:fill="auto" w:val="clear"/>
        </w:rPr>
        <w:t>оссийской Федерации.</w:t>
      </w:r>
    </w:p>
    <w:p>
      <w:pPr>
        <w:pStyle w:val="ListParagraph"/>
        <w:numPr>
          <w:ilvl w:val="1"/>
          <w:numId w:val="12"/>
        </w:numPr>
        <w:shd w:val="clear" w:color="auto" w:fill="FFFFFF"/>
        <w:tabs>
          <w:tab w:val="left" w:pos="709"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2"/>
        </w:numPr>
        <w:shd w:val="clear" w:color="auto" w:fill="FFFFFF"/>
        <w:tabs>
          <w:tab w:val="left" w:pos="709"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2"/>
        </w:numPr>
        <w:shd w:val="clear" w:color="auto" w:fill="FFFFFF"/>
        <w:tabs>
          <w:tab w:val="clear" w:pos="709"/>
          <w:tab w:val="left" w:pos="284" w:leader="none"/>
        </w:tabs>
        <w:ind w:left="0" w:hanging="0"/>
        <w:jc w:val="center"/>
        <w:rPr>
          <w:b/>
        </w:rPr>
      </w:pPr>
      <w:r>
        <w:rPr>
          <w:b/>
          <w:bCs/>
        </w:rPr>
        <w:t>Антикоррупционная оговорка</w:t>
      </w:r>
    </w:p>
    <w:p>
      <w:pPr>
        <w:pStyle w:val="ListParagraph"/>
        <w:widowControl w:val="false"/>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1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2"/>
        </w:numPr>
        <w:shd w:val="clear" w:color="auto" w:fill="FFFFFF"/>
        <w:tabs>
          <w:tab w:val="clear" w:pos="709"/>
          <w:tab w:val="left" w:pos="355"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2"/>
        </w:numPr>
        <w:shd w:val="clear" w:color="auto" w:fill="FFFFFF"/>
        <w:tabs>
          <w:tab w:val="clear" w:pos="709"/>
          <w:tab w:val="left" w:pos="1134" w:leader="none"/>
        </w:tabs>
        <w:ind w:left="0" w:firstLine="709"/>
        <w:jc w:val="both"/>
        <w:rPr>
          <w:bCs/>
        </w:rPr>
      </w:pPr>
      <w:bookmarkStart w:id="16"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6"/>
    </w:p>
    <w:p>
      <w:pPr>
        <w:pStyle w:val="ListParagraph"/>
        <w:numPr>
          <w:ilvl w:val="1"/>
          <w:numId w:val="1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1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1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w:t>
      </w:r>
      <w:r>
        <w:rPr>
          <w:shd w:fill="auto" w:val="clear"/>
        </w:rPr>
        <w:t>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w:t>
      </w:r>
      <w:r>
        <w:rPr/>
        <w:t xml:space="preserve">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9"/>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w:t>
      </w:r>
      <w:r>
        <w:rPr>
          <w:shd w:fill="auto" w:val="clear"/>
        </w:rPr>
        <w:t>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2"/>
        </w:numPr>
        <w:shd w:val="clear" w:color="auto" w:fill="FFFFFF"/>
        <w:tabs>
          <w:tab w:val="clear" w:pos="709"/>
          <w:tab w:val="left" w:pos="355" w:leader="none"/>
        </w:tabs>
        <w:ind w:left="0" w:firstLine="709"/>
        <w:jc w:val="both"/>
        <w:rPr/>
      </w:pPr>
      <w:r>
        <w:rPr/>
        <w:t>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w:t>
      </w:r>
      <w:r>
        <w:rPr>
          <w:shd w:fill="auto" w:val="clear"/>
        </w:rPr>
        <w:t xml:space="preserve">елем уведомления Заказчика об отказе от Договора (исполнения Договора). </w:t>
      </w:r>
    </w:p>
    <w:p>
      <w:pPr>
        <w:pStyle w:val="ListParagraph"/>
        <w:numPr>
          <w:ilvl w:val="1"/>
          <w:numId w:val="12"/>
        </w:numPr>
        <w:shd w:val="clear" w:color="auto" w:fill="FFFFFF"/>
        <w:tabs>
          <w:tab w:val="clear" w:pos="709"/>
          <w:tab w:val="left" w:pos="355"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2"/>
        </w:numPr>
        <w:shd w:val="clear" w:color="auto" w:fill="FFFFFF"/>
        <w:tabs>
          <w:tab w:val="clear" w:pos="709"/>
          <w:tab w:val="left" w:pos="355" w:leader="none"/>
        </w:tabs>
        <w:ind w:left="0" w:firstLine="709"/>
        <w:jc w:val="both"/>
        <w:rPr/>
      </w:pPr>
      <w:r>
        <w:rPr>
          <w:shd w:fill="auto" w:val="clear"/>
        </w:rPr>
        <w:t>При прекращении (расторжении) Договора по</w:t>
      </w:r>
      <w:r>
        <w:rPr/>
        <w:t xml:space="preserve">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0"/>
        </w:numPr>
        <w:shd w:val="clear" w:color="auto" w:fill="FFFFFF"/>
        <w:tabs>
          <w:tab w:val="clear" w:pos="709"/>
          <w:tab w:val="left" w:pos="426" w:leader="none"/>
        </w:tabs>
        <w:jc w:val="center"/>
        <w:rPr>
          <w:b/>
          <w:bCs/>
        </w:rPr>
      </w:pPr>
      <w:r>
        <w:rPr>
          <w:b/>
          <w:bCs/>
        </w:rPr>
        <w:t>Заключительные положения</w:t>
      </w:r>
    </w:p>
    <w:p>
      <w:pPr>
        <w:pStyle w:val="ListParagraph"/>
        <w:numPr>
          <w:ilvl w:val="1"/>
          <w:numId w:val="20"/>
        </w:numPr>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0"/>
        </w:numPr>
        <w:shd w:val="clear" w:color="auto" w:fill="FFFFFF"/>
        <w:tabs>
          <w:tab w:val="clear" w:pos="709"/>
          <w:tab w:val="left" w:pos="1134" w:leader="none"/>
        </w:tabs>
        <w:ind w:left="0" w:firstLine="709"/>
        <w:jc w:val="both"/>
        <w:rPr/>
      </w:pPr>
      <w:r>
        <w:rPr/>
        <w:t>Все изменения и дополнения к Договору действительны при условии, что они совершены в письмен</w:t>
      </w:r>
      <w:r>
        <w:rPr>
          <w:shd w:fill="auto" w:val="clear"/>
        </w:rPr>
        <w:t xml:space="preserve">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0"/>
        </w:numPr>
        <w:shd w:val="clear" w:color="auto" w:fill="FFFFFF"/>
        <w:tabs>
          <w:tab w:val="clear" w:pos="709"/>
          <w:tab w:val="left" w:pos="1134" w:leader="none"/>
        </w:tabs>
        <w:ind w:left="0" w:firstLine="709"/>
        <w:jc w:val="both"/>
        <w:rPr/>
      </w:pPr>
      <w:r>
        <w:rPr/>
        <w:t>Стороны обязуются уведомля</w:t>
      </w:r>
      <w:r>
        <w:rPr>
          <w:shd w:fill="auto" w:val="clear"/>
        </w:rPr>
        <w:t xml:space="preserve">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0"/>
        </w:numPr>
        <w:shd w:val="clear" w:color="auto" w:fill="FFFFFF"/>
        <w:tabs>
          <w:tab w:val="clear" w:pos="709"/>
          <w:tab w:val="left" w:pos="0" w:leader="none"/>
          <w:tab w:val="left" w:pos="1418" w:leader="none"/>
        </w:tabs>
        <w:ind w:left="0" w:firstLine="709"/>
        <w:jc w:val="both"/>
        <w:rPr/>
      </w:pPr>
      <w:r>
        <w:rPr>
          <w:shd w:fill="auto" w:val="clear"/>
        </w:rPr>
        <w:t>Письма, уведомления и / или сообщения на</w:t>
      </w:r>
      <w:r>
        <w:rPr/>
        <w:t xml:space="preserve">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w:t>
      </w:r>
      <w:r>
        <w:rPr>
          <w:bCs/>
        </w:rPr>
        <w:t>7</w:t>
      </w:r>
      <w:r>
        <w:rPr>
          <w:bCs/>
        </w:rPr>
        <w:t>.1.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14.</w:t>
      </w:r>
      <w:r>
        <w:rPr>
          <w:bCs/>
        </w:rPr>
        <w:t>7</w:t>
      </w:r>
      <w:r>
        <w:rPr>
          <w:bCs/>
        </w:rPr>
        <w:t xml:space="preserve">.2.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w:t>
      </w:r>
      <w:r>
        <w:rPr>
          <w:bCs/>
        </w:rPr>
        <w:t>7</w:t>
      </w:r>
      <w:r>
        <w:rPr>
          <w:bCs/>
        </w:rPr>
        <w:t>.3.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Оригиналы док</w:t>
      </w:r>
      <w:r>
        <w:rPr>
          <w:bCs/>
          <w:shd w:fill="auto" w:val="clear"/>
        </w:rPr>
        <w:t>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w:t>
      </w:r>
      <w:r>
        <w:rPr>
          <w:bCs/>
          <w:shd w:fill="auto" w:val="clear"/>
        </w:rPr>
        <w:t>7</w:t>
      </w:r>
      <w:r>
        <w:rPr>
          <w:bCs/>
          <w:shd w:fill="auto" w:val="clear"/>
        </w:rPr>
        <w:t>.1. – 14.</w:t>
      </w:r>
      <w:r>
        <w:rPr>
          <w:bCs/>
          <w:shd w:fill="auto" w:val="clear"/>
        </w:rPr>
        <w:t>7</w:t>
      </w:r>
      <w:r>
        <w:rPr>
          <w:bCs/>
          <w:shd w:fill="auto" w:val="clear"/>
        </w:rPr>
        <w:t>.2. Договора.</w:t>
      </w:r>
    </w:p>
    <w:p>
      <w:pPr>
        <w:pStyle w:val="ListParagraph"/>
        <w:numPr>
          <w:ilvl w:val="1"/>
          <w:numId w:val="20"/>
        </w:numPr>
        <w:shd w:val="clear" w:color="auto" w:fill="FFFFFF"/>
        <w:tabs>
          <w:tab w:val="clear" w:pos="709"/>
          <w:tab w:val="left" w:pos="1418"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w:t>
      </w:r>
      <w:r>
        <w:rPr>
          <w:bCs/>
        </w:rPr>
        <w:t xml:space="preserve">м, не означает отказ от такого права и не влечет прекращения возможности реализовать это право в будущем. </w:t>
      </w:r>
    </w:p>
    <w:p>
      <w:pPr>
        <w:pStyle w:val="ListParagraph"/>
        <w:numPr>
          <w:ilvl w:val="1"/>
          <w:numId w:val="20"/>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0"/>
        </w:numPr>
        <w:shd w:val="clear" w:color="auto" w:fill="FFFFFF"/>
        <w:tabs>
          <w:tab w:val="clear" w:pos="709"/>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Договор составлен в 2 (двух) ори</w:t>
      </w:r>
      <w:r>
        <w:rPr>
          <w:shd w:fill="auto" w:val="clear"/>
        </w:rPr>
        <w:t>гинальных экземплярах, имеющих равную юридическую силу, по 1 (одному) для каждой из Сторон.</w:t>
      </w:r>
    </w:p>
    <w:p>
      <w:pPr>
        <w:pStyle w:val="Normal"/>
        <w:shd w:val="clear" w:color="auto" w:fill="FFFFFF"/>
        <w:tabs>
          <w:tab w:val="clear" w:pos="709"/>
          <w:tab w:val="left" w:pos="1418" w:leader="none"/>
        </w:tabs>
        <w:ind w:firstLine="426"/>
        <w:jc w:val="both"/>
        <w:rPr>
          <w:highlight w:val="none"/>
          <w:shd w:fill="auto" w:val="clear"/>
          <w:lang w:val="ru-RU"/>
        </w:rPr>
      </w:pPr>
      <w:r>
        <w:rPr>
          <w:shd w:fill="auto" w:val="clear"/>
          <w:lang w:val="ru-RU"/>
        </w:rPr>
      </w:r>
    </w:p>
    <w:p>
      <w:pPr>
        <w:pStyle w:val="ListParagraph"/>
        <w:numPr>
          <w:ilvl w:val="0"/>
          <w:numId w:val="20"/>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 xml:space="preserve">Приложение № 1 </w:t>
      </w:r>
      <w:r>
        <w:rPr>
          <w:shd w:fill="auto" w:val="clear"/>
          <w:lang w:val="ru-RU"/>
        </w:rPr>
        <w:t>– Задание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2 –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lang w:val="ru-RU" w:eastAsia="en-US"/>
        </w:rPr>
      </w:pPr>
      <w:r>
        <w:rPr>
          <w:shd w:fill="auto" w:val="clear"/>
          <w:lang w:val="ru-RU"/>
        </w:rPr>
        <w:t>Приложение № 4</w:t>
      </w:r>
      <w:r>
        <w:rPr>
          <w:bCs/>
          <w:shd w:fill="auto" w:val="clear"/>
          <w:lang w:val="ru-RU"/>
        </w:rPr>
        <w:t xml:space="preserve"> </w:t>
      </w:r>
      <w:r>
        <w:rPr>
          <w:shd w:fill="auto" w:val="clear"/>
          <w:lang w:val="ru-RU"/>
        </w:rPr>
        <w:t>–</w:t>
      </w:r>
      <w:r>
        <w:rPr>
          <w:bCs/>
          <w:shd w:fill="auto" w:val="clear"/>
          <w:lang w:val="ru-RU"/>
        </w:rPr>
        <w:t xml:space="preserve"> Раз</w:t>
      </w:r>
      <w:r>
        <w:rPr>
          <w:bCs/>
          <w:lang w:val="ru-RU"/>
        </w:rPr>
        <w:t>мер ответственности Исполнителя за нарушения пропускного и внутриобъектового режима, требований охраны труда, пожарной безопасности.</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p>
            <w:pPr>
              <w:pStyle w:val="Normal"/>
              <w:widowControl w:val="false"/>
              <w:rPr>
                <w:b w:val="false"/>
                <w:bCs w:val="false"/>
                <w:lang w:val="ru-RU"/>
              </w:rPr>
            </w:pPr>
            <w:r>
              <w:rPr>
                <w:b w:val="false"/>
                <w:bCs w:val="false"/>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 от «____» ________ 20 _ г.</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______ от «____» ________ 20 _ г.</w:t>
      </w:r>
    </w:p>
    <w:p>
      <w:pPr>
        <w:pStyle w:val="Normal"/>
        <w:ind w:left="6379" w:hanging="0"/>
        <w:rPr>
          <w:lang w:val="ru-RU"/>
        </w:rPr>
      </w:pPr>
      <w:r>
        <w:rPr>
          <w:lang w:val="ru-RU"/>
        </w:rPr>
      </w:r>
    </w:p>
    <w:p>
      <w:pPr>
        <w:pStyle w:val="Normal"/>
        <w:ind w:left="6379" w:hanging="0"/>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 от «____» ________ 20 _ г.</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xml:space="preserve"> №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b/>
                <w:bCs/>
                <w:lang w:val="ru-RU"/>
              </w:rPr>
            </w:pPr>
            <w:r>
              <w:rPr>
                <w:b/>
                <w:bCs/>
                <w:shd w:fill="auto" w:val="clear"/>
                <w:lang w:val="ru-RU"/>
              </w:rPr>
              <w:t>_______________________________________________</w:t>
            </w:r>
            <w:r>
              <w:rPr>
                <w:b/>
                <w:bCs/>
                <w:lang w:val="ru-RU"/>
              </w:rPr>
              <w:t xml:space="preserve">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 xml:space="preserve">______ от «____» ________ 20 _ г. </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highlight w:val="none"/>
        <w:shd w:fill="auto" w:val="clear"/>
      </w:rPr>
    </w:pPr>
    <w:r>
      <w:rPr>
        <w:sz w:val="22"/>
        <w:szCs w:val="22"/>
        <w:shd w:fill="auto" w:val="clear"/>
      </w:rPr>
      <w:fldChar w:fldCharType="begin"/>
    </w:r>
    <w:r>
      <w:rPr>
        <w:sz w:val="22"/>
        <w:shd w:fill="auto" w:val="clear"/>
        <w:szCs w:val="22"/>
      </w:rPr>
      <w:instrText xml:space="preserve"> PAGE </w:instrText>
    </w:r>
    <w:r>
      <w:rPr>
        <w:sz w:val="22"/>
        <w:shd w:fill="auto" w:val="clear"/>
        <w:szCs w:val="22"/>
      </w:rPr>
      <w:fldChar w:fldCharType="separate"/>
    </w:r>
    <w:r>
      <w:rPr>
        <w:sz w:val="22"/>
        <w:shd w:fill="auto" w:val="clear"/>
        <w:szCs w:val="22"/>
      </w:rPr>
      <w:t>22</w:t>
    </w:r>
    <w:r>
      <w:rPr>
        <w:sz w:val="22"/>
        <w:shd w:fill="auto" w:val="clear"/>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5.1.2.</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70"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416A-CA56-4F38-B1E2-D0266DC78306}">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BEB21E5D-F93B-461F-A9CE-F5E4E19593BF}">
  <ds:schemaRefs>
    <ds:schemaRef ds:uri="http://schemas.openxmlformats.org/officeDocument/2006/bibliography"/>
  </ds:schemaRefs>
</ds:datastoreItem>
</file>

<file path=customXml/itemProps4.xml><?xml version="1.0" encoding="utf-8"?>
<ds:datastoreItem xmlns:ds="http://schemas.openxmlformats.org/officeDocument/2006/customXml" ds:itemID="{2FB64E58-9D39-4D7D-9DA8-D03B246F4F6C}">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EE0E5183-4D71-4D13-8804-D1EDDDD8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AlterOffice/2025.3.0.0$Linux_X86_64 LibreOffice_project/4ba31b6a4271509a884f95065d0a726e9cb2bdbb</Application>
  <AppVersion>15.0000</AppVersion>
  <Pages>22</Pages>
  <Words>7780</Words>
  <Characters>55304</Characters>
  <CharactersWithSpaces>62864</CharactersWithSpaces>
  <Paragraphs>364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2020-06-09T22:32:00Z</dcterms:created>
  <dc:creator>UK VoHEC</dc:creator>
  <dc:description/>
  <dc:language>ru-RU</dc:language>
  <cp:lastModifiedBy>pleskachevata@corp.gidroogk.com</cp:lastModifiedBy>
  <cp:lastPrinted>2016-12-15T13:00:00Z</cp:lastPrinted>
  <dcterms:modified xsi:type="dcterms:W3CDTF">2026-04-24T10:37:45Z</dcterms:modified>
  <cp:revision>70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