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услуг по техническому обслуживанию комплексов технических средств охраны на объектах почтовой связи УФПС Челябинской области</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 xml:space="preserve">г. 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 № 9efb4630-6a99-47b7-a30b-fc81f97d1f59 от 16.06.2025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Техническое обслуживание комплексов технических средств охраны на объектах почтовой связи УФПС Челябинской области</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даты подписания договора.</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36 месяцев после подписания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fldChar w:fldCharType="begin" w:fldLock="true"/>
              <w:instrText xml:space="preserve">LBVARIABLE \id "29546" \displaced</w:instrText>
              <w:fldChar w:fldCharType="separate"/>
            </w:r>
            <w:r>
              <w:t xml:space="preserve">Во избежание сомнений цена Договора  в соответствии с пунктом 3.2 Договора включает в себя, в том числе, но не исключительно </w:t>
            </w:r>
            <w:r>
              <w:fldChar w:fldCharType="begin" w:fldLock="true"/>
              <w:instrText xml:space="preserve">LBVARIABLE \id "54461"</w:instrText>
              <w:fldChar w:fldCharType="separate"/>
            </w:r>
            <w:r>
              <w:t xml:space="preserve">затраты, издержки и иные расходы Исполнителя, связанные с исполнением Договора</w:t>
            </w:r>
            <w:r>
              <w:fldChar w:fldCharType="end"/>
            </w:r>
            <w:r>
              <w:t>.</w:t>
            </w:r>
            <w:r>
              <w:fldChar w:fldCharType="end"/>
            </w: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(трех)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(пятнадцать)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"31395" \displaced</w:instrText>
              <w:fldChar w:fldCharType="separate"/>
            </w: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fldChar w:fldCharType="end"/>
            </w:r>
          </w:p>
          <w:p>
            <w:pPr>
              <w:pStyle w:val="LBBodyText1"/>
            </w:pP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3%</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раздела 5 Приложения № 1</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раздела 5 Приложения № 1</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15 000 (Пятнадцать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обеспечения исполнения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(пять)%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1 071 360 (Один миллион семьдесят одна тысяча триста шестьдесят)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30 (тридцать)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30 декабря 2029 года</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и их условиях в течение 1 (одного) рабочего дня со дня заключения таких договоров;</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r>
        <w:rPr>
          <w:lang w:val="ru-RU"/>
        </w:rPr>
        <w:fldChar w:fldCharType="end"/>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w:t>
      </w:r>
      <w:r>
        <w:rPr>
          <w:lang w:val="ru-RU"/>
        </w:rPr>
        <w:fldChar w:fldCharType="begin" w:fldLock="true"/>
        <w:instrText xml:space="preserve">LBVARIABLE \id "29591"</w:instrText>
        <w:fldChar w:fldCharType="separate"/>
      </w:r>
      <w:r>
        <w:rPr>
          <w:lang w:val="ru-RU"/>
        </w:rPr>
        <w:t xml:space="preserve">5.1.19.4. </w:t>
      </w:r>
      <w:r>
        <w:rPr>
          <w:lang w:val="ru-RU"/>
        </w:rPr>
        <w:fldChar w:fldCharType="end"/>
      </w:r>
      <w:r>
        <w:rPr>
          <w:lang w:val="ru-RU"/>
        </w:rPr>
        <w:t xml:space="preserve">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w:t>
      </w:r>
      <w:r>
        <w:rPr>
          <w:lang w:val="ru-RU"/>
        </w:rPr>
        <w:fldChar w:fldCharType="begin" w:fldLock="true"/>
        <w:instrText xml:space="preserve">LBVARIABLE \id "29591"</w:instrText>
        <w:fldChar w:fldCharType="separate"/>
      </w:r>
      <w:r>
        <w:rPr>
          <w:lang w:val="ru-RU"/>
        </w:rPr>
        <w:t xml:space="preserve">, и обязательства привлекаемых им соисполнителей,</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sz w:val="24"/>
        </w:rPr>
      </w:pPr>
      <w:r>
        <w:rPr>
          <w:lang w:val="ru-RU"/>
        </w:rPr>
        <w:t xml:space="preserve">нарушения положений пунктов 14.4 – 14.7 Договора.</w:t>
      </w:r>
    </w:p>
    <w:p>
      <w:pPr>
        <w:pStyle w:val="LBGovstyle3"/>
        <w:rPr>
          <w:sz w:val="24"/>
        </w:rPr>
      </w:pPr>
      <w:r>
        <w:rPr>
          <w:sz w:val="24"/>
        </w:rPr>
        <w:t xml:space="preserve">в случае выявления в ходе исполнения Договора факта несоответствия Исполнителя следующим требованиям:</w:t>
      </w:r>
    </w:p>
    <w:p>
      <w:pPr>
        <w:rPr>
          <w:sz w:val="24"/>
        </w:rPr>
        <w:jc w:val="both"/>
        <w:ind w:left="720"/>
        <w:contextualSpacing/>
      </w:pPr>
      <w:r>
        <w:rPr>
          <w:sz w:val="24"/>
        </w:rPr>
        <w:t xml:space="preserve">- 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pPr>
        <w:rPr>
          <w:sz w:val="24"/>
        </w:rPr>
        <w:jc w:val="both"/>
        <w:ind w:left="720"/>
        <w:contextualSpacing/>
      </w:pPr>
      <w:r>
        <w:rPr>
          <w:sz w:val="24"/>
        </w:rPr>
        <w:t xml:space="preserve">- 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w:t>
      </w:r>
    </w:p>
    <w:p>
      <w:pPr>
        <w:rPr>
          <w:sz w:val="24"/>
        </w:rPr>
        <w:jc w:val="both"/>
        <w:ind w:left="709"/>
        <w:contextualSpacing/>
      </w:pPr>
      <w:r>
        <w:rPr>
          <w:sz w:val="24"/>
        </w:rPr>
        <w:t xml:space="preserve">- отсутствие у Исполнителя–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обязательств, являющихся предметом Договора, и административного наказания в виде дисквалификации;</w:t>
      </w:r>
    </w:p>
    <w:p>
      <w:pPr>
        <w:rPr>
          <w:sz w:val="24"/>
        </w:rPr>
        <w:jc w:val="both"/>
        <w:ind w:left="709"/>
        <w:contextualSpacing/>
      </w:pPr>
      <w:r>
        <w:rPr>
          <w:sz w:val="24"/>
        </w:rPr>
        <w:t xml:space="preserve">- отсутствие между Исполнителем и Заказчиком конфликта интересов в понятии, определенном документацией (извещение) о закупке, по результатам проведения которой заключен Договор;</w:t>
      </w:r>
    </w:p>
    <w:p>
      <w:pPr>
        <w:rPr>
          <w:sz w:val="24"/>
        </w:rPr>
        <w:jc w:val="both"/>
        <w:ind w:left="709"/>
        <w:contextualSpacing/>
      </w:pPr>
      <w:r>
        <w:rPr>
          <w:sz w:val="24"/>
        </w:rPr>
        <w:t xml:space="preserve">-обладать специальной правоспособностью в соответствии</w:t>
      </w:r>
      <w:r>
        <w:rPr>
          <w:sz w:val="24"/>
        </w:rPr>
        <w:br w:type="textWrapping"/>
      </w:r>
      <w:r>
        <w:rPr>
          <w:sz w:val="24"/>
        </w:rPr>
        <w:t xml:space="preserve">с действующим законодательством Российской Федерации (или законодательством государства, на территории которого будут использоваться результаты исполнения Договора), </w:t>
      </w:r>
      <w:r>
        <w:rPr>
          <w:sz w:val="24"/>
          <w:spacing w:val="-12"/>
        </w:rPr>
        <w:t xml:space="preserve">связанной с исполнением обязательств, предусмотренных</w:t>
      </w:r>
      <w:r>
        <w:rPr>
          <w:sz w:val="24"/>
        </w:rPr>
        <w:t xml:space="preserve"> </w:t>
      </w:r>
      <w:r>
        <w:rPr>
          <w:sz w:val="24"/>
          <w:spacing w:val="-8"/>
        </w:rPr>
        <w:t xml:space="preserve">Договором, в том числе необходимыми лицензиями / выписками</w:t>
      </w:r>
      <w:r>
        <w:rPr>
          <w:sz w:val="24"/>
        </w:rPr>
        <w:t xml:space="preserve"> из реестра лицензий / сведениями из реестра лицензий (</w:t>
      </w:r>
      <w:r>
        <w:rPr>
          <w:sz w:val="24"/>
          <w:spacing w:val="-6"/>
        </w:rPr>
        <w:t xml:space="preserve">о регистрационном номере лицензии и дате ее предоставления</w:t>
      </w:r>
      <w:r>
        <w:rPr>
          <w:sz w:val="24"/>
        </w:rPr>
        <w:t>);</w:t>
      </w:r>
    </w:p>
    <w:p>
      <w:pPr>
        <w:rPr>
          <w:sz w:val="24"/>
        </w:rPr>
        <w:jc w:val="both"/>
        <w:ind w:left="709"/>
        <w:contextualSpacing/>
      </w:pPr>
      <w:r>
        <w:rPr>
          <w:sz w:val="24"/>
        </w:rPr>
        <w:t xml:space="preserve">- не являться лицом, в отношении которого в соответствии с действующим законодательством Российской Федерации введены меры/запреты/ограничения в части заключения и (или) исполнения сделок с таким лицом;</w:t>
      </w:r>
    </w:p>
    <w:p>
      <w:pPr>
        <w:rPr>
          <w:sz w:val="24"/>
          <w:lang w:val="ru-RU"/>
        </w:rPr>
        <w:jc w:val="both"/>
        <w:ind w:left="709"/>
        <w:contextualSpacing/>
      </w:pPr>
      <w:r>
        <w:rPr>
          <w:sz w:val="24"/>
        </w:rPr>
        <w:t xml:space="preserve">- отсутствие сведений в реестрах недобросовестных лиц, в том числе предусмотренных Федеральным законом от 18.07.2011 N 223-ФЗ «О закупках товаров, работ, услуг отдельными видами юридических лиц» и/или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2"/>
        <w:rPr>
          <w:lang w:val="ru-RU"/>
        </w:rPr>
      </w:pPr>
      <w:r>
        <w:t xml:space="preserve">Заказчик вправе в любое время немотивированно отказаться от исполнения Договора, при этом Договор считается расторгнутым с даты получения Исполнителем уведомления об одностороннем отказе. В этом случае приложение к указанному уведомлению протокола не требуется.  </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1%</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620000, Свердловская обл, г Екатеринбург, пр-кт Ленина, д 39</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454080, г. Челябинск, пр. Ленина, д. 81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t xml:space="preserve">454080, г. Челябинск, пр. Ленина, д. 81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745343001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40502810309280005351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ЕКАТЕРИНБУРГЕ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30101810400000000952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046577952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8 (351) 237-92-11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office-R74@russianpost.ru</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комплексов технических средств охраны на объектах почтовой связи УФПС Челябинской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комплексов технических средств охраны на объектах почтовой связи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техническое обслуживание комплексов технических средств охраны на объектах почтовой связи УФПС Челябинской области</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 xml:space="preserve">единица (комплекс (совокупность) услуг по обслуживанию комплексов технических средств охраны одного объекта в течение одного месяца)</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13 392</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комплексов технических средств охраны на объектах почтовой связи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услуг по техническому обслуживанию комплексов технических средств охраны на объектах почтовой связи УФПС Челябинской области</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комплексов технических средств охраны на объектах почтовой связи УФПС Челябинской области</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услуг по техническому обслуживанию комплексов технических средств охраны на объектах почтовой связи УФПС Челябинской области</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комплексов технических средств охраны на объектах почтовой связи УФПС Челябинской области</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комплексов технических средств охраны на объектах почтовой связи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1</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Адреса мест оказания услуг указаны в п. 4.3. Приложения № 1 Договора</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комплексов технических средств охраны на объектах почтовой связи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Исполнителя</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 xml:space="preserve">уведомления на электронную почту Исполнителя, указанную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b30050"/>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b00c9d"/>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970e34"/>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3">
    <w:nsid w:val="0df34419"/>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155e7e10"/>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5">
    <w:nsid w:val="1baa00c2"/>
    <w:multiLevelType w:val="multilevel"/>
    <w:lvl w:ilvl="0">
      <w:start w:val="1"/>
      <w:numFmt w:val="decimal"/>
      <w:lvlText w:val="%1)"/>
      <w:lvlJc w:val="left"/>
      <w:pStyle w:val="LBSimple1-Alt"/>
      <w:pPr>
        <w:ind w:left="720" w:hanging="720"/>
      </w:pPr>
    </w:lvl>
    <w:lvl w:ilvl="1">
      <w:start w:val="1"/>
      <w:numFmt w:val="decimal"/>
      <w:lvlText w:val="%1.%2)"/>
      <w:lvlJc w:val="left"/>
      <w:pStyle w:val="LBSimple2-Alt"/>
      <w:pPr>
        <w:ind w:left="72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c244dc4"/>
    <w:multiLevelType w:val="hybrid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2846716"/>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8">
    <w:nsid w:val="22926255"/>
    <w:multiLevelType w:val="multilevel"/>
    <w:lvl w:ilvl="0">
      <w:start w:val="1"/>
      <w:numFmt w:val="decimal"/>
      <w:lvlText w:val="%1."/>
      <w:lvlJc w:val="left"/>
      <w:pPr>
        <w:ind w:left="360" w:hanging="360"/>
      </w:pPr>
      <w:rPr>
        <w:sz w:val="26"/>
      </w:rPr>
    </w:lvl>
    <w:lvl w:ilvl="1">
      <w:start w:val="1"/>
      <w:numFmt w:val="decimal"/>
      <w:lvlText w:val="%1.%2."/>
      <w:lvlJc w:val="left"/>
      <w:pPr>
        <w:ind w:left="1567" w:hanging="432"/>
      </w:pPr>
      <w:rPr>
        <w:b w:val="false"/>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63a67"/>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7e07216"/>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1b77821"/>
    <w:multiLevelType w:val="multilevel"/>
    <w:lvl w:ilvl="0">
      <w:start w:val="1"/>
      <w:numFmt w:val="decimal"/>
      <w:lvlText w:val="%1."/>
      <w:lvlJc w:val="left"/>
      <w:pStyle w:val="LBSimple1"/>
      <w:pPr>
        <w:ind w:left="720" w:hanging="720"/>
      </w:pPr>
    </w:lvl>
    <w:lvl w:ilvl="1">
      <w:start w:val="1"/>
      <w:numFmt w:val="lowerLetter"/>
      <w:lvlText w:val="%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d74e73"/>
    <w:multiLevelType w:val="multileve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c67e4d"/>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14">
    <w:nsid w:val="370a2a76"/>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15">
    <w:nsid w:val="455c0e9b"/>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7164ad3"/>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753013b"/>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18">
    <w:nsid w:val="476818b0"/>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ae614b2"/>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b717033"/>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color w:val="auto"/>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21">
    <w:nsid w:val="4dae5411"/>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22">
    <w:nsid w:val="52327dba"/>
    <w:multiLevelType w:val="multilevel"/>
    <w:styleLink w:val="2"/>
    <w:lvl w:ilvl="0">
      <w:start w:val="1"/>
      <w:numFmt w:val="decimal"/>
      <w:lvlText w:val="%1."/>
      <w:lvlJc w:val="left"/>
      <w:pStyle w:val="10"/>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23">
    <w:nsid w:val="59bc4b96"/>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24">
    <w:nsid w:val="5a901612"/>
    <w:multiLevelType w:val="hybridMultilevel"/>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lowerLetter"/>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nsid w:val="5d2f26f4"/>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ebb0163"/>
    <w:multiLevelType w:val="multilevel"/>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ebe5960"/>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28">
    <w:nsid w:val="66592a3f"/>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9">
    <w:nsid w:val="71f22689"/>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92b41ea"/>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nsid w:val="7abe28ce"/>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nsid w:val="7d6d18ab"/>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lvlText w:val="%1."/>
        <w:lvlJc w:val="left"/>
        <w:pStyle w:val="10"/>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start w:val="0"/>
        <w:numFmt w:val="decimal"/>
        <w:lvlText w:val=""/>
        <w:lvlJc w:val="left"/>
      </w:lvl>
    </w:lvlOverride>
  </w:num>
  <w:num w:numId="28">
    <w:abstractNumId w:val="5"/>
    <w:lvlOverride w:ilvl="0">
      <w:lvl w:ilvl="0">
        <w:start w:val="0"/>
        <w:numFmt w:val="decimal"/>
        <w:lvlText w:val=""/>
        <w:lvlJc w:val="left"/>
        <w:pStyle w:val="LBSimple1-Alt"/>
      </w:lvl>
    </w:lvlOverride>
    <w:lvlOverride w:ilvl="1">
      <w:lvl w:ilvl="1">
        <w:start w:val="0"/>
        <w:numFmt w:val="decimal"/>
        <w:lvlText w:val=""/>
        <w:lvlJc w:val="left"/>
        <w:pStyle w:val="LBSimple2-Alt"/>
      </w:lvl>
    </w:lvlOverride>
    <w:lvlOverride w:ilvl="2">
      <w:lvl w:ilvl="2">
        <w:start w:val="0"/>
        <w:numFmt w:val="decimal"/>
        <w:lvlText w:val=""/>
        <w:lvlJc w:val="left"/>
        <w:pStyle w:val="LBSimple3-Al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9">
    <w:abstractNumId w:val="20"/>
  </w:num>
  <w:num w:numId="30">
    <w:abstractNumId w:val="12"/>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1">
    <w:abstractNumId w:val="18"/>
  </w:num>
  <w:num w:numId="32">
    <w:abstractNumId w:val="3"/>
  </w:num>
  <w:num w:numId="33">
    <w:abstractNumId w:val="8"/>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4">
    <w:abstractNumId w:val="20"/>
    <w:lvlOverride w:ilvl="0">
      <w:lvl w:ilvl="0">
        <w:start w:val="1"/>
        <w:numFmt w:val="decimal"/>
        <w:lvlText w:val="%1."/>
        <w:lvlJc w:val="left"/>
        <w:pStyle w:val="LBGovstyle1"/>
        <w:pPr>
          <w:ind w:left="720" w:hanging="720"/>
          <w:tabs>
            <w:tab w:val="num" w:pos="720"/>
          </w:tabs>
        </w:pPr>
      </w:lvl>
    </w:lvlOverride>
    <w:lvlOverride w:ilvl="1">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Override>
    <w:lvlOverride w:ilvl="2">
      <w:lvl w:ilvl="2">
        <w:start w:val="1"/>
        <w:numFmt w:val="decimal"/>
        <w:lvlText w:val="%1.%2.%3."/>
        <w:lvlJc w:val="left"/>
        <w:pStyle w:val="LBGovstyle3"/>
        <w:pPr>
          <w:ind w:left="720" w:hanging="720"/>
          <w:tabs>
            <w:tab w:val="num" w:pos="720"/>
          </w:tabs>
        </w:pPr>
        <w:rPr>
          <w:color w:val="auto"/>
        </w:rPr>
      </w:lvl>
    </w:lvlOverride>
    <w:lvlOverride w:ilvl="3">
      <w:lvl w:ilvl="3">
        <w:start w:val="1"/>
        <w:numFmt w:val="decimal"/>
        <w:lvlText w:val="%1.%2.%3.%4."/>
        <w:lvlJc w:val="left"/>
        <w:pStyle w:val="LBGovstyle4"/>
        <w:pPr>
          <w:ind w:left="720" w:hanging="720"/>
          <w:tabs>
            <w:tab w:val="num" w:pos="720"/>
          </w:tabs>
        </w:pPr>
      </w:lvl>
    </w:lvlOverride>
    <w:lvlOverride w:ilvl="4">
      <w:lvl w:ilvl="4">
        <w:start w:val="1"/>
        <w:numFmt w:val="russianLower"/>
        <w:lvlText w:val="(%5)"/>
        <w:lvlJc w:val="left"/>
        <w:pStyle w:val="LBGovstyle5"/>
        <w:pPr>
          <w:ind w:left="720" w:hanging="720"/>
          <w:tabs>
            <w:tab w:val="num" w:pos="720"/>
          </w:tabs>
        </w:pPr>
      </w:lvl>
    </w:lvlOverride>
    <w:lvlOverride w:ilvl="5">
      <w:lvl w:ilvl="5">
        <w:start w:val="1"/>
        <w:numFmt w:val="lowerRoman"/>
        <w:lvlText w:val="(%6)"/>
        <w:lvlJc w:val="left"/>
        <w:pStyle w:val="LBGovstyle6"/>
        <w:pPr>
          <w:ind w:left="720" w:hanging="720"/>
          <w:tabs>
            <w:tab w:val="num" w:pos="720"/>
          </w:tabs>
        </w:pPr>
      </w:lvl>
    </w:lvlOverride>
    <w:lvlOverride w:ilvl="6">
      <w:lvl w:ilvl="6">
        <w:start w:val="1"/>
        <w:numFmt w:val="lowerLetter"/>
        <w:lvlText w:val="%7."/>
        <w:lvlJc w:val="left"/>
        <w:pStyle w:val="LBGovStyle7"/>
        <w:pPr>
          <w:ind w:left="720" w:hanging="720"/>
          <w:tabs>
            <w:tab w:val="num" w:pos="720"/>
          </w:tabs>
        </w:pPr>
        <w:rPr>
          <w:color w:val="auto"/>
        </w:rPr>
      </w:lvl>
    </w:lvlOverride>
    <w:lvlOverride w:ilvl="7">
      <w:lvl w:ilvl="7">
        <w:start w:val="1"/>
        <w:numFmt w:val="lowerLetter"/>
        <w:lvlText w:val="%8."/>
        <w:lvlJc w:val="left"/>
        <w:pPr>
          <w:ind w:left="720" w:hanging="720"/>
          <w:tabs>
            <w:tab w:val="num" w:pos="720"/>
          </w:tabs>
        </w:pPr>
      </w:lvl>
    </w:lvlOverride>
    <w:lvlOverride w:ilvl="8">
      <w:lvl w:ilvl="8">
        <w:start w:val="1"/>
        <w:numFmt w:val="lowerRoman"/>
        <w:lvlText w:val="%9."/>
        <w:lvlJc w:val="right"/>
        <w:pPr>
          <w:ind w:left="720" w:hanging="720"/>
          <w:tabs>
            <w:tab w:val="num" w:pos="720"/>
          </w:tabs>
        </w:pPr>
      </w:lvl>
    </w:lvlOverride>
  </w:num>
  <w:num w:numId="35">
    <w:abstractNumId w:val="8"/>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2"/>
    <w:uiPriority w:val="99"/>
    <w:pPr>
      <w:numPr>
        <w:numId w:val="2"/>
      </w:numPr>
    </w:pPr>
  </w:style>
  <w:style w:customStyle="true" w:styleId="2" w:type="numbering">
    <w:name w:val="Стиль2"/>
    <w:basedOn w:val="1"/>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semiHidden/>
    <w:pPr>
      <w:numPr>
        <w:numId w:val="15"/>
        <w:ilvl w:val="6"/>
      </w:numPr>
      <w:jc w:val="both"/>
      <w:spacing w:before="120" w:after="120"/>
      <w:outlineLvl w:val="6"/>
    </w:pPr>
    <w:rPr>
      <w:rFonts w:ascii="Times New Roman" w:hAnsi="Times New Roman"/>
    </w:rPr>
  </w:style>
  <w:style w:styleId="8" w:type="paragraph">
    <w:name w:val="heading 8"/>
    <w:link w:val="80"/>
    <w:next w:val="a"/>
    <w:uiPriority w:val="99"/>
    <w:semiHidden/>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semiHidden/>
    <w:pPr>
      <w:keepNext/>
      <w:keepLines/>
      <w:spacing w:before="200"/>
      <w:outlineLvl w:val="8"/>
    </w:pPr>
    <w:rPr>
      <w:i/>
      <w:color w:val="404040"/>
      <w:sz w:val="20"/>
      <w:rFonts w:ascii="Cambria" w:hAnsi="Cambria"/>
    </w:rPr>
  </w:style>
  <w:style w:styleId="10"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11" w:type="character">
    <w:name w:val="Заголовок 1 Знак"/>
    <w:link w:val="10"/>
    <w:uiPriority w:val="9"/>
    <w:rPr>
      <w:b/>
      <w:caps/>
      <w:rFonts w:ascii="Times New Roman" w:hAnsi="Times New Roman"/>
    </w:rPr>
  </w:style>
  <w:style w:customStyle="true" w:styleId="12" w:type="table">
    <w:name w:val="Сетка таблицы1"/>
    <w:basedOn w:val="a1"/>
    <w:next w:val="a3"/>
    <w:uiPriority w:val="59"/>
    <w:tblPr/>
  </w:style>
  <w:style w:customStyle="true" w:styleId="13" w:type="character">
    <w:name w:val="Основной шрифт абзаца1"/>
  </w:style>
  <w:style w:customStyle="true" w:styleId="14" w:type="table">
    <w:name w:val="Обычная таблица1"/>
    <w:uiPriority w:val="99"/>
    <w:semiHidden/>
    <w:tblPr>
      <w:tblCellMar>
        <w:left w:w="108" w:type="dxa"/>
        <w:top w:w="0" w:type="dxa"/>
        <w:right w:w="108" w:type="dxa"/>
        <w:bottom w:w="0" w:type="dxa"/>
      </w:tblCellMar>
    </w:tblPr>
    <w:pPr>
      <w:spacing w:after="200" w:line="276" w:lineRule="auto"/>
    </w:pPr>
  </w:style>
  <w:style w:customStyle="true" w:styleId="15" w:type="character">
    <w:name w:val="Гиперссылка1"/>
    <w:basedOn w:val="a0"/>
    <w:uiPriority w:val="99"/>
    <w:rPr>
      <w:u w:val="single"/>
      <w:color w:val="0563c1"/>
    </w:r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styleId="22" w:type="paragraph">
    <w:name w:val="Body Text 2"/>
    <w:basedOn w:val="a"/>
    <w:link w:val="23"/>
    <w:uiPriority w:val="99"/>
    <w:semiHidden/>
    <w:pPr>
      <w:spacing w:after="120" w:line="480" w:lineRule="auto"/>
    </w:pPr>
  </w:style>
  <w:style w:customStyle="true" w:styleId="23" w:type="character">
    <w:name w:val="Основной текст 2 Знак"/>
    <w:basedOn w:val="a0"/>
    <w:link w:val="22"/>
    <w:uiPriority w:val="99"/>
    <w:semiHidden/>
    <w:rPr>
      <w:sz w:val="22"/>
      <w:rFonts w:ascii="Times New Roman" w:hAnsi="Times New Roman"/>
    </w:rPr>
  </w:style>
  <w:style w:customStyle="true" w:styleId="24" w:type="table">
    <w:name w:val="Обычная таблица2"/>
    <w:uiPriority w:val="99"/>
    <w:semiHidden/>
    <w:tblPr>
      <w:tblCellMar>
        <w:left w:w="108" w:type="dxa"/>
        <w:top w:w="0" w:type="dxa"/>
        <w:right w:w="108" w:type="dxa"/>
        <w:bottom w:w="0" w:type="dxa"/>
      </w:tblCellMar>
    </w:tblPr>
    <w:pPr>
      <w:spacing w:after="200" w:line="276" w:lineRule="auto"/>
    </w:pPr>
  </w:style>
  <w:style w:customStyle="true" w:styleId="30" w:type="character">
    <w:name w:val="Заголовок 3 Знак"/>
    <w:link w:val="3"/>
    <w:uiPriority w:val="9"/>
    <w:semiHidden/>
    <w:rPr>
      <w:rFonts w:ascii="Times New Roman" w:hAnsi="Times New Roman"/>
    </w:rPr>
  </w:style>
  <w:style w:styleId="31" w:type="paragraph">
    <w:name w:val="Body Text 3"/>
    <w:basedOn w:val="a"/>
    <w:link w:val="32"/>
    <w:uiPriority w:val="99"/>
    <w:semiHidden/>
    <w:pPr>
      <w:spacing w:after="120"/>
    </w:pPr>
    <w:rPr>
      <w:sz w:val="16"/>
    </w:rPr>
  </w:style>
  <w:style w:customStyle="true" w:styleId="32" w:type="character">
    <w:name w:val="Основной текст 3 Знак"/>
    <w:link w:val="31"/>
    <w:uiPriority w:val="99"/>
    <w:semiHidden/>
    <w:rPr>
      <w:sz w:val="16"/>
      <w:rFonts w:ascii="Times New Roman" w:hAnsi="Times New Roman"/>
    </w:rPr>
  </w:style>
  <w:style w:customStyle="true" w:styleId="33" w:type="table">
    <w:name w:val="Обычная таблица3"/>
    <w:uiPriority w:val="99"/>
    <w:semiHidden/>
    <w:tblPr>
      <w:tblCellMar>
        <w:left w:w="108" w:type="dxa"/>
        <w:top w:w="0" w:type="dxa"/>
        <w:right w:w="108" w:type="dxa"/>
        <w:bottom w:w="0" w:type="dxa"/>
      </w:tblCellMar>
    </w:tblPr>
    <w:rPr>
      <w:sz w:val="20"/>
    </w:rPr>
  </w:style>
  <w:style w:customStyle="true" w:styleId="40" w:type="character">
    <w:name w:val="Заголовок 4 Знак"/>
    <w:link w:val="4"/>
    <w:uiPriority w:val="9"/>
    <w:semiHidden/>
    <w:rPr>
      <w:rFonts w:ascii="Times New Roman" w:hAnsi="Times New Roman"/>
    </w:rPr>
  </w:style>
  <w:style w:customStyle="true" w:styleId="41" w:type="table">
    <w:name w:val="Обычная таблица4"/>
    <w:uiPriority w:val="99"/>
    <w:semiHidden/>
    <w:tblPr>
      <w:tblCellMar>
        <w:left w:w="108" w:type="dxa"/>
        <w:top w:w="0" w:type="dxa"/>
        <w:right w:w="108" w:type="dxa"/>
        <w:bottom w:w="0" w:type="dxa"/>
      </w:tblCellMar>
    </w:tblPr>
    <w:rPr>
      <w:sz w:val="20"/>
    </w:rPr>
  </w:style>
  <w:style w:customStyle="true" w:styleId="50" w:type="character">
    <w:name w:val="Заголовок 5 Знак"/>
    <w:link w:val="5"/>
    <w:uiPriority w:val="9"/>
    <w:semiHidden/>
    <w:rPr>
      <w:rFonts w:ascii="Times New Roman" w:hAnsi="Times New Roman"/>
      <w:lang w:val="en-GB"/>
    </w:r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semiHidden/>
    <w:rPr>
      <w:rFonts w:ascii="Times New Roman" w:hAnsi="Times New Roman"/>
    </w:rPr>
  </w:style>
  <w:style w:customStyle="true" w:styleId="80" w:type="character">
    <w:name w:val="Заголовок 8 Знак"/>
    <w:link w:val="8"/>
    <w:uiPriority w:val="99"/>
    <w:semiHidden/>
    <w:rPr>
      <w:rFonts w:ascii="Times New Roman" w:hAnsi="Times New Roman"/>
    </w:rPr>
  </w:style>
  <w:style w:customStyle="true" w:styleId="90" w:type="character">
    <w:name w:val="Заголовок 9 Знак"/>
    <w:link w:val="9"/>
    <w:uiPriority w:val="99"/>
    <w:semiHidden/>
    <w:rPr>
      <w:i/>
      <w:color w:val="404040"/>
      <w:rFonts w:ascii="Cambria" w:hAnsi="Cambria"/>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sz w:val="20"/>
      <w:rFonts w:ascii="Times New Roman" w:hAnsi="Times New Roman"/>
    </w:rPr>
  </w:style>
  <w:style w:customStyle="true" w:styleId="210" w:type="paragraph">
    <w:name w:val="Основной текст 21"/>
    <w:basedOn w:val="310"/>
    <w:uiPriority w:val="99"/>
    <w:semiHidden/>
    <w:pPr>
      <w:ind w:left="720"/>
    </w:pPr>
  </w:style>
  <w:style w:customStyle="true" w:styleId="310" w:type="paragraph">
    <w:name w:val="Основной текст 31"/>
    <w:basedOn w:val="BodyText4"/>
    <w:uiPriority w:val="99"/>
    <w:semiHidden/>
    <w:pPr>
      <w:ind w:left="1440"/>
    </w:p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semiHidden/>
    <w:pPr>
      <w:tabs>
        <w:tab w:val="center" w:pos="4677"/>
        <w:tab w:val="right" w:pos="9355"/>
      </w:tabs>
    </w:pPr>
  </w:style>
  <w:style w:customStyle="true" w:styleId="a8" w:type="character">
    <w:name w:val="Нижний колонтитул Знак"/>
    <w:basedOn w:val="a0"/>
    <w:link w:val="a7"/>
    <w:uiPriority w:val="99"/>
    <w:semiHidden/>
    <w:rPr>
      <w:sz w:val="22"/>
      <w:rFonts w:ascii="Times New Roman" w:hAnsi="Times New Roman"/>
    </w:rPr>
  </w:style>
  <w:style w:styleId="a9" w:type="paragraph">
    <w:name w:val="Balloon Text"/>
    <w:basedOn w:val="a"/>
    <w:link w:val="aa"/>
    <w:uiPriority w:val="99"/>
    <w:semiHidden/>
    <w:rPr>
      <w:sz w:val="16"/>
      <w:rFonts w:ascii="Tahoma" w:hAnsi="Tahoma"/>
    </w:rPr>
  </w:style>
  <w:style w:customStyle="true" w:styleId="aa" w:type="character">
    <w:name w:val="Текст выноски Знак"/>
    <w:link w:val="a9"/>
    <w:uiPriority w:val="99"/>
    <w:semiHidden/>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semiHidden/>
    <w:pPr>
      <w:spacing w:after="120"/>
    </w:pPr>
  </w:style>
  <w:style w:customStyle="true" w:styleId="ad" w:type="character">
    <w:name w:val="Основной текст Знак"/>
    <w:basedOn w:val="a0"/>
    <w:link w:val="ab"/>
    <w:uiPriority w:val="99"/>
    <w:semiHidden/>
    <w:rPr>
      <w:sz w:val="22"/>
      <w:rFonts w:ascii="Times New Roman" w:hAnsi="Times New Roman"/>
    </w:rPr>
  </w:style>
  <w:style w:customStyle="true" w:styleId="LBArabic2" w:type="paragraph">
    <w:name w:val="LB Arabic 2"/>
    <w:basedOn w:val="22"/>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1"/>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0"/>
    <w:uiPriority w:val="2"/>
    <w:semiHidden/>
    <w:pPr>
      <w:ind w:left="0"/>
    </w:p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semiHidden/>
    <w:rPr>
      <w:sz w:val="16"/>
    </w:rPr>
  </w:style>
  <w:style w:styleId="af" w:type="paragraph">
    <w:name w:val="annotation text"/>
    <w:basedOn w:val="a"/>
    <w:link w:val="af0"/>
    <w:uiPriority w:val="99"/>
    <w:semiHidden/>
    <w:rPr>
      <w:sz w:val="20"/>
    </w:rPr>
  </w:style>
  <w:style w:customStyle="true" w:styleId="af0" w:type="character">
    <w:name w:val="Текст примечания Знак"/>
    <w:link w:val="af"/>
    <w:uiPriority w:val="99"/>
    <w:semiHidden/>
    <w:rPr>
      <w:sz w:val="20"/>
      <w:rFonts w:ascii="Times New Roman" w:hAnsi="Times New Roman"/>
    </w:rPr>
  </w:style>
  <w:style w:styleId="af1" w:type="paragraph">
    <w:name w:val="annotation subject"/>
    <w:basedOn w:val="af"/>
    <w:link w:val="af2"/>
    <w:next w:val="af"/>
    <w:uiPriority w:val="99"/>
    <w:semiHidden/>
    <w:rPr>
      <w:b/>
    </w:rPr>
  </w:style>
  <w:style w:customStyle="true" w:styleId="af2" w:type="character">
    <w:name w:val="Тема примечания Знак"/>
    <w:link w:val="af1"/>
    <w:uiPriority w:val="99"/>
    <w:semiHidden/>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9"/>
      </w:numPr>
      <w:jc w:val="center"/>
      <w:spacing w:before="240" w:after="120"/>
    </w:pPr>
    <w:rPr>
      <w:b/>
      <w:sz w:val="24"/>
      <w:rFonts w:ascii="Times New Roman" w:hAnsi="Times New Roman"/>
    </w:rPr>
  </w:style>
  <w:style w:customStyle="true" w:styleId="LBGovstyle2" w:type="paragraph">
    <w:name w:val="LB Gov style 2"/>
    <w:uiPriority w:val="98"/>
    <w:pPr>
      <w:numPr>
        <w:numId w:val="29"/>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3"/>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3"/>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3"/>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9"/>
        <w:ilvl w:val="5"/>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af7" w:type="character">
    <w:name w:val="Абзац списка Знак"/>
    <w:link w:val="af6"/>
    <w:uiPriority w:val="34"/>
    <w:rPr>
      <w:sz w:val="22"/>
      <w:rFonts w:ascii="Times New Roman" w:hAnsi="Times New Roman"/>
    </w:rPr>
  </w:style>
  <w:style w:customStyle="true" w:styleId="LBGovStyle7" w:type="paragraph">
    <w:name w:val="LB Gov Style 7"/>
    <w:basedOn w:val="LBGovstyle6"/>
    <w:uiPriority w:val="98"/>
    <w:pPr>
      <w:numPr>
        <w:ilvl w:val="6"/>
      </w:numPr>
    </w:pPr>
  </w:style>
  <w:style w:customStyle="true" w:styleId="LFO24" w:type="numbering">
    <w:name w:val="LFO24"/>
    <w:basedOn w:val="a2"/>
    <w:pPr>
      <w:numPr>
        <w:numId w:val="24"/>
      </w:numPr>
    </w:pPr>
  </w:style>
  <w:style w:customStyle="true" w:styleId="LBRoman1-Alt" w:type="paragraph">
    <w:name w:val="LB Roman 1 - Alt"/>
    <w:uiPriority w:val="50"/>
    <w:pPr>
      <w:jc w:val="both"/>
      <w:ind w:left="720" w:hanging="720"/>
      <w:spacing w:before="120" w:after="120"/>
    </w:pPr>
    <w:rPr>
      <w:rFonts w:ascii="Times New Roman" w:hAnsi="Times New Roman"/>
      <w:lang w:val="en-GB"/>
    </w:rPr>
  </w:style>
  <w:style w:customStyle="true" w:styleId="LBRoman2-Alt" w:type="paragraph">
    <w:name w:val="LB Roman 2 - Alt"/>
    <w:uiPriority w:val="50"/>
    <w:pPr>
      <w:jc w:val="both"/>
      <w:ind w:left="1440" w:hanging="720"/>
      <w:spacing w:before="120" w:after="120"/>
    </w:pPr>
    <w:rPr>
      <w:rFonts w:ascii="Times New Roman" w:hAnsi="Times New Roman"/>
      <w:lang w:val="en-GB"/>
    </w:rPr>
  </w:style>
  <w:style w:customStyle="true" w:styleId="LBRoman3-Alt" w:type="paragraph">
    <w:name w:val="LB Roman 3 - Alt"/>
    <w:uiPriority w:val="50"/>
    <w:pPr>
      <w:jc w:val="both"/>
      <w:ind w:left="2160" w:hanging="720"/>
      <w:spacing w:before="120" w:after="120"/>
      <w:tabs>
        <w:tab w:val="num" w:pos="1440"/>
      </w:tabs>
    </w:pPr>
    <w:rPr>
      <w:rFonts w:ascii="Times New Roman" w:hAnsi="Times New Roman"/>
      <w:lang w:val="en-GB"/>
    </w:rPr>
  </w:style>
  <w:style w:customStyle="true" w:styleId="LBRoman4-Alt" w:type="paragraph">
    <w:name w:val="LB Roman 4 - Alt"/>
    <w:uiPriority w:val="50"/>
    <w:pPr>
      <w:jc w:val="both"/>
      <w:ind w:left="2880" w:hanging="720"/>
      <w:spacing w:before="120" w:after="120"/>
      <w:tabs>
        <w:tab w:val="num" w:pos="2160"/>
      </w:tabs>
    </w:pPr>
    <w:rPr>
      <w:rFonts w:ascii="Times New Roman" w:hAnsi="Times New Roman"/>
      <w:lang w:val="en-GB"/>
    </w:rPr>
  </w:style>
  <w:style w:customStyle="true" w:styleId="LBRoman5-Alt" w:type="paragraph">
    <w:name w:val="LB Roman 5 - Alt"/>
    <w:uiPriority w:val="50"/>
    <w:pPr>
      <w:jc w:val="both"/>
      <w:ind w:left="3600" w:hanging="720"/>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customStyle="true" w:styleId="LBRoman2" w:type="paragraph">
    <w:name w:val="LB Roman 2"/>
    <w:basedOn w:val="22"/>
    <w:uiPriority w:val="49"/>
    <w:pPr>
      <w:ind w:left="1440" w:hanging="720"/>
      <w:spacing w:after="0" w:line="240" w:lineRule="auto"/>
      <w:tabs>
        <w:tab w:val="num" w:pos="1440"/>
      </w:tabs>
    </w:pPr>
    <w:rPr>
      <w:sz w:val="24"/>
    </w:rPr>
  </w:style>
  <w:style w:styleId="af8" w:type="paragraph">
    <w:name w:val="endnote text"/>
    <w:basedOn w:val="a"/>
    <w:link w:val="af9"/>
    <w:uiPriority w:val="99"/>
    <w:semiHidden/>
    <w:rPr>
      <w:sz w:val="20"/>
    </w:rPr>
  </w:style>
  <w:style w:customStyle="true" w:styleId="af9" w:type="character">
    <w:name w:val="Текст концевой сноски Знак"/>
    <w:basedOn w:val="a0"/>
    <w:link w:val="af8"/>
    <w:uiPriority w:val="99"/>
    <w:semiHidden/>
    <w:rPr>
      <w:rFonts w:ascii="Times New Roman" w:hAnsi="Times New Roman"/>
    </w:rPr>
  </w:style>
  <w:style w:styleId="afa" w:type="character">
    <w:name w:val="endnote reference"/>
    <w:basedOn w:val="a0"/>
    <w:uiPriority w:val="99"/>
    <w:semiHidden/>
    <w:rPr>
      <w:vertAlign w:val="superscript"/>
    </w:rPr>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4"/>
      <w:rFonts w:ascii="Times New Roman" w:hAnsi="Times New Roman"/>
    </w:rPr>
  </w:style>
  <w:style w:customStyle="true" w:styleId="ol" w:type="paragraph">
    <w:name w:val="ol"/>
  </w:style>
  <w:style w:customStyle="true" w:styleId="ul" w:type="paragraph">
    <w:name w:val="ul"/>
  </w:style>
  <w:style w:customStyle="true" w:styleId="MsoNormal0" w:type="paragraph">
    <w:name w:val="MsoNormal"/>
    <w:rPr>
      <w:sz w:val="24"/>
      <w:rFonts w:ascii="Times New Roman" w:hAnsi="Times New Roman"/>
    </w:r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sz w:val="24"/>
      <w:rFonts w:ascii="Times New Roman" w:hAnsi="Times New Roman"/>
    </w:rPr>
  </w:style>
  <w:style w:customStyle="true" w:styleId="MsoChpDefault" w:type="paragraph">
    <w:name w:val="MsoChpDefault"/>
  </w:style>
  <w:style w:customStyle="true" w:styleId="MsoPapDefault" w:type="paragraph">
    <w:name w:val="MsoPapDefault"/>
    <w:pPr>
      <w:spacing w:after="200" w:line="276" w:lineRule="auto"/>
    </w:pPr>
  </w:style>
  <w:style w:customStyle="true" w:styleId="WordSection1" w:type="paragraph">
    <w:name w:val="WordSection1"/>
  </w:style>
  <w:style w:customStyle="true" w:styleId="MsoNormaldoczillaStyle1" w:type="paragraph">
    <w:name w:val="MsoNormal_doczillaStyle_1"/>
    <w:rPr>
      <w:sz w:val="24"/>
      <w:rFonts w:ascii="Times New Roman" w:hAnsi="Times New Roman"/>
    </w:rPr>
  </w:style>
  <w:style w:customStyle="true" w:styleId="MsoChpDefaultdoczillaStyle1" w:type="paragraph">
    <w:name w:val="MsoChpDefault_doczillaStyle_1"/>
  </w:style>
  <w:style w:customStyle="true" w:styleId="MsoPapDefaultdoczillaStyle1" w:type="paragraph">
    <w:name w:val="MsoPapDefault_doczillaStyle_1"/>
    <w:pPr>
      <w:spacing w:after="200" w:line="276" w:lineRule="auto"/>
    </w:pPr>
  </w:style>
  <w:style w:customStyle="true" w:styleId="WordSection1doczillaStyle1" w:type="paragraph">
    <w:name w:val="WordSection1_doczillaStyle_1"/>
  </w:style>
  <w:style w:customStyle="true" w:styleId="BulletListFooterTextnumberedParagraphedeliste1lp1NumBullet1TableNumberParagraphBulletNumberBulletrListParagraph1ListParagraph2Liste0"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sz w:val="24"/>
      <w:rFonts w:ascii="Times New Roman" w:hAnsi="Times New Roman"/>
    </w:rPr>
  </w:style>
  <w:style w:customStyle="true" w:styleId="oldoczillaStyle1" w:type="paragraph">
    <w:name w:val="ol_doczillaStyle_1"/>
  </w:style>
  <w:style w:customStyle="true" w:styleId="uldoczillaStyle1" w:type="paragraph">
    <w:name w:val="ul_doczillaStyle_1"/>
  </w:style>
  <w:style w:customStyle="true" w:styleId="BulletListFooterTextnumberedParagraphedeliste1lp1NumBullet1TableNumberParagraphBulletNumberBulletrListParagraph1ListParagraph2ListParagraph21Listeafsnit1PargrafodaLista1BulletlistList0"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sz w:val="24"/>
      <w:rFonts w:ascii="Times New Roman" w:hAnsi="Times New Roman"/>
    </w:rPr>
  </w:style>
  <w:style w:customStyle="true" w:styleId="MsoNormaldoczillaStyle2" w:type="paragraph">
    <w:name w:val="MsoNormal_doczillaStyle_2"/>
    <w:rPr>
      <w:sz w:val="24"/>
      <w:rFonts w:ascii="Times New Roman" w:hAnsi="Times New Roman"/>
    </w:rPr>
  </w:style>
  <w:style w:customStyle="true" w:styleId="MsoChpDefaultdoczillaStyle2" w:type="paragraph">
    <w:name w:val="MsoChpDefault_doczillaStyle_2"/>
    <w:rPr>
      <w:sz w:val="20"/>
    </w:r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4"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sz w:val="20"/>
      <w:rFonts w:ascii="Times New Roman" w:hAnsi="Times New Roman"/>
    </w:rPr>
  </w:style>
  <w:style w:customStyle="true" w:styleId="MsoNormaldoczillaStyle3" w:type="paragraph">
    <w:name w:val="MsoNormal_doczillaStyle_3"/>
    <w:rPr>
      <w:sz w:val="24"/>
      <w:rFonts w:ascii="Times New Roman" w:hAnsi="Times New Roman"/>
    </w:rPr>
  </w:style>
  <w:style w:customStyle="true" w:styleId="VL" w:type="paragraph">
    <w:name w:val="VL_Основной текст"/>
    <w:uiPriority w:val="99"/>
    <w:pPr>
      <w:jc w:val="both"/>
      <w:spacing w:before="240"/>
    </w:pPr>
    <w:rPr>
      <w:color w:val="1e0e01"/>
    </w:rPr>
  </w:style>
  <w:style w:customStyle="true" w:styleId="MsoChpDefaultdoczillaStyle3" w:type="paragraph">
    <w:name w:val="MsoChpDefault_doczillaStyle_3"/>
    <w:rPr>
      <w:sz w:val="20"/>
    </w:rPr>
  </w:style>
  <w:style w:customStyle="true" w:styleId="WordSection1doczillaStyle3" w:type="paragraph">
    <w:name w:val="WordSection1_doczillaStyle_3"/>
  </w:style>
  <w:style w:styleId="b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tblPr>
      <w:tblpPr w:horzAnchor="" w:vertAnchor=""/>
      <w:tblOverlap w:val=""/>
      <w:tblLayout w:type=""/>
    </w:tblPr>
    <w:rPr>
      <w:sz w:val="24"/>
      <w:rFonts w:ascii="Times New Roman" w:hAnsi="Times New Roman"/>
    </w:rPr>
  </w:style>
  <w:style w:styleId="MsoListParagraph" w:type="paragraph">
    <w:name w:val="Абзац списка,Bullet List,FooterText,numbered,Paragraphe de liste1,lp1,Num Bullet 1,Table Number Paragraph,Bullet Number,Bulletr List Paragraph,列出段落,列出段落1,List Paragraph2,List Paragraph21,Listeafsnit1,Parágrafo da Lista1,Bullet list,List Paragraph,Ref"/>
    <w:link w:val="b0"/>
    <w:uiPriority w:val="34"/>
    <w:tblPr>
      <w:tblpPr w:horzAnchor="" w:vertAnchor=""/>
      <w:tblOverlap w:val=""/>
      <w:tblLayout w:type=""/>
    </w:tblPr>
    <w:pPr>
      <w:ind w:left="720" w:right="0"/>
      <w:spacing w:before="0" w:after="0"/>
      <w:contextualSpacing/>
    </w:pPr>
    <w:rPr>
      <w:sz w:val="24"/>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Olga Absalyamova</cp:lastModifiedBy>
  <dcterms:created xsi:type="dcterms:W3CDTF">2026-02-01T21:23:00+03:00</dcterms:created>
  <dcterms:modified xsi:type="dcterms:W3CDTF">2026-08-26T10:21:50.861+05:00</dcterms:modified>
  <dc:title>Пустой шаблон со стилями</dc:title>
  <cp:keywords>Шаблон;Пустой;Стили</cp:keywords>
  <cp:revision>1</cp:revision>
  <cp:lastPrinted>2014-05-26T14:27:00Z</cp:lastPrinted>
</cp:coreProperties>
</file>