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206"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2834"/>
        <w:gridCol w:w="2349"/>
        <w:gridCol w:w="2353"/>
        <w:gridCol w:w="2670"/>
      </w:tblGrid>
      <w:tr>
        <w:trPr/>
        <w:tc>
          <w:tcPr>
            <w:tcW w:w="2834" w:type="dxa"/>
            <w:tcBorders/>
          </w:tcPr>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c>
          <w:tcPr>
            <w:tcW w:w="4702" w:type="dxa"/>
            <w:gridSpan w:val="2"/>
            <w:tcBorders/>
          </w:tcPr>
          <w:p>
            <w:pPr>
              <w:pStyle w:val="Normal"/>
              <w:widowControl w:val="false"/>
              <w:spacing w:lineRule="auto" w:line="240" w:before="0" w:after="0"/>
              <w:jc w:val="center"/>
              <w:rPr>
                <w:rFonts w:ascii="Times New Roman" w:hAnsi="Times New Roman" w:cs="Times New Roman"/>
                <w:b/>
                <w:bCs/>
                <w:color w:val="000000"/>
              </w:rPr>
            </w:pPr>
            <w:r>
              <w:rPr>
                <w:rFonts w:cs="Times New Roman" w:ascii="Times New Roman" w:hAnsi="Times New Roman"/>
                <w:b/>
                <w:bCs/>
                <w:color w:val="000000"/>
              </w:rPr>
              <w:t xml:space="preserve">ДОГОВОР № </w:t>
            </w:r>
          </w:p>
          <w:p>
            <w:pPr>
              <w:pStyle w:val="Normal"/>
              <w:widowControl w:val="false"/>
              <w:spacing w:lineRule="auto" w:line="240" w:before="0" w:after="0"/>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на передачу права использования программы для ЭВМ «Контур.Недвижимость» и оказание услуг по сопровождению</w:t>
            </w:r>
          </w:p>
        </w:tc>
        <w:tc>
          <w:tcPr>
            <w:tcW w:w="2670" w:type="dxa"/>
            <w:tcBorders/>
          </w:tcPr>
          <w:p>
            <w:pPr>
              <w:pStyle w:val="Normal"/>
              <w:widowControl w:val="false"/>
              <w:spacing w:lineRule="auto" w:line="240" w:before="0" w:after="0"/>
              <w:jc w:val="right"/>
              <w:rPr>
                <w:rFonts w:ascii="Times New Roman" w:hAnsi="Times New Roman" w:cs="Times New Roman"/>
                <w:color w:val="000000"/>
                <w:sz w:val="18"/>
                <w:szCs w:val="18"/>
              </w:rPr>
            </w:pPr>
            <w:r>
              <w:rPr>
                <w:rFonts w:cs="Times New Roman" w:ascii="Times New Roman" w:hAnsi="Times New Roman"/>
                <w:color w:val="000000"/>
                <w:sz w:val="18"/>
                <w:szCs w:val="18"/>
              </w:rPr>
            </w:r>
          </w:p>
        </w:tc>
      </w:tr>
      <w:tr>
        <w:trPr/>
        <w:tc>
          <w:tcPr>
            <w:tcW w:w="2834" w:type="dxa"/>
            <w:tcBorders/>
          </w:tcPr>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c>
          <w:tcPr>
            <w:tcW w:w="4702" w:type="dxa"/>
            <w:gridSpan w:val="2"/>
            <w:tcBorders/>
          </w:tcPr>
          <w:p>
            <w:pPr>
              <w:pStyle w:val="Normal"/>
              <w:widowControl w:val="false"/>
              <w:spacing w:lineRule="auto" w:line="240" w:before="0" w:after="0"/>
              <w:jc w:val="center"/>
              <w:rPr>
                <w:rFonts w:ascii="Times New Roman" w:hAnsi="Times New Roman" w:cs="Times New Roman"/>
                <w:b/>
                <w:bCs/>
                <w:color w:val="000000"/>
              </w:rPr>
            </w:pPr>
            <w:r>
              <w:rPr>
                <w:rFonts w:cs="Times New Roman" w:ascii="Times New Roman" w:hAnsi="Times New Roman"/>
                <w:b/>
                <w:bCs/>
                <w:color w:val="000000"/>
              </w:rPr>
            </w:r>
          </w:p>
        </w:tc>
        <w:tc>
          <w:tcPr>
            <w:tcW w:w="2670" w:type="dxa"/>
            <w:tcBorders/>
          </w:tcPr>
          <w:p>
            <w:pPr>
              <w:pStyle w:val="Normal"/>
              <w:widowControl w:val="false"/>
              <w:spacing w:lineRule="auto" w:line="240" w:before="0" w:after="0"/>
              <w:jc w:val="right"/>
              <w:rPr>
                <w:rFonts w:ascii="Times New Roman" w:hAnsi="Times New Roman" w:cs="Times New Roman"/>
                <w:color w:val="000000"/>
                <w:sz w:val="18"/>
                <w:szCs w:val="18"/>
              </w:rPr>
            </w:pPr>
            <w:r>
              <w:rPr>
                <w:rFonts w:cs="Times New Roman" w:ascii="Times New Roman" w:hAnsi="Times New Roman"/>
                <w:color w:val="000000"/>
                <w:sz w:val="18"/>
                <w:szCs w:val="18"/>
              </w:rPr>
            </w:r>
          </w:p>
        </w:tc>
      </w:tr>
      <w:tr>
        <w:trPr/>
        <w:tc>
          <w:tcPr>
            <w:tcW w:w="5183" w:type="dxa"/>
            <w:gridSpan w:val="2"/>
            <w:tcBorders/>
          </w:tcPr>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lang w:val="en-US"/>
              </w:rPr>
              <w:t>г.</w:t>
            </w:r>
            <w:r>
              <w:rPr>
                <w:rFonts w:cs="Times New Roman" w:ascii="Times New Roman" w:hAnsi="Times New Roman"/>
                <w:color w:val="000000"/>
                <w:sz w:val="18"/>
                <w:szCs w:val="18"/>
              </w:rPr>
              <w:t xml:space="preserve"> Красноярск</w:t>
            </w:r>
          </w:p>
        </w:tc>
        <w:tc>
          <w:tcPr>
            <w:tcW w:w="5023" w:type="dxa"/>
            <w:gridSpan w:val="2"/>
            <w:tcBorders/>
          </w:tcPr>
          <w:p>
            <w:pPr>
              <w:pStyle w:val="Normal"/>
              <w:widowControl w:val="false"/>
              <w:spacing w:lineRule="auto" w:line="240" w:before="0" w:after="0"/>
              <w:jc w:val="right"/>
              <w:rPr>
                <w:rFonts w:ascii="Times New Roman" w:hAnsi="Times New Roman" w:cs="Times New Roman"/>
                <w:color w:val="000000"/>
                <w:sz w:val="18"/>
                <w:szCs w:val="18"/>
              </w:rPr>
            </w:pPr>
            <w:r>
              <w:rPr>
                <w:rFonts w:cs="Times New Roman" w:ascii="Times New Roman" w:hAnsi="Times New Roman"/>
                <w:color w:val="000000"/>
                <w:sz w:val="18"/>
                <w:szCs w:val="18"/>
              </w:rPr>
              <w:t>. .2026</w:t>
            </w:r>
          </w:p>
        </w:tc>
      </w:tr>
    </w:tbl>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 именуемое в дальнейшем </w:t>
      </w:r>
      <w:r>
        <w:rPr>
          <w:rFonts w:cs="Times New Roman" w:ascii="Times New Roman" w:hAnsi="Times New Roman"/>
          <w:b/>
          <w:color w:val="000000"/>
          <w:sz w:val="18"/>
          <w:szCs w:val="18"/>
        </w:rPr>
        <w:t>Исполнитель</w:t>
      </w:r>
      <w:r>
        <w:rPr>
          <w:rFonts w:cs="Times New Roman" w:ascii="Times New Roman" w:hAnsi="Times New Roman"/>
          <w:color w:val="000000"/>
          <w:sz w:val="18"/>
          <w:szCs w:val="18"/>
        </w:rPr>
        <w:t xml:space="preserve">, в </w:t>
      </w:r>
      <w:r>
        <w:rPr>
          <w:rFonts w:ascii="Times" w:hAnsi="Times"/>
          <w:color w:val="000000"/>
          <w:sz w:val="18"/>
        </w:rPr>
        <w:t xml:space="preserve">лице </w:t>
      </w:r>
      <w:r>
        <w:rPr>
          <w:rFonts w:cs="Times New Roman" w:ascii="Times New Roman" w:hAnsi="Times New Roman"/>
          <w:color w:val="000000"/>
          <w:sz w:val="18"/>
          <w:szCs w:val="18"/>
        </w:rPr>
        <w:t xml:space="preserve">, </w:t>
      </w:r>
      <w:r>
        <w:rPr>
          <w:rFonts w:ascii="Times" w:hAnsi="Times"/>
          <w:color w:val="000000"/>
          <w:sz w:val="18"/>
        </w:rPr>
        <w:t xml:space="preserve">действующей </w:t>
      </w:r>
      <w:r>
        <w:rPr>
          <w:rFonts w:cs="Times" w:ascii="Times" w:hAnsi="Times"/>
          <w:color w:val="000000"/>
          <w:sz w:val="18"/>
          <w:szCs w:val="18"/>
        </w:rPr>
        <w:t xml:space="preserve">на основании машиночитаемой доверенности от </w:t>
      </w:r>
      <w:r>
        <w:rPr>
          <w:rFonts w:cs="Times New Roman" w:ascii="Times New Roman" w:hAnsi="Times New Roman"/>
          <w:color w:val="000000"/>
          <w:sz w:val="18"/>
          <w:szCs w:val="18"/>
        </w:rPr>
        <w:t xml:space="preserve">, с одной стороны, и </w:t>
      </w:r>
      <w:r>
        <w:rPr>
          <w:rFonts w:ascii="Times" w:hAnsi="Times"/>
          <w:b/>
          <w:color w:val="000000"/>
          <w:sz w:val="18"/>
        </w:rPr>
        <w:t>Публичное акционерное общество «Федеральная гидрогенерирующая компания – РусГидро» (ПАО «РусГидро»)</w:t>
      </w:r>
      <w:r>
        <w:rPr>
          <w:rFonts w:cs="Times New Roman" w:ascii="Times New Roman" w:hAnsi="Times New Roman"/>
          <w:color w:val="000000"/>
          <w:sz w:val="18"/>
          <w:szCs w:val="18"/>
        </w:rPr>
        <w:t xml:space="preserve">, </w:t>
      </w:r>
      <w:r>
        <w:rPr>
          <w:rFonts w:ascii="Times" w:hAnsi="Times"/>
          <w:color w:val="000000"/>
          <w:sz w:val="18"/>
        </w:rPr>
        <w:t xml:space="preserve">именуемое в дальнейшем </w:t>
      </w:r>
      <w:r>
        <w:rPr>
          <w:rFonts w:ascii="Times" w:hAnsi="Times"/>
          <w:b/>
          <w:color w:val="000000"/>
          <w:sz w:val="18"/>
        </w:rPr>
        <w:t>Заказчик</w:t>
      </w:r>
      <w:r>
        <w:rPr>
          <w:rFonts w:cs="Times New Roman" w:ascii="Times New Roman" w:hAnsi="Times New Roman"/>
          <w:color w:val="000000"/>
          <w:sz w:val="18"/>
          <w:szCs w:val="18"/>
        </w:rPr>
        <w:t xml:space="preserve">, </w:t>
      </w:r>
      <w:r>
        <w:rPr>
          <w:rFonts w:cs="Times" w:ascii="Times" w:hAnsi="Times"/>
          <w:color w:val="000000"/>
          <w:sz w:val="18"/>
          <w:szCs w:val="18"/>
        </w:rPr>
        <w:t>лице директора Департамента информационных технологий и цифрового развития Хомякова Сергея Владимировича, действующего на основании машиночитаемой доверенности от 02.08.2024 № b0e47415-951b-43db-b9f0-166ddd3eb9d2</w:t>
      </w:r>
      <w:r>
        <w:rPr>
          <w:rFonts w:cs="Times New Roman" w:ascii="Times New Roman" w:hAnsi="Times New Roman"/>
          <w:color w:val="000000"/>
          <w:sz w:val="18"/>
          <w:szCs w:val="18"/>
        </w:rPr>
        <w:t>, с другой стороны, именуемые в дальнейшем также Стороны, заключили Договор о нижеследующем.</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1. Термины и определения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 Контур.Недвижимость − результат интеллектуальной деятельности – программа для ЭВМ «Контур.Недвижимость» (прежнее наименование «Контур.Реестро»), предназначенная для электронного взаимодействия участников рынка недвижимости, в том числе с Федеральной службой государственной регистрации, кадастра и картографии (Росреестр) в процессе регистрации прав на недвижимое имущество, сделок с ним и получения информации об объектах недвижимости, а также для взаимодействия с Удостоверяющим центром Исполнителя в процессе выдачи Сертификатов.</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1.2. Спецификация (Приложение № 1 к Договору) − документ, содержащий информацию о стоимости и комплекте предоставляемых Заказчику неисключительных прав использования программ для ЭВМ и оказываемых услуг. Одновременно с подписанием Договора Стороны подписывают Спецификацию № 1. </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1.3. Сублицензионный договор на право использования программы для ЭВМ Контур.Недвижимость (неотъемлемая часть Договора) – договор, заключенный между Лицензиатом (Исполнителем по Договору) и Сублицензиатом (Заказчиком по Договору), регулирующий порядок использования Контур.Недвижимости. Принятие Заказчиком условий указанного сублицензионного договора является существенным условием Договора.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1.4. Квалифицированный сертификат ключа проверки электронной подписи (далее − Сертификат) − документ, выданный в соответствии с Федеральным законом Российской Федерации от 06.04.2011 № 63-ФЗ «Об электронной подписи» (далее – Закон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1.5. Регламент оказания услуг Удостоверяющего центра Исполнителя (далее − Регламент УЦ) − документ, устанавливающий порядок реализации Исполнителем обязанностей Удостоверяющего центра, предусмотренных законодательством Российской Федерации, и публичный договор на оказание услуг Удостоверяющего центра по выдаче Сертификатов (ч. 8 ст. 13 Закона от об электронной подписи). Действующая редакция Регламента УЦ публикуется на сайте </w:t>
      </w:r>
      <w:hyperlink r:id="rId2">
        <w:r>
          <w:rPr>
            <w:rFonts w:cs="Times New Roman" w:ascii="Times New Roman" w:hAnsi="Times New Roman"/>
            <w:color w:val="0000CD"/>
            <w:sz w:val="18"/>
            <w:szCs w:val="18"/>
          </w:rPr>
          <w:t>http://ca.sertum.ru</w:t>
        </w:r>
      </w:hyperlink>
      <w:r>
        <w:rPr>
          <w:rFonts w:cs="Times New Roman" w:ascii="Times New Roman" w:hAnsi="Times New Roman"/>
          <w:color w:val="000000"/>
          <w:sz w:val="18"/>
          <w:szCs w:val="18"/>
        </w:rPr>
        <w:t>. Заключением Договора Заказчик присоединяется к Регламенту УЦ в порядке, установленном ст. 428 Гражданского кодекса Российской Федерации, если Заказчику выдается Сертификат Удостоверяющим центром Исполнителя.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1.6. Порядок выдачи Сертификатов (далее – Порядок о Сертификатах и ключах) – документ, регулирующий порядок взаимодействия Заказчика с Удостоверяющим центром Исполнителя в процессе вручения Сертификатов Конечным пользователям. Действующая редакция документа публикуется на сайте </w:t>
      </w:r>
      <w:hyperlink r:id="rId3">
        <w:r>
          <w:rPr>
            <w:rFonts w:cs="Times New Roman" w:ascii="Times New Roman" w:hAnsi="Times New Roman"/>
            <w:color w:val="0000CD"/>
            <w:sz w:val="18"/>
            <w:szCs w:val="18"/>
          </w:rPr>
          <w:t>https://kontur.ru/reestro/document</w:t>
        </w:r>
      </w:hyperlink>
      <w:r>
        <w:rPr>
          <w:rFonts w:cs="Times New Roman" w:ascii="Times New Roman" w:hAnsi="Times New Roman"/>
          <w:color w:val="000000"/>
          <w:sz w:val="18"/>
          <w:szCs w:val="18"/>
        </w:rPr>
        <w:t>. Принятие Заказчиком условий указанного Порядка о Сертификатах и ключах является существенным условием Договора.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1.7. Прайс-лист – документ (неотъемлемая часть Договора), отражающий ценовую политику Исполнителя и состав Тарифных планов. Изменяется Исполнителем в одностороннем порядке. Действующая редакция Прайс-листа публикуется на сайте </w:t>
      </w:r>
      <w:hyperlink r:id="rId4">
        <w:r>
          <w:rPr>
            <w:rFonts w:cs="Times New Roman" w:ascii="Times New Roman" w:hAnsi="Times New Roman"/>
            <w:color w:val="0000CD"/>
            <w:sz w:val="18"/>
            <w:szCs w:val="18"/>
          </w:rPr>
          <w:t>https://kontur.ru/reestro/price</w:t>
        </w:r>
      </w:hyperlink>
      <w:r>
        <w:rPr>
          <w:rFonts w:cs="Times New Roman" w:ascii="Times New Roman" w:hAnsi="Times New Roman"/>
          <w:color w:val="000000"/>
          <w:sz w:val="18"/>
          <w:szCs w:val="18"/>
        </w:rPr>
        <w:t>. Исполнитель имеет право в одностороннем порядке вносить изменения и/или дополнения в Прайс-лист путем публикации на сайте. Дополнительные Прайс-листы могут быть предъявлены Исполнителем по требованию Заказчика.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1.8. Тарифный план − совокупность предоставляемых Исполнителем неисключительных прав использования Контур.Недвижимости и оказываемых услуг. Состав Тарифного плана определяется Прайс-листом.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1.9. Сервис безопасных расчетов для сделок – сервис Контур.Недвижимости, позволяющий размещать безналичные денежные средства покупателя недвижимого имущества на номинальном счете Исполнителя, либо на номинальном счете или аккредитиве партнера в целях их дальнейшего перечисления в пользу продавца недвижимого имущества в порядке и при наступлении оснований, предусмотренных Условиями размещения и перечисления денежных средств участников сделок с недвижимым имуществом с использованием номинального счета и Сервиса безопасных расчетов для сделок Контур.Недвижимости, размещенными по адресу </w:t>
      </w:r>
      <w:hyperlink r:id="rId5">
        <w:r>
          <w:rPr>
            <w:rFonts w:cs="Times New Roman" w:ascii="Times New Roman" w:hAnsi="Times New Roman"/>
            <w:color w:val="0000CD"/>
            <w:sz w:val="18"/>
            <w:szCs w:val="18"/>
          </w:rPr>
          <w:t>https://kontur.ru/reestro/docs</w:t>
        </w:r>
      </w:hyperlink>
      <w:r>
        <w:rPr>
          <w:rFonts w:cs="Times New Roman" w:ascii="Times New Roman" w:hAnsi="Times New Roman"/>
          <w:color w:val="000000"/>
          <w:sz w:val="18"/>
          <w:szCs w:val="18"/>
        </w:rPr>
        <w:t>. Оплачивая Тарифные планы Сервиса, Заказчик подтверждает, что действует в интересах участников сделки (продавца и покупателя недвижимого имущества), а также совершает акцепт Условий.</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1.10. Цифровой ипотечный брокер – сервис Контур.Недвижимости, позволяющий оформлять и отправлять заявки на получение заемщиком (клиентом Заказчика) банковских продуктов. Направляя заявки с использованием сервиса, Заказчик подтверждает, что действует в интересах физических лиц – заемщиков, в отношении которых будут подаваться заявки на получение банковских продуктов, а также совершает акцепт условий договора возмездного оказания услуг по поиску и привлечению заемщиков, адресованного юридическим лицам и индивидуальным предпринимателям либо самозанятым. Обе версии договора размещены по адресу </w:t>
      </w:r>
      <w:hyperlink r:id="rId6">
        <w:r>
          <w:rPr>
            <w:rFonts w:cs="Times New Roman" w:ascii="Times New Roman" w:hAnsi="Times New Roman"/>
            <w:color w:val="0000CD"/>
            <w:sz w:val="18"/>
            <w:szCs w:val="18"/>
          </w:rPr>
          <w:t>https://kontur.ru/reestro/docs</w:t>
        </w:r>
      </w:hyperlink>
      <w:r>
        <w:rPr>
          <w:rFonts w:cs="Times New Roman" w:ascii="Times New Roman" w:hAnsi="Times New Roman"/>
          <w:color w:val="000000"/>
          <w:sz w:val="18"/>
          <w:szCs w:val="18"/>
        </w:rPr>
        <w:t>.</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1.11. Конечный пользователь – физическое лицо, уполномоченное Заказчиком на использование Контур.Недвижимости. Количество Конечных пользователей Заказчика не ограничено, если иное не предусмотрено Прайс-листом.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1.12. Администратор – Конечный пользователь − владелец Сертификата, уполномоченный Заказчиком на использование функциональности Контур.Недвижимости, предназначенной для взаимодействия с Удостоверяющим центром Исполнителя.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1.13. Субъект персональных данных – физическое лицо, персональные данные которого Заказчик обрабатывает с использованием Контур.Недвижимости.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1.14. Программный интерфейс API (Application Programming Interface) – интерфейс прикладного программирования, позволяющий провести интеграцию Контур.Недвижимости с учетной системой Заказчика.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1.15. Ключ разработчика − последовательность символов, буквенно-цифровой код, позволяющий получить доступ к функциональным возможностям Контур.Недвижимости, используя программные методы API.</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1.16. АPI-лицензия – передаваемые права использования Контур.Недвижимости на условиях простой (неисключительной) лицензии в формате API, предназначенные для осуществления интеграции Контур.Недвижимости с любой учетной системой Заказчика. Состав API-лицензии определяется Прайс-листом.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1.17. СКЗИ – средство криптографической защиты информации (средство электронной подписи), дополнительное программное обеспечение для осуществления обязанностей шифрования и подписания электронных документов электронной подписью.</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1.18. Правила по обеспечению информационной безопасности на рабочем месте − документ, составленный Исполнителем на основании положений законодательства Российской Федерации в области применения и использования СКЗИ и электронной подписи, и обязательный для ознакомления всеми специалистами Заказчика, работающими с использованием СКЗИ. Актуальная редакция правил публикуется на сайте </w:t>
      </w:r>
      <w:hyperlink r:id="rId7">
        <w:r>
          <w:rPr>
            <w:rFonts w:cs="Times New Roman" w:ascii="Times New Roman" w:hAnsi="Times New Roman"/>
            <w:color w:val="0000CD"/>
            <w:sz w:val="18"/>
            <w:szCs w:val="18"/>
          </w:rPr>
          <w:t>http://ca.kontur.ru</w:t>
        </w:r>
      </w:hyperlink>
      <w:r>
        <w:rPr>
          <w:rFonts w:cs="Times New Roman" w:ascii="Times New Roman" w:hAnsi="Times New Roman"/>
          <w:color w:val="000000"/>
          <w:sz w:val="18"/>
          <w:szCs w:val="18"/>
        </w:rPr>
        <w:t>. Заключением Договора Заказчик подтверждает выполнение Исполнителем обязанности, установленной ч. 4 ст. 18 Закона об электронной подписи. Исполнитель имеет право в одностороннем порядке вносить изменения и/или дополнения в Правила путем публикации на сайте.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1.19. Cублицензионный договор на право использования программы для ЭВМ СКЗИ «КриптоПро CSP» (неотъемлемая часть Договора) – договор, заключаемый между Лицензиатом (Исполнителем по Договору) и Сублицензиатом (Заказчиком по Договору) на передачу неисключительных прав на результат интеллектуальной деятельности – программу для ЭВМ СКЗИ «КриптоПро CSP», является офертой и неотъемлемой частью Договора в случае приобретения Заказчиком СКЗИ.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1.20. Сервисный центр – юридическое лицо или индивидуальный предприниматель, уполномоченные Исполнителем на основании агентского договора представлять интересы Исполнителя во взаимоотношениях с Заказчиком. Список Сервисных центров публикуется на сайте </w:t>
      </w:r>
      <w:hyperlink r:id="rId8">
        <w:r>
          <w:rPr>
            <w:rFonts w:cs="Times New Roman" w:ascii="Times New Roman" w:hAnsi="Times New Roman"/>
            <w:color w:val="0000CD"/>
            <w:sz w:val="18"/>
            <w:szCs w:val="18"/>
          </w:rPr>
          <w:t>https://kontur.ru/contacts/all</w:t>
        </w:r>
      </w:hyperlink>
      <w:r>
        <w:rPr>
          <w:rFonts w:cs="Times New Roman" w:ascii="Times New Roman" w:hAnsi="Times New Roman"/>
          <w:color w:val="000000"/>
          <w:sz w:val="18"/>
          <w:szCs w:val="18"/>
        </w:rPr>
        <w:t>.</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2. Предмет Договора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2.1. Исполнитель обязуется передать Заказчику простую (неисключительную) лицензию на право использования Контур.Недвижимости в пределах, предусмотренных Договором, а также оказать услуги по сопровождению (технической и консультационной поддержке в виде абонентского обслуживания), а Заказчик обязуется принять предоставленные права и услуги и оплатить их в полном объеме.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2.2. Передача права использования Контур.Недвижимости осуществляется на условиях сублицензионного договора на срок, установленный выбранным Тарифным планом.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2.3. При необходимости Заказчику могут быть возмездно оказаны иные услуги, предоставлены лицензии на иное программное обеспечение, предусмотренные Прайс-листом, а также по поручению Заказчика из финансовых средств Заказчика Исполнителем может быть осуществлена оплата государственной пошлины за регистрационные действия в Росреестре.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2.4. При использовании Заказчиком функциональности Контур.Недвижимости по взаимодействию с Удостоверяющим центром в процессе выдачи Сертификатов Заказчик наделяется Исполнителем полномочиями по приему заявлений на выдачу сертификатов ключей проверки электронных подписей, а также вручению сертификатов ключей проверки электронных подписей от имени Удостоверяющего центра. Заказчик и его представители, наделенные полномочиями по взаимодействию с Удостоверяющим центром в процессе выдачи Сертификатов, несут гражданско-правовую, административную и (или) уголовную ответственность в соответствии с законодательством Российской Федерации за неисполнение обязанностей, установленных для доверенных лиц Удостоверяющего центра, определяемых Законом об электронной подписи и иными принимаемыми в соответствии с указанным Законом нормативными правовыми актами, а также Регламентом Удостоверяющего центра и Порядком о Сертификатах и ключах.</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3. Порядок передачи прав и оказания услуг</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3.1. Доступ к веб-версии Контур.Недвижимости считается предоставленным Исполнителем после регистрации учетной записи Заказчика на сервере Контур.Недвижимости. Исполнитель регистрирует учетную запись Заказчика на сервере Контур.Недвижимости в течение 5 (пяти) календарных дней с момента оплаты вознаграждения в порядке, предусмотренном Договором. Вход в Контур.Недвижимость возможен по логину и паролю или при предъявлении Сертификата. В случае работы с API Контур.Недвижимости Исполнитель обеспечивает возможность получения Заказчиком ключа разработчика не позднее 1 (одного) рабочего дня, следующего за днем поступления оплаты.</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3.2. Заказчик назначает Администратора и обеспечивает выполнение им требований Порядка о Сертификатах и ключах.</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3.3. Порядок оказания услуг Удостоверяющего центра установлен Регламентом УЦ.</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3.4. По желанию Заказчика и при своевременном внесении им денежных средств в размере и порядке, установленным разделом 6 Договора, Исполнитель может производить за Заказчика оплату государственной пошлины за осуществление регистрационных действий в Росреестре.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3.5. В течение срока действия оплаченного Тарифного плана, включающего услуги по сопровождению, Исполнитель осуществляет:</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3.5.1. техническую поддержку пользователей Контур.Недвижимости в Федеральном круглосуточном контакт-центре Исполнителя по телефону 8-800-250-38-27 или по электронной почте reestro-support@kontur.ru;</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3.5.2. консультационную поддержку пользователей, в том числе (если иное не предусмотрено Прайс-листом) по вопросам взаимодействия с Росреестром. При этом информация, предоставленная консультантами контакт-центра, носит исключительно рекомендательный характер. Исполнитель не будет нести ответственность за решения, принятые Заказчиком на основании полученных консультаций.</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4. Права и обязанности Сторон</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4.1. Обязанности Исполнителя: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4.1.1. осуществление обязанностей Удостоверяющего центра;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4.1.2. принятие и своевременное перечисление денежных средств Заказчика, перечисленных на расчетный счет Исполнителя в счет оплаты госпошлины.</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4.2. Обязанности Заказчика: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4.2.1. своевременная оплата предоставленных прав использования, услуг Исполнителя в порядке и сроки, установленные Договором;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4.2.2. соблюдение требований Регламента УЦ и Порядка о Сертификатах и ключах;</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4.2.3. самостоятельный мониторинг изменений, внесенных Исполнителем в Регламент УЦ и Порядок о Сертификатах и ключах и своевременная корректировка своих действий в процессе взаимодействия с Удостоверяющим центром Исполнителя;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4.2.4. соблюдение требований пользовательской документации при использовании Контур.Недвижимости;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4.2.5. представление Исполнителю всех сведений и документов, необходимых для исполнения Исполнителем своих обязательств по Договору, в том числе всей необходимой информации и документов для выдачи Сертификатов, предусмотренных Регламентом УЦ;</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4.2.6. в случае приобретения услуги Формирование уведомления о сделке обеспечение соответствия представляемых видеозаписей участников сделки требованиям, опубликованным Исполнителем по адресу </w:t>
      </w:r>
      <w:hyperlink r:id="rId9">
        <w:r>
          <w:rPr>
            <w:rFonts w:cs="Times New Roman" w:ascii="Times New Roman" w:hAnsi="Times New Roman"/>
            <w:color w:val="0000CD"/>
            <w:sz w:val="18"/>
            <w:szCs w:val="18"/>
          </w:rPr>
          <w:t>https://support.kontur.ru/reestro/38957-provedenie_sdelok_s_otchuzhdeniem_imushhestva</w:t>
        </w:r>
      </w:hyperlink>
      <w:r>
        <w:rPr>
          <w:rFonts w:cs="Times New Roman" w:ascii="Times New Roman" w:hAnsi="Times New Roman"/>
          <w:color w:val="000000"/>
          <w:sz w:val="18"/>
          <w:szCs w:val="18"/>
        </w:rPr>
        <w:t>.</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4.3. Права Заказчика: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4.3.1. осуществление действий по вручению Сертификатов Владельцам сертификатов, выданных Исполнителем.</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5. Финансовые условия. Порядок сдачи-приемки предоставленных прав и оказанных услуг</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5.1. Лицензионное вознаграждение за право использования программы для ЭВМ определяется Прайс-листом Исполнителя и устанавливается в Спецификации и/или в выставленном счете.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5.2. Цена услуг/работ/ТМЦ Исполнителя определяется Прайс-листом Исполнителя и устанавливается в Спецификации и/или в выставленном счете без учета НДС. НДС начисляется и предъявляется Заказчику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5.3. Заказчик оплачивает выставленный Исполнителем счет в течение 20 (двадцати) </w:t>
      </w:r>
      <w:r>
        <w:rPr>
          <w:rFonts w:ascii="Times" w:hAnsi="Times"/>
          <w:color w:val="000000"/>
          <w:sz w:val="18"/>
        </w:rPr>
        <w:t>календарных</w:t>
      </w:r>
      <w:r>
        <w:rPr>
          <w:rFonts w:cs="Times New Roman" w:ascii="Times New Roman" w:hAnsi="Times New Roman"/>
          <w:color w:val="000000"/>
          <w:sz w:val="18"/>
          <w:szCs w:val="18"/>
        </w:rPr>
        <w:t xml:space="preserve"> дней с момента его получения путем перечисления 100% суммы, указанной в счете, на расчетный счет Исполнителя. Отсутствие оплаты постоплатного счета (наименования постоплатных Тарифных планов и дополнительных лицензий, а также сроки выставления счетов по ним установлены в Прайс-листе) в указанный срок является основанием для блокирования доступа Заказчику к Контур.Недвижимости. Возобновление доступа и приобретение любого другого Тарифного плана возможно только при полном погашении задолженности.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5.3.1. В случае введения НДС на реализацию, ранее освобожденную от уплаты налога, и/или изменения налоговой ставки сумма НДС подлежит корректировке и оплачивается Заказчиком дополнительно по ставке, установленной ст. 164 Налогового кодекса Российской Федерации. Указанное условие не распространяется на Заказчиков – физических лиц, не осуществляющих предпринимательскую деятельность.</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5.4. Счет может быть отправлен Заказчику электронной почтой, заказным почтовым отправлением, в электронном виде, подписанный квалифицированной электронной подписью.</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5.5. Все расчеты по Договору осуществляются в российских рублях путем безналичного перечисления денежных средств на расчетный счет Исполнителя.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5.6. Обязательство Заказчика по оплате счета считается исполненным с момента поступления денежных средств на расчетный счет Исполнителя.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5.7. В случае, если Заказчик является юридическим лицом или индивидуальным предпринимателем, Стороны подтверждают исполнение обязательств по Договору путем подписания УПД. УПД, подписанные квалифицированной электронной подписью Исполнителя (или его уполномоченного лица), направляются Исполнителем Заказчику (юридическому лицу или индивидуальному предпринимателю) в программе для ЭВМ «Контур.Диадок» (далее – Контур.Диадок), правообладателем которой является АО «ПФ «СКБ Контур» и использование которой для целей Договора не будет тарифицироваться для Заказчика, в течение 5 (пяти) календарных дней с момента получения оплаты, за исключением УПД, подтверждающих оказание разовых услуг, а также УПД, направляемых Заказчику при передаче лицензий СКЗИ в составе Сертификата/встроенных в ключевой контейнер. Такие УПД могут быть направлены Исполнителем в Контур.Диадоке или заказным почтовым отправлением после оказания услуг, после предоставления лицензии СКЗИ в составе Сертификата/встроенных в ключевой контейнер, при этом разовыми являются услуги, оказываемые не в виде абонентского обслуживания. Исполнитель обязуется направить поручение правообладателю создать для Заказчика учетную запись в Контур.Диадоке. Порядок действий Заказчика для входа в учетную запись Контур.Диадока публикуется по адресу </w:t>
      </w:r>
      <w:hyperlink r:id="rId10">
        <w:r>
          <w:rPr>
            <w:rFonts w:cs="Times New Roman" w:ascii="Times New Roman" w:hAnsi="Times New Roman"/>
            <w:color w:val="0000CD"/>
            <w:sz w:val="18"/>
            <w:szCs w:val="18"/>
          </w:rPr>
          <w:t>https://www.diadoc.ru/support</w:t>
        </w:r>
      </w:hyperlink>
      <w:r>
        <w:rPr>
          <w:rFonts w:cs="Times New Roman" w:ascii="Times New Roman" w:hAnsi="Times New Roman"/>
          <w:color w:val="000000"/>
          <w:sz w:val="18"/>
          <w:szCs w:val="18"/>
        </w:rPr>
        <w:t>. Заказчик обязуется своевременно принимать УПД по Договору в Контур.Диадоке.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5.8. В случае отсутствия в течение 10 (десяти) рабочих дней с даты получения Исполнителем оплаты или начала использования Заказчиком Контур.Недвижимости (в зависимости от того, какое событие наступит раньше) мотивированного отказа в письменном виде от приемки предоставленных прав использования Контур.Недвижимости, СКЗИ (за исключением лицензий в составе Сертификата/встроенных в ключевой контейнер), API-лицензий и права на получение услуг по сопровождению переданные права признаются принятыми Заказчиком в полном объеме без замечаний.</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5.9. В случае отсутствия в течение 10 (десяти) рабочих дней с момента получения Заказчиком УПД мотивированного отказа в письменном виде от приемки разовых услуг, приемки предоставленных Лицензий СКЗИ в составе Сертификата/встроенных в ключевой контейнер оказанные Исполнителем услуги, предоставленные лицензии признаются принятыми Заказчиком в полном объеме без замечаний.</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5.10. УПД не формируется Исполнителем и не подписывается Сторонами в случае, если Заказчиком является физическое лицо (за исключением физических лиц, зарегистрированных в качестве индивидуальных предпринимателей). При этом такой Заказчик вправе заявить мотивированный отказ в сроки, предусмотренные п. 5.8 Договора, а в части приемки разовых услуг, приемки предоставленных лицензий СКЗИ в составе Сертификата/встроенных в ключевой контейнер - в течение 10 (десяти) рабочих дней после оказания услуг, после выдачи Сертификата (для лицензии СКЗИ в составе Сертификата/встроенных в ключевой контейнер).</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5.11. Мотивированный отказ от приемки прав, услуг может быть отправлен Исполнителю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оплаченное Заказчиком лицензионное вознаграждение возврату не подлежит.</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6. Порядок исполнения поручения по оплате госпошлины</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6.1. В случаях, когда Заказчик поручает Исполнителю осуществлять оплату государственной пошлины за его регистрационные действия в Росреестре, Заказчик обеспечивает свое денежное обязательство, выплачивая Исполнителю предварительный платёж в размере 25 (двадцать пять) и более процентов от стоимости выбранного Заказчиком Тарифного плана.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6.2. Оплата предварительного платежа осуществляется на основании счета, выставленного Исполнителем по поручению Заказчика, в котором Заказчик самостоятельно определяет сумму такого предварительного платежа с учетом минимальной суммы, установленной п. 6.1 Договора.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6.3. Моментом оплаты считается дата зачисления денежных средств на расчетный счет Исполнителя.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6.4. Стороны признают, что предварительный платёж не является неосновательным обогащением или коммерческим кредитом, на него не подлежат начислению и уплате проценты в соответствии со ст. 317.1, 395, 809 Гражданского кодекса Российской Федерации.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6.5. Исполнитель осуществляет оплату государственной пошлины на основании поручения Заказчика, выраженного оплатой счета на предварительный платеж. При этом Заказчик наделяет Конечного пользователя всеми необходимыми полномочиями на использование функциональности Контур.Недвижимости, предназначенной для оплаты государственной пошлины за регистрационные действия в Росреестре.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6.6. Если сумма предварительного платежа недостаточна для исполнения поручения Исполнителем, то Исполнитель приостанавливает выполнение поручений до момента пополнения счета Заказчиком.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6.7. В течение 10 (десяти) рабочих дней после окончания каждого календарного месяца, в котором Исполнителем выполнялись поручения по оплате государственной пошлины, Стороны подписывают квалифицированными электронными подписями акт-отчет об исполнении поручения Заказчика по перечислению госпошлины.</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6.8. В случае отсутствия подписанного акта-отчета и мотивированного отказа от его подписания в течение 10 (десяти) рабочих дней с момента окончания отчетного периода поручение считается исполненным в отчетном периоде в полном объеме и надлежащим образом.</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7. Ответственность Сторон. Конфиденциальность информации. Форс-мажор</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 За неисполнение или ненадлежащее исполнение обязательств по Договору Стороны будут нести ответственность в соответствии с законодательством Российской Федерации и условиями Договора.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7.2. Исполнитель будет нести ответственность за неисполнение обязанностей Удостоверяющего центра в размере реально причиненного ущерба при наличии вины Исполнителя.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7.3. Исполнитель не будет нести ответственность за несоблюдение Заказчиком пользовательской документации, отсутствие у Заказчика подключения к Интернету, за получение доступа к Контур.Недвижимости на неисправном компьютере, либо компьютере, зараженном каким-либо компьютерным вирусом, а также при использовании Заказчиком нелицензионного программного обеспечения.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7.4. Исполнитель не будет нести ответственность за содержание и достоверность информации, циркулирующей в Контур.Недвижимости.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7.5. Исполнитель не будет нести ответственность за содержание, достоверность и достаточность представленных Заказчиком документов и сведений, необходимых для государственной регистрации прав и (или) сделок, в том числе за существенные условия сделки. Все полученные от Заказчика документы и сведения передаются в Росреестр в том виде, как они были получены.</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7.6. Исполнитель не будет нести ответственность за прямые или косвенные убытки, включая упущенную выгоду, возникшие у Заказчика в результате применения Контур.Недвижимости.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7.7. Исполнитель не будет нести ответственность за действия и решения Заказчика, принятые на основании информации, полученной при использовании Контур.Недвижимости, их последствия, а также за решения, принятые Росреестром в отношении регистрации прав на недвижимое имущество и сделок с ним.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7.8. Исполнитель не будет нести ответственность за невозможность использования Контур.Недвижимости по причинам, не зависящим от Исполнителя.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7.9. Исполнитель не будет нести ответственность за обеспечение достоверности, полноты, точности и актуальности персональных данных, размещенных Заказчиком в Контур.Недвижимости. Все полученные от Заказчика персональные данные обрабатываются в том виде, как они были получены.</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7.10. Исполнитель не будет нести ответственность за несоблюдение Заказчиком организационных и иных мер, приведшее к неправомерному или случайному доступу к персональным данным лиц, не уполномоченных Заказчиком на обработку персональных данных, а также повлекшее их уничтожение, изменение, блокирование, копирование или распространение, а также иные неправомерные действия со стороны работников Заказчика и/или третьих лиц.</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7.11. Исполнитель не будет нести ответственность за действия, совершаемые пользователями Заказчика в Контур.Недвижимости.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7.12. В случае неисполнения и (или) ненадлежащего исполнения Заказчиком обязанности, предусмотренной п. 4.2.6 Договора, Заказчик обязуется самостоятельно и за свой счет урегулировать любые возможные претензии третьих лиц, а также возместить Исполнителю все прямые или косвенные убытки, включая упущенную выгоду.</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7.13.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Договора. При этом Стороны не считают факт заключения Договора конфиденциальной информацией.</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7.14. Ответственность за проверку достоверности информации о владельцах Сертификатов и представление Исполнителю необходимых для выдачи Сертификатов документов несет Заказчик.</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7.15. За каждый случай нарушения Порядка о Сертификатах и ключах, произошедшего по вине Заказчика (неисполнения или ненадлежащего исполнения обязанностей Заказчика по удостоверению личности, проверке полномочий и правоспособности, нарушения сроков передачи документов, предоставленных для выдачи Сертификатов, неправомерных действий Администратора при указании номеров подвижной (мобильной) связи при выдаче Сертификатов, несоответствия представленных копий документов их оригиналам), Заказчик выплачивает Исполнителю штраф в размере 100 000 (сто тысяч) рублей. При этом у Заказчика остается право в течение 10 (десяти) рабочих дней с момента получения от Исполнителя уведомления о выявленном нарушении предоставить доказательства отсутствия его вины. При отсутствии доказательств в установленный срок факт нарушения считается доказанным и произошедшим по вине Заказчика. Исполнитель оставляет за собой право удержать штраф из предварительного платежа, предусмотренного разделом 6 Договора. Уплата штрафа не освобождает Заказчика от возмещения ущерба Исполнителю, нанесенного таким нарушением.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7.16. Исполнитель и Правообладатель уведомляют, что объем информации, которая может быть получена в Контур.Недвижимости, определяется законодательством в области государственной регистрации прав на недвижимое имущество и сделок с ним, а также возможностями по получению и обработке этой информации, в связи с чем Исполнитель и Правообладатель не будут нести ответственность за невозможность получения информации в Контур.Недвижимости, а также за достоверность, актуальность и полноту информации.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7.17. В случае возникновения у Заказчика технических проблем, препятствующих нормальному использованию Контур.Недвижимости, Заказчик обязуется незамедлительно обратиться в техническую поддержку Исполнителя. Исполнитель не будет нести ответственность за возникшие у Заказчика убытки, вызванные техническими проблемами, в случае если Заказчик нарушит обязательство, установленное настоящим пунктом.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7.18. Совокупный размер ответственности Исполнителя по Договору, включая любые убытки (в случае если Заказчик в конкретном случае имеет право на их возмещение), не может превышать стоимость прав и услуг, которые были реализованы Исполнителем Заказчику по Договору в течение одного года, предшествующего моменту возникновения убытков.</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7.19. Стороны освобождаются от ответственности за неисполнение или ненадлежащее исполнение условий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Договор действует в обычном порядке.</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bookmarkStart w:id="0" w:name="_GoBack"/>
      <w:bookmarkStart w:id="1" w:name="_GoBack"/>
      <w:bookmarkEnd w:id="1"/>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8. Обязательства Сторон в области обработки персональных данных</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8.1. Заключение Договора рассматривается Сторонами как поручение Оператора персональных данных (одной из Сторон по Договору) другому лицу, предусмотренное ч. 3 ст. 6 Федерального закона от 27.07.2006 № 152-ФЗ «О персональных данных» (далее – Закон о персональных данных). При этом: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 </w:t>
      </w:r>
      <w:r>
        <w:rPr>
          <w:rFonts w:cs="Times New Roman" w:ascii="Times New Roman" w:hAnsi="Times New Roman"/>
          <w:color w:val="000000"/>
          <w:sz w:val="18"/>
          <w:szCs w:val="18"/>
        </w:rPr>
        <w:t>Заказчик поручает Исполнителю и Правообладателю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запись, систематизацию, накопление, хранение на сервере Правообладателя, уточнение (обновление, изменение) после внесения изменений Заказчиком, извлечение, использование, передачу (предоставление, доступ), в том числе в адрес ПАО «Контур.Банк» (ИНН 6608005109, ОГРН 1026600000074) в случае приобретения услуг Формирование уведомления о сделке, обезличивание, блокирование, удаление, уничтожение персональных данных – исключительно с целью исполнения обязательств, предусмотренных Договором. Заказчик дает поручение Исполнителю и Правообладателю в отношении следующего перечня возможных персональных данных (включая, но не ограничиваясь ФИО, должность, контактные данные), которые Заказчик может разместить в Контур.Недвижимости. Поручение на обработку персональных данных действует до момента удаления персональных данных Заказчиком самостоятельно либо до момента удаления персональных данных Исполнителем (в том числе по требованию Заказчика) в соответствии с условиями Договора.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 </w:t>
      </w:r>
      <w:r>
        <w:rPr>
          <w:rFonts w:cs="Times New Roman" w:ascii="Times New Roman" w:hAnsi="Times New Roman"/>
          <w:color w:val="000000"/>
          <w:sz w:val="18"/>
          <w:szCs w:val="18"/>
        </w:rPr>
        <w:t>Исполнитель поручает Заказчику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запись, систематизацию, накопление, уточнение (обновление, изменение), извлечение, использование, обезличивание, блокирование, удаление, уничтожение персональных данных – исключительно с целью оказания услуг Удостоверяющего центра. Исполнитель дает поручение Заказчику в отношении следующего перечня персональных данных: ФИО, сведения из документа, удостоверяющего личность, СНИЛС, ИНН, должность, контактные данные.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8.2. Заказчик, действуя в качестве Оператора персональных данных, заверяет (по смыслу ст. 431.2 Гражданского кодекса Российской Федерации):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8.2.2. что им получено согласие субъектов персональных данных на обработку принадлежащих им персональных данных с использованием Контур.Недвижимости и технических средств, в том числе на поручение такой обработки Исполнителю и Правообладателю как третьим лицам, а также на передачу принадлежащих им персональных данных в адрес ПАО «Контур.Банк» (ИНН 6608005109, ОГРН 1026600000074) в случае приобретения услуг Формирование уведомления о сделке;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8.2.4. что он не является иностранным юридическим лицом или иностранным физическим лицом.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8.3. Исполнитель, действуя в качестве Оператора персональных данных, заверяет (по смыслу статьи 431.2 Гражданского кодекса Российской Федерации):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8.3.1.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8.3.2. что им получено согласие субъектов персональных данных на обработку принадлежащих им персональных данных с использованием технических средств, в том числе на поручение такой обработки Заказчику как третьему лицу;</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8.3.3.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8.4. Заказчик, Исполнитель и Правообладатель, действуя в качестве лица, обрабатывающего персональные данные по поручению, обязуются: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8.4.1. обеспечивать конфиденциальность персональных данных;</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8.4.2. обрабатывать персональные данные с использованием баз данных, находящихся на территории Российской Федерации;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8.4.3. принимать меры по обеспечению безопасности персональных данных в соответствии со ст. 18.1, 19 Закона о персональных данных, в том числе: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 </w:t>
      </w:r>
      <w:r>
        <w:rPr>
          <w:rFonts w:cs="Times New Roman" w:ascii="Times New Roman" w:hAnsi="Times New Roman"/>
          <w:color w:val="000000"/>
          <w:sz w:val="18"/>
          <w:szCs w:val="18"/>
        </w:rPr>
        <w:t>определять угрозы безопасности персональных данных при их обработке;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 </w:t>
      </w:r>
      <w:r>
        <w:rPr>
          <w:rFonts w:cs="Times New Roman" w:ascii="Times New Roman" w:hAnsi="Times New Roman"/>
          <w:color w:val="000000"/>
          <w:sz w:val="18"/>
          <w:szCs w:val="18"/>
        </w:rPr>
        <w:t>устанавливать правила доступа к обрабатываемым персональным данным;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 </w:t>
      </w:r>
      <w:r>
        <w:rPr>
          <w:rFonts w:cs="Times New Roman" w:ascii="Times New Roman" w:hAnsi="Times New Roman"/>
          <w:color w:val="000000"/>
          <w:sz w:val="18"/>
          <w:szCs w:val="18"/>
        </w:rPr>
        <w:t>обеспечивать обнаружение фактов несанкционированного доступа к персональным данным и принятие мер по их пресечению;</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 </w:t>
      </w:r>
      <w:r>
        <w:rPr>
          <w:rFonts w:cs="Times New Roman" w:ascii="Times New Roman" w:hAnsi="Times New Roman"/>
          <w:color w:val="000000"/>
          <w:sz w:val="18"/>
          <w:szCs w:val="18"/>
        </w:rPr>
        <w:t>проводить оценку эффективности принимаемых мер по обеспечению безопасности персональных данных и контроля за принимаемыми мерами;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8.4.4.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Оператора персональных данных в соответствии с ч. 3.1 ст. 21 Закона о персональных данных;</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8.4.5. по письменному запросу Оператора персональных данных в течение срока действия его поручения на обработку персональных данных, в том числе до обработки персональных данных, предоставлять Оператору персональных данных документы и иную информацию, подтверждающие принятие мер и соблюдение в целях исполнения поручения Оператора требований, установленных ст. 6 Закона о персональных данных.</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8.5. Исполнитель уведомляет, что им и Правообладателем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Исполнителем и Правообладателем на сайте </w:t>
      </w:r>
      <w:hyperlink r:id="rId11">
        <w:r>
          <w:rPr>
            <w:rFonts w:cs="Times New Roman" w:ascii="Times New Roman" w:hAnsi="Times New Roman"/>
            <w:color w:val="0000CD"/>
            <w:sz w:val="18"/>
            <w:szCs w:val="18"/>
          </w:rPr>
          <w:t>https://kontur.ru</w:t>
        </w:r>
      </w:hyperlink>
      <w:r>
        <w:rPr>
          <w:rFonts w:cs="Times New Roman" w:ascii="Times New Roman" w:hAnsi="Times New Roman"/>
          <w:color w:val="000000"/>
          <w:sz w:val="18"/>
          <w:szCs w:val="18"/>
        </w:rPr>
        <w:t>.</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8.6. В случаях, предусмотренных ст. 21 Закона о персональных данных (за исключением ч. 3.1 указанной статьи) Оператор персональных данных обязуется самостоятельно выполнить необходимые действия, а при невозможности самостоятельного их выполнения незамедлительно обратиться к лицу, обрабатывающему персональные данные по поручению, с соответствующим официальным требованием.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8.7. Принимая условия Договора, Заказчик заверяет (по смыслу ст. 431.2 Гражданского кодекса Российской Федерации) о наличии согласий субъектов персональных данных — уполномоченных лиц Заказчика, контактные данные (ФИО, номер телефона, адрес электронной почты) которых передаются Заказчиком Исполнителю, на обработку принадлежащих им персональных данных, в том числе на передачу персональных данных Исполнителю, Правообладателю и Сервисным центрам в целях исполнения Договора, включая совершение массовых и (или) автоматических вызовов (все вызовы Исполнителя, совершаемые с его АТС).</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9. Срок действия Договора. Внесение изменений в условия Договора. Порядок разрешения споров</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9.1. Договор вступает в силу с момента подписания Сторонами и действует до полного исполнения Сторонами своих обязательств. </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9.2. Исполнитель имеет право в одностороннем порядке вносить изменения и/или дополнения в Прайс-лист путем публикации на сайте </w:t>
      </w:r>
      <w:hyperlink r:id="rId12">
        <w:r>
          <w:rPr>
            <w:rFonts w:cs="Times New Roman" w:ascii="Times New Roman" w:hAnsi="Times New Roman"/>
            <w:color w:val="0000CD"/>
            <w:sz w:val="18"/>
            <w:szCs w:val="18"/>
          </w:rPr>
          <w:t>https://kontur.ru/reestro/price</w:t>
        </w:r>
      </w:hyperlink>
      <w:r>
        <w:rPr>
          <w:rFonts w:cs="Times New Roman" w:ascii="Times New Roman" w:hAnsi="Times New Roman"/>
          <w:color w:val="000000"/>
          <w:sz w:val="18"/>
          <w:szCs w:val="18"/>
        </w:rPr>
        <w:t>.</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9.3. Исполнитель имеет право в одностороннем порядке вносить изменения и/или дополнения в Регламент УЦ путем публикации на сайте </w:t>
      </w:r>
      <w:hyperlink r:id="rId13">
        <w:r>
          <w:rPr>
            <w:rFonts w:cs="Times New Roman" w:ascii="Times New Roman" w:hAnsi="Times New Roman"/>
            <w:color w:val="0000CD"/>
            <w:sz w:val="18"/>
            <w:szCs w:val="18"/>
          </w:rPr>
          <w:t>http://ca.sertum.ru</w:t>
        </w:r>
      </w:hyperlink>
      <w:r>
        <w:rPr>
          <w:rFonts w:cs="Times New Roman" w:ascii="Times New Roman" w:hAnsi="Times New Roman"/>
          <w:color w:val="000000"/>
          <w:sz w:val="18"/>
          <w:szCs w:val="18"/>
        </w:rPr>
        <w:t>.</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9.4. Исполнитель имеет право в одностороннем порядке вносить изменения и/или дополнения в Порядок о Сертификатах и ключах путем публикации по адресу </w:t>
      </w:r>
      <w:hyperlink r:id="rId14">
        <w:r>
          <w:rPr>
            <w:rFonts w:cs="Times New Roman" w:ascii="Times New Roman" w:hAnsi="Times New Roman"/>
            <w:color w:val="0000CD"/>
            <w:sz w:val="18"/>
            <w:szCs w:val="18"/>
          </w:rPr>
          <w:t>https://kontur.ru/reestro/document</w:t>
        </w:r>
      </w:hyperlink>
      <w:r>
        <w:rPr>
          <w:rFonts w:cs="Times New Roman" w:ascii="Times New Roman" w:hAnsi="Times New Roman"/>
          <w:color w:val="000000"/>
          <w:sz w:val="18"/>
          <w:szCs w:val="18"/>
        </w:rPr>
        <w:t>. Указанные изменения и (или) дополнения становятся обязательным для Заказчика с момента их публикации.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9.5. Исполнитель имеет право в одностороннем порядке вносить изменения и/или дополнения в Условия размещения и перечисления денежных средств участников сделок с недвижимым имуществом с использованием номинального счета и Сервиса безопасных расчетов для сделок Контур.Недвижимости путем публикации по адресу </w:t>
      </w:r>
      <w:hyperlink r:id="rId15">
        <w:r>
          <w:rPr>
            <w:rFonts w:cs="Times New Roman" w:ascii="Times New Roman" w:hAnsi="Times New Roman"/>
            <w:color w:val="0000CD"/>
            <w:sz w:val="18"/>
            <w:szCs w:val="18"/>
          </w:rPr>
          <w:t>https://kontur.ru/reestro/docs</w:t>
        </w:r>
      </w:hyperlink>
      <w:r>
        <w:rPr>
          <w:rFonts w:cs="Times New Roman" w:ascii="Times New Roman" w:hAnsi="Times New Roman"/>
          <w:color w:val="000000"/>
          <w:sz w:val="18"/>
          <w:szCs w:val="18"/>
        </w:rPr>
        <w:t>.</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9.6. Исполнитель имеет право в одностороннем порядке вносить изменения и/или дополнения в договоры оказания услуг для клиентов сервиса Цифровой ипотечный брокер путем публикации по адресу </w:t>
      </w:r>
      <w:hyperlink r:id="rId16">
        <w:r>
          <w:rPr>
            <w:rFonts w:cs="Times New Roman" w:ascii="Times New Roman" w:hAnsi="Times New Roman"/>
            <w:color w:val="0000CD"/>
            <w:sz w:val="18"/>
            <w:szCs w:val="18"/>
          </w:rPr>
          <w:t>https://kontur.ru/reestro/docs</w:t>
        </w:r>
      </w:hyperlink>
      <w:r>
        <w:rPr>
          <w:rFonts w:cs="Times New Roman" w:ascii="Times New Roman" w:hAnsi="Times New Roman"/>
          <w:color w:val="000000"/>
          <w:sz w:val="18"/>
          <w:szCs w:val="18"/>
        </w:rPr>
        <w:t>.</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9.7. В случае нарушения Заказчиком условий Договора, а также Порядка о сертификатах и ключах при использовании функциональности Контур.Недвижимости по взаимодействию с Удостоверяющим центром Исполнителя Исполнитель вправе незамедлительно блокировать доступ к серверу Контур.Недвижимости без предварительного уведомления Заказчика, а также досрочно расторгнуть Договор.</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9.8. Все споры и разногласия, возникающие в связи с исполнением и (или) толкованием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Арбитражном суде Красноярского края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10. Заверения об обстоятельствах</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10.1. Каждая из Сторон (для Заказчиков – юридических лиц и индивидуальных предпринимателей) заявляет и подтверждает другой Стороне, что на момент заключения Договора: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фактически находится по адресу, указанному в ЕГРЮЛ/ЕГРИП;</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Договора и исполнения обязательств по нему.</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10.2. Стороны подтверждают, что:</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Договора;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Договор не нарушает какие-либо права на объекты интеллектуальной собственности или иных имущественных прав какого-либо третьего лица;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исполнение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все полномочия, необходимые для заключения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 Российской Федерации.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10.3. Заказчик гарантирует актуальность, достоверность и подлинность документов и сведений, представленных им для государственной регистрации прав и (или) сделок. Заказчик также гарантирует, что содержание документов и сведений, в том числе существенные условия сделки, выражают волю участников сделки.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10.4. Сторона, полагавшаяся на недостоверные заверения другой Стороны, вправе досрочно расторгнуть Договор, независимо от наличия или отсутствия у нее убытков, а также потребовать возмещение убытков, причиненных недостоверностью таких заверений.</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10.5. Стороны (для Заказчиков – юридических лиц и индивидуальных предпринимателей)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11. Дополнительные условия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11.1. Приложениями к Договору являются: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 </w:t>
      </w:r>
      <w:r>
        <w:rPr>
          <w:rFonts w:cs="Times New Roman" w:ascii="Times New Roman" w:hAnsi="Times New Roman"/>
          <w:color w:val="000000"/>
          <w:sz w:val="18"/>
          <w:szCs w:val="18"/>
        </w:rPr>
        <w:t>Спецификация (Приложение № 1);</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 </w:t>
      </w:r>
      <w:r>
        <w:rPr>
          <w:rFonts w:cs="Times New Roman" w:ascii="Times New Roman" w:hAnsi="Times New Roman"/>
          <w:color w:val="000000"/>
          <w:sz w:val="18"/>
          <w:szCs w:val="18"/>
        </w:rPr>
        <w:t>Сублицензионный договор на право использования программы для ЭВМ «Контур.Недвижимость» (Приложение № 2);</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 xml:space="preserve">− </w:t>
      </w:r>
      <w:r>
        <w:rPr>
          <w:rFonts w:cs="Times New Roman" w:ascii="Times New Roman" w:hAnsi="Times New Roman"/>
          <w:color w:val="000000"/>
          <w:sz w:val="18"/>
          <w:szCs w:val="18"/>
        </w:rPr>
        <w:t>Сублицензионный договор на использование программы для ЭВМ СКЗИ «КриптоПро» (Приложение № 3).</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11.2. Стороны договорились о возможности использования факсимиле подписи уполномоченного лица Исполнителя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Исполнителя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Контур.Диадоке.</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11.4. Принимая условия Договора, Заказчик дает согласие на получение от Исполнителя и/или Сервисного центра дополнительной информации и информационных рассылок по указанным при регистрации, а также предоставленным Исполнителю и/или Сервисному центру в ходе исполнения Договора или указанным в разделе 12 Договора адресам электронной почты и телефонам.</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11.5. Принимая условия Договора, Заказчик соглашается на массовые и (или) автоматические телефонные вызовы (все вызовы Исполнителя,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Исполнителя на номер подвижной мобильной связи или адрес электронной почты, с которых произведено обращение, либо указанные уполномоченным лицом Заказчика. Согласие распространяется в том числе, но не ограничиваясь на информирование о результатах обращения в Федеральный контакт-центр Исполнителя, о результатах выполнения работ, оказания услуг, о необходимости обновления/проведения необходимых доработок интеграционных модулей.</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11.6. Принимая условия Договора, Заказчик подтверждает наличие у него законных оснований для обработки с использованием Контур.Недвижимости принадлежащей ему информации.</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11.7. Заказчик подтверждает, что по смыслу п. 4 ст. 185 Гражданского кодекса Российской Федерации все действия, совершаемые пользователями Заказчика в Контур.Недвижимости, признаются Заказчиком совершаемыми от имени и в интересах Заказчика.</w:t>
      </w:r>
    </w:p>
    <w:p>
      <w:pPr>
        <w:pStyle w:val="Normal"/>
        <w:widowControl w:val="false"/>
        <w:spacing w:lineRule="auto" w:line="240" w:before="0" w:after="0"/>
        <w:jc w:val="both"/>
        <w:rPr>
          <w:rFonts w:ascii="Times New Roman" w:hAnsi="Times New Roman" w:cs="Times New Roman"/>
          <w:color w:val="000000"/>
          <w:sz w:val="18"/>
          <w:szCs w:val="18"/>
        </w:rPr>
      </w:pPr>
      <w:r>
        <w:rPr>
          <w:rFonts w:cs="Times New Roman" w:ascii="Times New Roman" w:hAnsi="Times New Roman"/>
          <w:color w:val="000000"/>
          <w:sz w:val="18"/>
          <w:szCs w:val="18"/>
        </w:rPr>
        <w:t>11.8. Исполнитель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Договора, вносить изменения в договор-оферту, публикуемый в Контур.Недвижимости.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Заказчика.</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t>12. Реквизиты и подписи Сторон</w:t>
      </w:r>
    </w:p>
    <w:p>
      <w:pPr>
        <w:pStyle w:val="Normal"/>
        <w:widowControl w:val="false"/>
        <w:spacing w:lineRule="auto" w:line="240" w:before="0" w:after="0"/>
        <w:jc w:val="both"/>
        <w:rPr>
          <w:rFonts w:ascii="Times New Roman" w:hAnsi="Times New Roman" w:cs="Times New Roman"/>
          <w:b/>
          <w:bCs/>
          <w:color w:val="000000"/>
          <w:sz w:val="18"/>
          <w:szCs w:val="18"/>
        </w:rPr>
      </w:pPr>
      <w:r>
        <w:rPr>
          <w:rFonts w:cs="Times New Roman" w:ascii="Times New Roman" w:hAnsi="Times New Roman"/>
          <w:b/>
          <w:bCs/>
          <w:color w:val="000000"/>
          <w:sz w:val="18"/>
          <w:szCs w:val="18"/>
        </w:rPr>
      </w:r>
    </w:p>
    <w:tbl>
      <w:tblPr>
        <w:tblW w:w="10374"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5188"/>
        <w:gridCol w:w="5185"/>
      </w:tblGrid>
      <w:tr>
        <w:trPr/>
        <w:tc>
          <w:tcPr>
            <w:tcW w:w="5188" w:type="dxa"/>
            <w:tcBorders/>
          </w:tcPr>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t>ИСПОЛНИТЕЛЬ</w:t>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c>
          <w:tcPr>
            <w:tcW w:w="5185" w:type="dxa"/>
            <w:tcBorders/>
          </w:tcPr>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t>ЗАКАЗЧИК</w:t>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t>ПАО «РУСГИДРО»</w:t>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t>Юридический/почтовый адрес:660049, Красноярский край, г.о. город Красноярск, г. Красноярск, ул. Перенсона, зд. 2А, помещ. 1</w:t>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t>ИНН: 2460066195   КПП: 246601001</w:t>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t>Р/счет №: 40702810438090001390</w:t>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t>кор/счет №: 30101810400000000225</w:t>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t>в ПАО Сбербанк</w:t>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t>БИК: 044525225</w:t>
            </w:r>
          </w:p>
        </w:tc>
      </w:tr>
      <w:tr>
        <w:trPr/>
        <w:tc>
          <w:tcPr>
            <w:tcW w:w="5188" w:type="dxa"/>
            <w:tcBorders/>
          </w:tcPr>
          <w:p>
            <w:pPr>
              <w:pStyle w:val="Normal"/>
              <w:widowControl w:val="false"/>
              <w:spacing w:before="0" w:after="0"/>
              <w:rPr/>
            </w:pPr>
            <w:r>
              <w:rPr/>
            </w:r>
          </w:p>
          <w:tbl>
            <w:tblPr>
              <w:tblW w:w="5102"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2552"/>
              <w:gridCol w:w="2549"/>
            </w:tblGrid>
            <w:tr>
              <w:trPr>
                <w:trHeight w:val="283" w:hRule="atLeast"/>
              </w:trPr>
              <w:tc>
                <w:tcPr>
                  <w:tcW w:w="5101" w:type="dxa"/>
                  <w:gridSpan w:val="2"/>
                  <w:tcBorders/>
                </w:tcPr>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r>
            <w:tr>
              <w:trPr>
                <w:trHeight w:val="283" w:hRule="atLeast"/>
              </w:trPr>
              <w:tc>
                <w:tcPr>
                  <w:tcW w:w="5101" w:type="dxa"/>
                  <w:gridSpan w:val="2"/>
                  <w:tcBorders/>
                </w:tcPr>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r>
            <w:tr>
              <w:trPr>
                <w:trHeight w:val="170" w:hRule="atLeast"/>
              </w:trPr>
              <w:tc>
                <w:tcPr>
                  <w:tcW w:w="2552" w:type="dxa"/>
                  <w:tcBorders>
                    <w:bottom w:val="single" w:sz="6" w:space="0" w:color="000000"/>
                  </w:tcBorders>
                </w:tcPr>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c>
                <w:tcPr>
                  <w:tcW w:w="2549" w:type="dxa"/>
                  <w:tcBorders/>
                </w:tcPr>
                <w:p>
                  <w:pPr>
                    <w:pStyle w:val="Normal"/>
                    <w:widowControl w:val="false"/>
                    <w:spacing w:lineRule="auto" w:line="240" w:before="0" w:after="0"/>
                    <w:rPr>
                      <w:rFonts w:ascii="Times" w:hAnsi="Times"/>
                      <w:color w:val="000000"/>
                      <w:sz w:val="18"/>
                      <w:lang w:val="en-US"/>
                    </w:rPr>
                  </w:pPr>
                  <w:r>
                    <w:rPr>
                      <w:rFonts w:ascii="Times" w:hAnsi="Times"/>
                      <w:color w:val="000000"/>
                      <w:sz w:val="18"/>
                      <w:lang w:val="en-US"/>
                    </w:rPr>
                  </w:r>
                </w:p>
              </w:tc>
            </w:tr>
            <w:tr>
              <w:trPr>
                <w:trHeight w:val="170" w:hRule="atLeast"/>
              </w:trPr>
              <w:tc>
                <w:tcPr>
                  <w:tcW w:w="5101" w:type="dxa"/>
                  <w:gridSpan w:val="2"/>
                  <w:tcBorders/>
                </w:tcPr>
                <w:p>
                  <w:pPr>
                    <w:pStyle w:val="Normal"/>
                    <w:widowControl w:val="false"/>
                    <w:spacing w:lineRule="auto" w:line="240" w:before="0" w:after="0"/>
                    <w:jc w:val="center"/>
                    <w:rPr>
                      <w:rFonts w:ascii="Times New Roman" w:hAnsi="Times New Roman" w:cs="Times New Roman"/>
                      <w:color w:val="000000"/>
                      <w:sz w:val="18"/>
                      <w:szCs w:val="18"/>
                    </w:rPr>
                  </w:pPr>
                  <w:r>
                    <w:rPr>
                      <w:rFonts w:cs="Times New Roman" w:ascii="Times New Roman" w:hAnsi="Times New Roman"/>
                      <w:color w:val="000000"/>
                      <w:sz w:val="18"/>
                      <w:szCs w:val="18"/>
                    </w:rPr>
                    <w:t>М.П.</w:t>
                  </w:r>
                </w:p>
              </w:tc>
            </w:tr>
          </w:tbl>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c>
          <w:tcPr>
            <w:tcW w:w="5185" w:type="dxa"/>
            <w:tcBorders/>
          </w:tcPr>
          <w:tbl>
            <w:tblPr>
              <w:tblW w:w="5102"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2552"/>
              <w:gridCol w:w="2549"/>
            </w:tblGrid>
            <w:tr>
              <w:trPr>
                <w:trHeight w:val="283" w:hRule="atLeast"/>
              </w:trPr>
              <w:tc>
                <w:tcPr>
                  <w:tcW w:w="5101" w:type="dxa"/>
                  <w:gridSpan w:val="2"/>
                  <w:tcBorders/>
                </w:tcPr>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r>
            <w:tr>
              <w:trPr>
                <w:trHeight w:val="283" w:hRule="atLeast"/>
              </w:trPr>
              <w:tc>
                <w:tcPr>
                  <w:tcW w:w="5101" w:type="dxa"/>
                  <w:gridSpan w:val="2"/>
                  <w:tcBorders/>
                </w:tcPr>
                <w:p>
                  <w:pPr>
                    <w:pStyle w:val="Normal"/>
                    <w:widowControl w:val="false"/>
                    <w:spacing w:lineRule="auto" w:line="240" w:before="0" w:after="0"/>
                    <w:rPr>
                      <w:rFonts w:ascii="Times New Roman" w:hAnsi="Times New Roman" w:cs="Times New Roman"/>
                      <w:color w:val="000000"/>
                      <w:sz w:val="18"/>
                      <w:szCs w:val="18"/>
                    </w:rPr>
                  </w:pPr>
                  <w:r>
                    <w:rPr>
                      <w:rFonts w:cs="Times" w:ascii="Times" w:hAnsi="Times"/>
                      <w:color w:val="000000"/>
                      <w:sz w:val="18"/>
                      <w:szCs w:val="18"/>
                    </w:rPr>
                    <w:t>Директор Департамента информационных технологий и цифрового развития</w:t>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r>
            <w:tr>
              <w:trPr>
                <w:trHeight w:val="170" w:hRule="atLeast"/>
              </w:trPr>
              <w:tc>
                <w:tcPr>
                  <w:tcW w:w="2552" w:type="dxa"/>
                  <w:tcBorders>
                    <w:bottom w:val="single" w:sz="6" w:space="0" w:color="000000"/>
                  </w:tcBorders>
                </w:tcPr>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c>
                <w:tcPr>
                  <w:tcW w:w="2549" w:type="dxa"/>
                  <w:tcBorders/>
                </w:tcPr>
                <w:p>
                  <w:pPr>
                    <w:pStyle w:val="Normal"/>
                    <w:widowControl w:val="false"/>
                    <w:spacing w:lineRule="auto" w:line="240" w:before="0" w:after="0"/>
                    <w:rPr>
                      <w:rFonts w:ascii="Times New Roman" w:hAnsi="Times New Roman" w:cs="Times New Roman"/>
                      <w:color w:val="000000"/>
                      <w:sz w:val="18"/>
                      <w:szCs w:val="18"/>
                    </w:rPr>
                  </w:pPr>
                  <w:r>
                    <w:rPr>
                      <w:rFonts w:cs="Times" w:ascii="Times" w:hAnsi="Times"/>
                      <w:color w:val="000000"/>
                      <w:sz w:val="18"/>
                      <w:szCs w:val="18"/>
                    </w:rPr>
                    <w:t>С.В. Хомяков</w:t>
                  </w:r>
                </w:p>
              </w:tc>
            </w:tr>
            <w:tr>
              <w:trPr>
                <w:trHeight w:val="170" w:hRule="atLeast"/>
              </w:trPr>
              <w:tc>
                <w:tcPr>
                  <w:tcW w:w="5101" w:type="dxa"/>
                  <w:gridSpan w:val="2"/>
                  <w:tcBorders/>
                </w:tcPr>
                <w:p>
                  <w:pPr>
                    <w:pStyle w:val="Normal"/>
                    <w:widowControl w:val="false"/>
                    <w:spacing w:lineRule="auto" w:line="240" w:before="0" w:after="0"/>
                    <w:jc w:val="center"/>
                    <w:rPr>
                      <w:rFonts w:ascii="Times New Roman" w:hAnsi="Times New Roman" w:cs="Times New Roman"/>
                      <w:color w:val="000000"/>
                      <w:sz w:val="18"/>
                      <w:szCs w:val="18"/>
                    </w:rPr>
                  </w:pPr>
                  <w:r>
                    <w:rPr>
                      <w:rFonts w:cs="Times New Roman" w:ascii="Times New Roman" w:hAnsi="Times New Roman"/>
                      <w:color w:val="000000"/>
                      <w:sz w:val="18"/>
                      <w:szCs w:val="18"/>
                    </w:rPr>
                    <w:t>М.П.</w:t>
                  </w:r>
                </w:p>
              </w:tc>
            </w:tr>
          </w:tbl>
          <w:p>
            <w:pPr>
              <w:pStyle w:val="Normal"/>
              <w:widowControl w:val="false"/>
              <w:spacing w:lineRule="auto" w:line="240" w:before="0" w:after="0"/>
              <w:rPr>
                <w:rFonts w:ascii="Times New Roman" w:hAnsi="Times New Roman" w:cs="Times New Roman"/>
                <w:color w:val="000000"/>
                <w:sz w:val="18"/>
                <w:szCs w:val="18"/>
              </w:rPr>
            </w:pPr>
            <w:r>
              <w:rPr>
                <w:rFonts w:cs="Times New Roman" w:ascii="Times New Roman" w:hAnsi="Times New Roman"/>
                <w:color w:val="000000"/>
                <w:sz w:val="18"/>
                <w:szCs w:val="18"/>
              </w:rPr>
            </w:r>
          </w:p>
        </w:tc>
      </w:tr>
    </w:tbl>
    <w:p>
      <w:pPr>
        <w:sectPr>
          <w:type w:val="nextPage"/>
          <w:pgSz w:w="11906" w:h="16838"/>
          <w:pgMar w:left="851" w:right="851" w:gutter="0" w:header="0" w:top="851" w:footer="0" w:bottom="851"/>
          <w:pgNumType w:fmt="decimal"/>
          <w:formProt w:val="false"/>
          <w:textDirection w:val="lrTb"/>
          <w:docGrid w:type="default" w:linePitch="299" w:charSpace="8192"/>
        </w:sectPr>
        <w:pStyle w:val="Normal"/>
        <w:rPr/>
      </w:pPr>
      <w:r>
        <w:rPr/>
      </w:r>
    </w:p>
    <w:tbl>
      <w:tblPr>
        <w:tblW w:w="10600"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1133"/>
        <w:gridCol w:w="9069"/>
        <w:gridCol w:w="398"/>
      </w:tblGrid>
      <w:tr>
        <w:trPr/>
        <w:tc>
          <w:tcPr>
            <w:tcW w:w="1133" w:type="dxa"/>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r>
          </w:p>
        </w:tc>
        <w:tc>
          <w:tcPr>
            <w:tcW w:w="9069" w:type="dxa"/>
            <w:tcBorders/>
          </w:tcPr>
          <w:p>
            <w:pPr>
              <w:pStyle w:val="Normal"/>
              <w:widowControl w:val="false"/>
              <w:spacing w:lineRule="auto" w:line="240" w:before="0" w:after="0"/>
              <w:jc w:val="right"/>
              <w:rPr>
                <w:rFonts w:ascii="Times New Roman" w:hAnsi="Times New Roman" w:cs="Times New Roman"/>
                <w:b/>
                <w:bCs/>
                <w:color w:val="000000"/>
                <w:sz w:val="18"/>
                <w:szCs w:val="18"/>
              </w:rPr>
            </w:pPr>
            <w:r>
              <w:rPr>
                <w:rFonts w:cs="Times New Roman" w:ascii="Times New Roman" w:hAnsi="Times New Roman"/>
                <w:b/>
                <w:bCs/>
                <w:color w:val="000000"/>
                <w:sz w:val="18"/>
                <w:szCs w:val="18"/>
              </w:rPr>
              <w:t>Приложение 1</w:t>
            </w:r>
          </w:p>
          <w:p>
            <w:pPr>
              <w:pStyle w:val="Normal"/>
              <w:widowControl w:val="false"/>
              <w:spacing w:lineRule="auto" w:line="240" w:before="0" w:after="0"/>
              <w:jc w:val="right"/>
              <w:rPr>
                <w:rFonts w:ascii="Times New Roman" w:hAnsi="Times New Roman" w:cs="Times New Roman"/>
                <w:color w:val="000000"/>
                <w:sz w:val="17"/>
                <w:szCs w:val="17"/>
              </w:rPr>
            </w:pPr>
            <w:r>
              <w:rPr>
                <w:rFonts w:cs="Times New Roman" w:ascii="Times New Roman" w:hAnsi="Times New Roman"/>
                <w:color w:val="000000"/>
                <w:sz w:val="18"/>
                <w:szCs w:val="18"/>
              </w:rPr>
              <w:t>к договору № 1</w:t>
            </w:r>
            <w:r>
              <w:rPr>
                <w:rFonts w:cs="Times New Roman" w:ascii="Times New Roman" w:hAnsi="Times New Roman"/>
                <w:color w:val="000000"/>
                <w:sz w:val="17"/>
                <w:szCs w:val="17"/>
              </w:rPr>
              <w:t xml:space="preserve">  </w:t>
            </w:r>
          </w:p>
        </w:tc>
        <w:tc>
          <w:tcPr>
            <w:tcW w:w="398" w:type="dxa"/>
            <w:tcBorders/>
          </w:tcPr>
          <w:p>
            <w:pPr>
              <w:pStyle w:val="Normal"/>
              <w:widowControl w:val="false"/>
              <w:spacing w:before="0" w:after="200"/>
              <w:rPr/>
            </w:pPr>
            <w:r>
              <w:rPr/>
            </w:r>
          </w:p>
        </w:tc>
      </w:tr>
      <w:tr>
        <w:trPr/>
        <w:tc>
          <w:tcPr>
            <w:tcW w:w="10600" w:type="dxa"/>
            <w:gridSpan w:val="3"/>
            <w:tcBorders/>
          </w:tcPr>
          <w:p>
            <w:pPr>
              <w:pStyle w:val="Normal"/>
              <w:widowControl w:val="false"/>
              <w:spacing w:lineRule="auto" w:line="240" w:before="0" w:after="0"/>
              <w:jc w:val="center"/>
              <w:rPr>
                <w:rFonts w:ascii="Times New Roman" w:hAnsi="Times New Roman" w:cs="Times New Roman"/>
                <w:b/>
                <w:bCs/>
                <w:color w:val="000000"/>
                <w:sz w:val="17"/>
                <w:szCs w:val="17"/>
              </w:rPr>
            </w:pPr>
            <w:r>
              <w:rPr>
                <w:rFonts w:cs="Times New Roman" w:ascii="Times New Roman" w:hAnsi="Times New Roman"/>
                <w:b/>
                <w:bCs/>
                <w:color w:val="000000"/>
                <w:sz w:val="17"/>
                <w:szCs w:val="17"/>
              </w:rPr>
            </w:r>
          </w:p>
          <w:p>
            <w:pPr>
              <w:pStyle w:val="Normal"/>
              <w:widowControl w:val="false"/>
              <w:spacing w:lineRule="auto" w:line="240" w:before="0" w:after="0"/>
              <w:jc w:val="center"/>
              <w:rPr>
                <w:rFonts w:ascii="Times New Roman" w:hAnsi="Times New Roman" w:cs="Times New Roman"/>
                <w:b/>
                <w:bCs/>
                <w:color w:val="000000"/>
                <w:sz w:val="17"/>
                <w:szCs w:val="17"/>
              </w:rPr>
            </w:pPr>
            <w:r>
              <w:rPr>
                <w:rFonts w:cs="Times New Roman" w:ascii="Times New Roman" w:hAnsi="Times New Roman"/>
                <w:b/>
                <w:bCs/>
                <w:color w:val="000000"/>
                <w:sz w:val="17"/>
                <w:szCs w:val="17"/>
              </w:rPr>
              <w:t xml:space="preserve">Спецификация №1 от </w:t>
            </w:r>
          </w:p>
          <w:p>
            <w:pPr>
              <w:pStyle w:val="Normal"/>
              <w:widowControl w:val="false"/>
              <w:spacing w:lineRule="auto" w:line="240" w:before="0" w:after="0"/>
              <w:jc w:val="center"/>
              <w:rPr>
                <w:rFonts w:ascii="Times New Roman" w:hAnsi="Times New Roman" w:cs="Times New Roman"/>
                <w:color w:val="000000"/>
                <w:sz w:val="17"/>
                <w:szCs w:val="17"/>
              </w:rPr>
            </w:pPr>
            <w:r>
              <w:rPr>
                <w:rFonts w:cs="Times New Roman" w:ascii="Times New Roman" w:hAnsi="Times New Roman"/>
                <w:color w:val="000000"/>
                <w:sz w:val="17"/>
                <w:szCs w:val="17"/>
              </w:rPr>
              <w:t>с ПАО «РУСГИДРО» (ИНН 2460066195; КПП 246601001)</w:t>
            </w:r>
          </w:p>
        </w:tc>
      </w:tr>
    </w:tbl>
    <w:p>
      <w:pPr>
        <w:pStyle w:val="Normal"/>
        <w:widowControl w:val="false"/>
        <w:spacing w:lineRule="auto" w:line="240" w:before="226" w:after="113"/>
        <w:rPr>
          <w:rFonts w:ascii="Times New Roman" w:hAnsi="Times New Roman" w:cs="Times New Roman"/>
          <w:color w:val="000000"/>
          <w:sz w:val="17"/>
          <w:szCs w:val="17"/>
        </w:rPr>
      </w:pPr>
      <w:r>
        <w:rPr>
          <w:rFonts w:cs="Times New Roman" w:ascii="Times New Roman" w:hAnsi="Times New Roman"/>
          <w:color w:val="000000"/>
          <w:sz w:val="17"/>
          <w:szCs w:val="17"/>
        </w:rPr>
        <w:t>1.1. Право использования программы для ЭВМ</w:t>
      </w:r>
    </w:p>
    <w:tbl>
      <w:tblPr>
        <w:tblW w:w="10201" w:type="dxa"/>
        <w:jc w:val="left"/>
        <w:tblInd w:w="56" w:type="dxa"/>
        <w:tblLayout w:type="fixed"/>
        <w:tblCellMar>
          <w:top w:w="28" w:type="dxa"/>
          <w:left w:w="56" w:type="dxa"/>
          <w:bottom w:w="28" w:type="dxa"/>
          <w:right w:w="56" w:type="dxa"/>
        </w:tblCellMar>
        <w:tblLook w:val="0000" w:noHBand="0" w:noVBand="0" w:firstColumn="0" w:lastRow="0" w:lastColumn="0" w:firstRow="0"/>
      </w:tblPr>
      <w:tblGrid>
        <w:gridCol w:w="334"/>
        <w:gridCol w:w="3406"/>
        <w:gridCol w:w="453"/>
        <w:gridCol w:w="566"/>
        <w:gridCol w:w="907"/>
        <w:gridCol w:w="1249"/>
        <w:gridCol w:w="1188"/>
        <w:gridCol w:w="852"/>
        <w:gridCol w:w="1245"/>
      </w:tblGrid>
      <w:tr>
        <w:trPr>
          <w:tblHeader w:val="true"/>
        </w:trPr>
        <w:tc>
          <w:tcPr>
            <w:tcW w:w="3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w:t>
            </w:r>
          </w:p>
        </w:tc>
        <w:tc>
          <w:tcPr>
            <w:tcW w:w="3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Цена</w:t>
            </w:r>
          </w:p>
        </w:tc>
        <w:tc>
          <w:tcPr>
            <w:tcW w:w="12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Стоимость без налога</w:t>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Налоговая ставка</w:t>
            </w:r>
          </w:p>
        </w:tc>
        <w:tc>
          <w:tcPr>
            <w:tcW w:w="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Сумма налога</w:t>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b/>
                <w:bCs/>
                <w:color w:val="000000"/>
                <w:sz w:val="18"/>
                <w:szCs w:val="18"/>
              </w:rPr>
            </w:pPr>
            <w:r>
              <w:rPr>
                <w:rFonts w:cs="Times New Roman" w:ascii="Times New Roman" w:hAnsi="Times New Roman"/>
                <w:b/>
                <w:bCs/>
                <w:color w:val="000000"/>
                <w:sz w:val="18"/>
                <w:szCs w:val="18"/>
              </w:rPr>
              <w:t>Стоимость с налогом</w:t>
            </w:r>
          </w:p>
        </w:tc>
      </w:tr>
      <w:tr>
        <w:trPr/>
        <w:tc>
          <w:tcPr>
            <w:tcW w:w="33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color w:val="000000"/>
                <w:sz w:val="16"/>
                <w:szCs w:val="16"/>
              </w:rPr>
            </w:pPr>
            <w:r>
              <w:rPr>
                <w:rFonts w:cs="Times New Roman" w:ascii="Times New Roman" w:hAnsi="Times New Roman"/>
                <w:color w:val="000000"/>
                <w:sz w:val="16"/>
                <w:szCs w:val="16"/>
              </w:rPr>
              <w:t>1</w:t>
            </w:r>
          </w:p>
        </w:tc>
        <w:tc>
          <w:tcPr>
            <w:tcW w:w="340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rPr>
                <w:rFonts w:ascii="Times New Roman" w:hAnsi="Times New Roman" w:cs="Times New Roman"/>
                <w:color w:val="000000"/>
                <w:sz w:val="16"/>
                <w:szCs w:val="16"/>
              </w:rPr>
            </w:pPr>
            <w:r>
              <w:rPr>
                <w:rFonts w:cs="Times New Roman" w:ascii="Times New Roman" w:hAnsi="Times New Roman"/>
                <w:color w:val="000000"/>
                <w:sz w:val="16"/>
                <w:szCs w:val="16"/>
              </w:rPr>
              <w:t xml:space="preserve">Право использования программы для ЭВМ «Контур.Недвижимость» по тарифному плану «Отчеты об объектах недвижимости» сроком действия не более 12 месяцев, </w:t>
            </w:r>
            <w:r>
              <w:rPr>
                <w:rFonts w:cs="Times New Roman" w:ascii="Times New Roman" w:hAnsi="Times New Roman"/>
                <w:color w:val="000000"/>
                <w:sz w:val="16"/>
                <w:szCs w:val="16"/>
              </w:rPr>
              <w:t>7</w:t>
            </w:r>
            <w:r>
              <w:rPr>
                <w:rFonts w:cs="Times New Roman" w:ascii="Times New Roman" w:hAnsi="Times New Roman"/>
                <w:color w:val="000000"/>
                <w:sz w:val="16"/>
                <w:szCs w:val="16"/>
              </w:rPr>
              <w:t>50 отчетов об объектах</w:t>
            </w:r>
          </w:p>
        </w:tc>
        <w:tc>
          <w:tcPr>
            <w:tcW w:w="45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color w:val="000000"/>
                <w:sz w:val="16"/>
                <w:szCs w:val="16"/>
              </w:rPr>
            </w:pPr>
            <w:r>
              <w:rPr>
                <w:rFonts w:cs="Times New Roman" w:ascii="Times New Roman" w:hAnsi="Times New Roman"/>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color w:val="000000"/>
                <w:sz w:val="16"/>
                <w:szCs w:val="16"/>
              </w:rPr>
            </w:pPr>
            <w:r>
              <w:rPr>
                <w:rFonts w:cs="Times New Roman" w:ascii="Times New Roman" w:hAnsi="Times New Roman"/>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right"/>
              <w:rPr>
                <w:rFonts w:ascii="Times New Roman" w:hAnsi="Times New Roman" w:cs="Times New Roman"/>
                <w:color w:val="000000"/>
                <w:sz w:val="16"/>
                <w:szCs w:val="16"/>
              </w:rPr>
            </w:pPr>
            <w:r>
              <w:rPr>
                <w:rFonts w:cs="Times New Roman" w:ascii="Times New Roman" w:hAnsi="Times New Roman"/>
                <w:color w:val="000000"/>
                <w:sz w:val="16"/>
                <w:szCs w:val="16"/>
              </w:rPr>
            </w:r>
          </w:p>
        </w:tc>
        <w:tc>
          <w:tcPr>
            <w:tcW w:w="12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right"/>
              <w:rPr>
                <w:rFonts w:ascii="Times New Roman" w:hAnsi="Times New Roman" w:cs="Times New Roman"/>
                <w:color w:val="000000"/>
                <w:sz w:val="16"/>
                <w:szCs w:val="16"/>
              </w:rPr>
            </w:pPr>
            <w:r>
              <w:rPr>
                <w:rFonts w:cs="Times New Roman" w:ascii="Times New Roman" w:hAnsi="Times New Roman"/>
                <w:color w:val="000000"/>
                <w:sz w:val="16"/>
                <w:szCs w:val="16"/>
              </w:rPr>
            </w:r>
          </w:p>
        </w:tc>
        <w:tc>
          <w:tcPr>
            <w:tcW w:w="118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color w:val="000000"/>
                <w:sz w:val="16"/>
                <w:szCs w:val="16"/>
              </w:rPr>
            </w:pPr>
            <w:r>
              <w:rPr>
                <w:rFonts w:cs="Times New Roman" w:ascii="Times New Roman" w:hAnsi="Times New Roman"/>
                <w:color w:val="000000"/>
                <w:sz w:val="16"/>
                <w:szCs w:val="16"/>
              </w:rPr>
            </w:r>
          </w:p>
        </w:tc>
        <w:tc>
          <w:tcPr>
            <w:tcW w:w="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center"/>
              <w:rPr>
                <w:rFonts w:ascii="Times New Roman" w:hAnsi="Times New Roman" w:cs="Times New Roman"/>
                <w:color w:val="000000"/>
                <w:sz w:val="16"/>
                <w:szCs w:val="16"/>
              </w:rPr>
            </w:pPr>
            <w:r>
              <w:rPr>
                <w:rFonts w:cs="Times New Roman" w:ascii="Times New Roman" w:hAnsi="Times New Roman"/>
                <w:color w:val="000000"/>
                <w:sz w:val="16"/>
                <w:szCs w:val="16"/>
              </w:rPr>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right"/>
              <w:rPr>
                <w:rFonts w:ascii="Times New Roman" w:hAnsi="Times New Roman" w:cs="Times New Roman"/>
                <w:color w:val="000000"/>
                <w:sz w:val="16"/>
                <w:szCs w:val="16"/>
              </w:rPr>
            </w:pPr>
            <w:r>
              <w:rPr>
                <w:rFonts w:cs="Times New Roman" w:ascii="Times New Roman" w:hAnsi="Times New Roman"/>
                <w:color w:val="000000"/>
                <w:sz w:val="16"/>
                <w:szCs w:val="16"/>
              </w:rPr>
            </w:r>
          </w:p>
        </w:tc>
      </w:tr>
      <w:tr>
        <w:trPr/>
        <w:tc>
          <w:tcPr>
            <w:tcW w:w="8103" w:type="dxa"/>
            <w:gridSpan w:val="7"/>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right"/>
              <w:rPr>
                <w:rFonts w:ascii="Times New Roman" w:hAnsi="Times New Roman" w:cs="Times New Roman"/>
                <w:b/>
                <w:bCs/>
                <w:color w:val="000000"/>
                <w:sz w:val="16"/>
                <w:szCs w:val="16"/>
              </w:rPr>
            </w:pPr>
            <w:r>
              <w:rPr>
                <w:rFonts w:cs="Times New Roman" w:ascii="Times New Roman" w:hAnsi="Times New Roman"/>
                <w:b/>
                <w:bCs/>
                <w:color w:val="000000"/>
                <w:sz w:val="16"/>
                <w:szCs w:val="16"/>
              </w:rPr>
              <w:t>ИТОГО:</w:t>
            </w:r>
          </w:p>
        </w:tc>
        <w:tc>
          <w:tcPr>
            <w:tcW w:w="852"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right"/>
              <w:rPr>
                <w:rFonts w:ascii="Times New Roman" w:hAnsi="Times New Roman" w:cs="Times New Roman"/>
                <w:b/>
                <w:bCs/>
                <w:color w:val="000000"/>
                <w:sz w:val="16"/>
                <w:szCs w:val="16"/>
              </w:rPr>
            </w:pPr>
            <w:r>
              <w:rPr>
                <w:rFonts w:cs="Times New Roman" w:ascii="Times New Roman" w:hAnsi="Times New Roman"/>
                <w:b/>
                <w:bCs/>
                <w:color w:val="000000"/>
                <w:sz w:val="16"/>
                <w:szCs w:val="16"/>
              </w:rPr>
            </w:r>
          </w:p>
        </w:tc>
        <w:tc>
          <w:tcPr>
            <w:tcW w:w="12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lineRule="auto" w:line="240" w:before="0" w:after="0"/>
              <w:jc w:val="right"/>
              <w:rPr>
                <w:rFonts w:ascii="Times New Roman" w:hAnsi="Times New Roman" w:cs="Times New Roman"/>
                <w:b/>
                <w:bCs/>
                <w:color w:val="000000"/>
                <w:sz w:val="16"/>
                <w:szCs w:val="16"/>
              </w:rPr>
            </w:pPr>
            <w:r>
              <w:rPr>
                <w:rFonts w:cs="Times New Roman" w:ascii="Times New Roman" w:hAnsi="Times New Roman"/>
                <w:b/>
                <w:bCs/>
                <w:color w:val="000000"/>
                <w:sz w:val="16"/>
                <w:szCs w:val="16"/>
              </w:rPr>
            </w:r>
          </w:p>
        </w:tc>
      </w:tr>
    </w:tbl>
    <w:p>
      <w:pPr>
        <w:pStyle w:val="Normal"/>
        <w:widowControl w:val="false"/>
        <w:spacing w:lineRule="auto" w:line="240" w:before="226" w:after="0"/>
        <w:rPr>
          <w:rFonts w:ascii="Times New Roman" w:hAnsi="Times New Roman" w:cs="Times New Roman"/>
          <w:color w:val="000000"/>
          <w:sz w:val="17"/>
          <w:szCs w:val="17"/>
        </w:rPr>
      </w:pPr>
      <w:r>
        <w:rPr>
          <w:rFonts w:cs="Times New Roman" w:ascii="Times New Roman" w:hAnsi="Times New Roman"/>
          <w:color w:val="000000"/>
          <w:sz w:val="17"/>
          <w:szCs w:val="17"/>
        </w:rPr>
        <w:t>Общая стоимость Спецификации по п.1 составляет: </w:t>
      </w:r>
    </w:p>
    <w:p>
      <w:pPr>
        <w:pStyle w:val="Normal"/>
        <w:widowControl w:val="false"/>
        <w:spacing w:lineRule="auto" w:line="240" w:before="226" w:after="226"/>
        <w:rPr>
          <w:rFonts w:ascii="Times New Roman" w:hAnsi="Times New Roman" w:cs="Times New Roman"/>
          <w:b/>
          <w:bCs/>
          <w:color w:val="000000"/>
          <w:sz w:val="17"/>
          <w:szCs w:val="17"/>
        </w:rPr>
      </w:pPr>
      <w:r>
        <w:rPr>
          <w:rFonts w:cs="Times New Roman" w:ascii="Times New Roman" w:hAnsi="Times New Roman"/>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t>  </w:t>
      </w:r>
    </w:p>
    <w:tbl>
      <w:tblPr>
        <w:tblW w:w="10206" w:type="dxa"/>
        <w:jc w:val="left"/>
        <w:tblInd w:w="0" w:type="dxa"/>
        <w:tblLayout w:type="fixed"/>
        <w:tblCellMar>
          <w:top w:w="0" w:type="dxa"/>
          <w:left w:w="0" w:type="dxa"/>
          <w:bottom w:w="0" w:type="dxa"/>
          <w:right w:w="0" w:type="dxa"/>
        </w:tblCellMar>
        <w:tblLook w:val="0000" w:noHBand="0" w:noVBand="0" w:firstColumn="0" w:lastRow="0" w:lastColumn="0" w:firstRow="0"/>
      </w:tblPr>
      <w:tblGrid>
        <w:gridCol w:w="2650"/>
        <w:gridCol w:w="2649"/>
        <w:gridCol w:w="2652"/>
        <w:gridCol w:w="2254"/>
      </w:tblGrid>
      <w:tr>
        <w:trPr/>
        <w:tc>
          <w:tcPr>
            <w:tcW w:w="5299" w:type="dxa"/>
            <w:gridSpan w:val="2"/>
            <w:tcBorders/>
          </w:tcPr>
          <w:p>
            <w:pPr>
              <w:pStyle w:val="Normal"/>
              <w:widowControl w:val="false"/>
              <w:spacing w:lineRule="auto" w:line="240" w:before="0" w:after="0"/>
              <w:rPr>
                <w:rFonts w:ascii="Times New Roman" w:hAnsi="Times New Roman" w:cs="Times New Roman"/>
                <w:b/>
                <w:bCs/>
                <w:color w:val="000000"/>
                <w:sz w:val="17"/>
                <w:szCs w:val="17"/>
              </w:rPr>
            </w:pPr>
            <w:r>
              <w:rPr>
                <w:rFonts w:cs="Times New Roman" w:ascii="Times New Roman" w:hAnsi="Times New Roman"/>
                <w:b/>
                <w:bCs/>
                <w:color w:val="000000"/>
                <w:sz w:val="17"/>
                <w:szCs w:val="17"/>
              </w:rPr>
              <w:t>ИСПОЛНИТЕЛЬ</w:t>
            </w:r>
          </w:p>
        </w:tc>
        <w:tc>
          <w:tcPr>
            <w:tcW w:w="4906" w:type="dxa"/>
            <w:gridSpan w:val="2"/>
            <w:tcBorders/>
          </w:tcPr>
          <w:p>
            <w:pPr>
              <w:pStyle w:val="Normal"/>
              <w:widowControl w:val="false"/>
              <w:spacing w:lineRule="auto" w:line="240" w:before="0" w:after="0"/>
              <w:rPr>
                <w:rFonts w:ascii="Times New Roman" w:hAnsi="Times New Roman" w:cs="Times New Roman"/>
                <w:b/>
                <w:bCs/>
                <w:color w:val="000000"/>
                <w:sz w:val="17"/>
                <w:szCs w:val="17"/>
              </w:rPr>
            </w:pPr>
            <w:r>
              <w:rPr>
                <w:rFonts w:cs="Times New Roman" w:ascii="Times New Roman" w:hAnsi="Times New Roman"/>
                <w:b/>
                <w:bCs/>
                <w:color w:val="000000"/>
                <w:sz w:val="17"/>
                <w:szCs w:val="17"/>
              </w:rPr>
              <w:t>ЗАКАЗЧИК</w:t>
            </w:r>
          </w:p>
        </w:tc>
      </w:tr>
      <w:tr>
        <w:trPr/>
        <w:tc>
          <w:tcPr>
            <w:tcW w:w="5299" w:type="dxa"/>
            <w:gridSpan w:val="2"/>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r>
          </w:p>
        </w:tc>
        <w:tc>
          <w:tcPr>
            <w:tcW w:w="4906" w:type="dxa"/>
            <w:gridSpan w:val="2"/>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t>ПАО «РУСГИДРО»</w:t>
            </w:r>
          </w:p>
        </w:tc>
      </w:tr>
      <w:tr>
        <w:trPr/>
        <w:tc>
          <w:tcPr>
            <w:tcW w:w="5299" w:type="dxa"/>
            <w:gridSpan w:val="2"/>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r>
          </w:p>
        </w:tc>
        <w:tc>
          <w:tcPr>
            <w:tcW w:w="4906" w:type="dxa"/>
            <w:gridSpan w:val="2"/>
            <w:tcBorders/>
          </w:tcPr>
          <w:p>
            <w:pPr>
              <w:pStyle w:val="Normal"/>
              <w:widowControl w:val="false"/>
              <w:spacing w:lineRule="auto" w:line="240" w:before="0" w:after="0"/>
              <w:rPr>
                <w:rFonts w:ascii="Times" w:hAnsi="Times" w:cs="Times"/>
                <w:color w:val="000000"/>
                <w:sz w:val="18"/>
                <w:szCs w:val="18"/>
              </w:rPr>
            </w:pPr>
            <w:r>
              <w:rPr>
                <w:rFonts w:cs="Times" w:ascii="Times" w:hAnsi="Times"/>
                <w:color w:val="000000"/>
                <w:sz w:val="18"/>
                <w:szCs w:val="18"/>
              </w:rPr>
              <w:t xml:space="preserve">Директор Департамента информационных технологий и </w:t>
            </w:r>
          </w:p>
          <w:p>
            <w:pPr>
              <w:pStyle w:val="Normal"/>
              <w:widowControl w:val="false"/>
              <w:spacing w:lineRule="auto" w:line="240" w:before="0" w:after="0"/>
              <w:rPr>
                <w:rFonts w:ascii="Times New Roman" w:hAnsi="Times New Roman" w:cs="Times New Roman"/>
                <w:color w:val="000000"/>
                <w:sz w:val="17"/>
                <w:szCs w:val="17"/>
              </w:rPr>
            </w:pPr>
            <w:r>
              <w:rPr>
                <w:rFonts w:cs="Times" w:ascii="Times" w:hAnsi="Times"/>
                <w:color w:val="000000"/>
                <w:sz w:val="18"/>
                <w:szCs w:val="18"/>
              </w:rPr>
              <w:t>цифрового развития</w:t>
            </w:r>
          </w:p>
        </w:tc>
      </w:tr>
      <w:tr>
        <w:trPr/>
        <w:tc>
          <w:tcPr>
            <w:tcW w:w="5299" w:type="dxa"/>
            <w:gridSpan w:val="2"/>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r>
          </w:p>
        </w:tc>
        <w:tc>
          <w:tcPr>
            <w:tcW w:w="4906" w:type="dxa"/>
            <w:gridSpan w:val="2"/>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r>
          </w:p>
        </w:tc>
      </w:tr>
      <w:tr>
        <w:trPr/>
        <w:tc>
          <w:tcPr>
            <w:tcW w:w="2650" w:type="dxa"/>
            <w:tcBorders>
              <w:bottom w:val="single" w:sz="6" w:space="0" w:color="000000"/>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r>
          </w:p>
        </w:tc>
        <w:tc>
          <w:tcPr>
            <w:tcW w:w="2649" w:type="dxa"/>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r>
          </w:p>
        </w:tc>
        <w:tc>
          <w:tcPr>
            <w:tcW w:w="2652" w:type="dxa"/>
            <w:tcBorders>
              <w:bottom w:val="single" w:sz="6" w:space="0" w:color="000000"/>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r>
          </w:p>
        </w:tc>
        <w:tc>
          <w:tcPr>
            <w:tcW w:w="2254" w:type="dxa"/>
            <w:tcBorders/>
          </w:tcPr>
          <w:p>
            <w:pPr>
              <w:pStyle w:val="Normal"/>
              <w:widowControl w:val="false"/>
              <w:spacing w:lineRule="auto" w:line="240" w:before="0" w:after="0"/>
              <w:rPr>
                <w:rFonts w:ascii="Times New Roman" w:hAnsi="Times New Roman" w:cs="Times New Roman"/>
                <w:color w:val="000000"/>
                <w:sz w:val="17"/>
                <w:szCs w:val="17"/>
              </w:rPr>
            </w:pPr>
            <w:r>
              <w:rPr>
                <w:rFonts w:cs="Times" w:ascii="Times" w:hAnsi="Times"/>
                <w:color w:val="000000"/>
                <w:sz w:val="18"/>
                <w:szCs w:val="18"/>
              </w:rPr>
              <w:t>С.В. Хомяков</w:t>
            </w:r>
          </w:p>
        </w:tc>
      </w:tr>
      <w:tr>
        <w:trPr/>
        <w:tc>
          <w:tcPr>
            <w:tcW w:w="2650" w:type="dxa"/>
            <w:tcBorders/>
          </w:tcPr>
          <w:p>
            <w:pPr>
              <w:pStyle w:val="Normal"/>
              <w:widowControl w:val="false"/>
              <w:spacing w:lineRule="auto" w:line="240" w:before="0" w:after="0"/>
              <w:jc w:val="right"/>
              <w:rPr>
                <w:rFonts w:ascii="Times New Roman" w:hAnsi="Times New Roman" w:cs="Times New Roman"/>
                <w:color w:val="000000"/>
                <w:sz w:val="17"/>
                <w:szCs w:val="17"/>
              </w:rPr>
            </w:pPr>
            <w:r>
              <w:rPr>
                <w:rFonts w:cs="Times New Roman" w:ascii="Times New Roman" w:hAnsi="Times New Roman"/>
                <w:color w:val="000000"/>
                <w:sz w:val="17"/>
                <w:szCs w:val="17"/>
              </w:rPr>
              <w:t>М.П.</w:t>
            </w:r>
          </w:p>
        </w:tc>
        <w:tc>
          <w:tcPr>
            <w:tcW w:w="2649" w:type="dxa"/>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r>
          </w:p>
        </w:tc>
        <w:tc>
          <w:tcPr>
            <w:tcW w:w="2652" w:type="dxa"/>
            <w:tcBorders/>
          </w:tcPr>
          <w:p>
            <w:pPr>
              <w:pStyle w:val="Normal"/>
              <w:widowControl w:val="false"/>
              <w:spacing w:lineRule="auto" w:line="240" w:before="0" w:after="0"/>
              <w:jc w:val="right"/>
              <w:rPr>
                <w:rFonts w:ascii="Times New Roman" w:hAnsi="Times New Roman" w:cs="Times New Roman"/>
                <w:color w:val="000000"/>
                <w:sz w:val="17"/>
                <w:szCs w:val="17"/>
              </w:rPr>
            </w:pPr>
            <w:r>
              <w:rPr>
                <w:rFonts w:cs="Times New Roman" w:ascii="Times New Roman" w:hAnsi="Times New Roman"/>
                <w:color w:val="000000"/>
                <w:sz w:val="17"/>
                <w:szCs w:val="17"/>
              </w:rPr>
              <w:t>М.П.</w:t>
            </w:r>
          </w:p>
        </w:tc>
        <w:tc>
          <w:tcPr>
            <w:tcW w:w="2254" w:type="dxa"/>
            <w:tcBorders/>
          </w:tcPr>
          <w:p>
            <w:pPr>
              <w:pStyle w:val="Normal"/>
              <w:widowControl w:val="false"/>
              <w:spacing w:lineRule="auto" w:line="240" w:before="0" w:after="0"/>
              <w:rPr>
                <w:rFonts w:ascii="Times New Roman" w:hAnsi="Times New Roman" w:cs="Times New Roman"/>
                <w:color w:val="000000"/>
                <w:sz w:val="17"/>
                <w:szCs w:val="17"/>
              </w:rPr>
            </w:pPr>
            <w:r>
              <w:rPr>
                <w:rFonts w:cs="Times New Roman" w:ascii="Times New Roman" w:hAnsi="Times New Roman"/>
                <w:color w:val="000000"/>
                <w:sz w:val="17"/>
                <w:szCs w:val="17"/>
              </w:rPr>
            </w:r>
          </w:p>
        </w:tc>
      </w:tr>
    </w:tbl>
    <w:p>
      <w:pPr>
        <w:pStyle w:val="Normal"/>
        <w:spacing w:before="0" w:after="200"/>
        <w:rPr>
          <w:rFonts w:ascii="Times New Roman" w:hAnsi="Times New Roman" w:cs="Times New Roman"/>
          <w:b/>
          <w:color w:val="000000"/>
          <w:sz w:val="18"/>
          <w:szCs w:val="18"/>
        </w:rPr>
      </w:pPr>
      <w:r>
        <w:rPr>
          <w:rFonts w:cs="Times New Roman" w:ascii="Times New Roman" w:hAnsi="Times New Roman"/>
          <w:b/>
          <w:color w:val="000000"/>
          <w:sz w:val="18"/>
          <w:szCs w:val="18"/>
        </w:rPr>
      </w:r>
    </w:p>
    <w:sectPr>
      <w:type w:val="nextPage"/>
      <w:pgSz w:w="11906" w:h="16838"/>
      <w:pgMar w:left="851" w:right="851" w:gutter="0" w:header="0" w:top="851" w:footer="0" w:bottom="851"/>
      <w:pgNumType w:fmt="decimal"/>
      <w:formProt w:val="false"/>
      <w:textDirection w:val="lrTb"/>
      <w:docGrid w:type="default" w:linePitch="299"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PT Sans">
    <w:charset w:val="01"/>
    <w:family w:val="roman"/>
    <w:pitch w:val="variable"/>
  </w:font>
  <w:font w:name="Calibri">
    <w:charset w:val="01"/>
    <w:family w:val="roman"/>
    <w:pitch w:val="variable"/>
  </w:font>
  <w:font w:name="Segoe UI">
    <w:charset w:val="01"/>
    <w:family w:val="roman"/>
    <w:pitch w:val="variable"/>
  </w:font>
  <w:font w:name="Liberation Sans">
    <w:altName w:val="Arial"/>
    <w:charset w:val="01"/>
    <w:family w:val="roman"/>
    <w:pitch w:val="variable"/>
  </w:font>
  <w:font w:name="Times New Roman">
    <w:charset w:val="01"/>
    <w:family w:val="roman"/>
    <w:pitch w:val="variable"/>
  </w:font>
  <w:font w:name="Times">
    <w:altName w:val="Times New Roman"/>
    <w:charset w:val="01"/>
    <w:family w:val="roman"/>
    <w:pitch w:val="variable"/>
  </w:font>
</w:fonts>
</file>

<file path=word/settings.xml><?xml version="1.0" encoding="utf-8"?>
<w:settings xmlns:w="http://schemas.openxmlformats.org/wordprocessingml/2006/main">
  <w:zoom w:percent="107"/>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0731ff"/>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9" w:customStyle="1">
    <w:name w:val="Текст выноски Знак"/>
    <w:basedOn w:val="DefaultParagraphFont"/>
    <w:link w:val="BalloonText"/>
    <w:uiPriority w:val="99"/>
    <w:semiHidden/>
    <w:qFormat/>
    <w:rsid w:val="008d51ed"/>
    <w:rPr>
      <w:rFonts w:ascii="Segoe UI" w:hAnsi="Segoe UI" w:cs="Segoe UI"/>
      <w:sz w:val="18"/>
      <w:szCs w:val="18"/>
    </w:rPr>
  </w:style>
  <w:style w:type="character" w:styleId="Hyperlink">
    <w:name w:val="Hyperlink"/>
    <w:rPr>
      <w:color w:val="000080"/>
      <w:u w:val="single"/>
    </w:rPr>
  </w:style>
  <w:style w:type="character" w:styleId="Linenumber">
    <w:name w:val="line number"/>
    <w:qFormat/>
    <w:rPr/>
  </w:style>
  <w:style w:type="character" w:styleId="Style10" w:customStyle="1">
    <w:name w:val="Текст примечания Знак"/>
    <w:basedOn w:val="DefaultParagraphFont"/>
    <w:link w:val="Annotationtext"/>
    <w:uiPriority w:val="99"/>
    <w:semiHidden/>
    <w:qFormat/>
    <w:rPr>
      <w:sz w:val="20"/>
      <w:szCs w:val="20"/>
    </w:rPr>
  </w:style>
  <w:style w:type="character" w:styleId="Annotationreference">
    <w:name w:val="annotation reference"/>
    <w:basedOn w:val="DefaultParagraphFont"/>
    <w:uiPriority w:val="99"/>
    <w:semiHidden/>
    <w:unhideWhenUsed/>
    <w:qFormat/>
    <w:rPr>
      <w:sz w:val="16"/>
      <w:szCs w:val="16"/>
    </w:rPr>
  </w:style>
  <w:style w:type="paragraph" w:styleId="Style11">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pPr>
      <w:spacing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Style12">
    <w:name w:val="Указатель"/>
    <w:basedOn w:val="Normal"/>
    <w:qFormat/>
    <w:pPr>
      <w:suppressLineNumbers/>
    </w:pPr>
    <w:rPr>
      <w:rFonts w:cs="Arial Unicode MS"/>
    </w:rPr>
  </w:style>
  <w:style w:type="paragraph" w:styleId="Title">
    <w:name w:val="Title"/>
    <w:basedOn w:val="Normal"/>
    <w:next w:val="BodyText"/>
    <w:qFormat/>
    <w:pPr>
      <w:keepNext w:val="true"/>
      <w:spacing w:before="240" w:after="120"/>
    </w:pPr>
    <w:rPr>
      <w:rFonts w:ascii="Liberation Sans" w:hAnsi="Liberation Sans" w:eastAsia="Noto Sans CJK SC" w:cs="Arial Unicode MS"/>
      <w:sz w:val="28"/>
      <w:szCs w:val="28"/>
    </w:rPr>
  </w:style>
  <w:style w:type="paragraph" w:styleId="Caption1">
    <w:name w:val="caption1"/>
    <w:basedOn w:val="Normal"/>
    <w:qFormat/>
    <w:pPr>
      <w:suppressLineNumbers/>
      <w:spacing w:before="120" w:after="120"/>
    </w:pPr>
    <w:rPr>
      <w:rFonts w:cs="Arial Unicode MS"/>
      <w:i/>
      <w:iCs/>
      <w:sz w:val="24"/>
      <w:szCs w:val="24"/>
    </w:rPr>
  </w:style>
  <w:style w:type="paragraph" w:styleId="Indexheading">
    <w:name w:val="index heading"/>
    <w:basedOn w:val="Normal"/>
    <w:qFormat/>
    <w:pPr>
      <w:suppressLineNumbers/>
    </w:pPr>
    <w:rPr>
      <w:rFonts w:cs="Arial Unicode MS"/>
    </w:rPr>
  </w:style>
  <w:style w:type="paragraph" w:styleId="BalloonText">
    <w:name w:val="Balloon Text"/>
    <w:basedOn w:val="Normal"/>
    <w:link w:val="Style9"/>
    <w:uiPriority w:val="99"/>
    <w:semiHidden/>
    <w:unhideWhenUsed/>
    <w:qFormat/>
    <w:rsid w:val="008d51ed"/>
    <w:pPr>
      <w:spacing w:lineRule="auto" w:line="240" w:before="0" w:after="0"/>
    </w:pPr>
    <w:rPr>
      <w:rFonts w:ascii="Segoe UI" w:hAnsi="Segoe UI" w:cs="Segoe UI"/>
      <w:sz w:val="18"/>
      <w:szCs w:val="18"/>
    </w:rPr>
  </w:style>
  <w:style w:type="paragraph" w:styleId="Annotationtext">
    <w:name w:val="annotation text"/>
    <w:basedOn w:val="Normal"/>
    <w:link w:val="Style10"/>
    <w:uiPriority w:val="99"/>
    <w:semiHidden/>
    <w:unhideWhenUsed/>
    <w:qFormat/>
    <w:pPr>
      <w:spacing w:lineRule="auto" w:line="240"/>
    </w:pPr>
    <w:rPr>
      <w:sz w:val="20"/>
      <w:szCs w:val="20"/>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ca.sertum.ru/" TargetMode="External"/><Relationship Id="rId3" Type="http://schemas.openxmlformats.org/officeDocument/2006/relationships/hyperlink" Target="https://kontur.ru/reestro/document" TargetMode="External"/><Relationship Id="rId4" Type="http://schemas.openxmlformats.org/officeDocument/2006/relationships/hyperlink" Target="https://kontur.ru/reestro/price" TargetMode="External"/><Relationship Id="rId5" Type="http://schemas.openxmlformats.org/officeDocument/2006/relationships/hyperlink" Target="https://kontur.ru/reestro/docs" TargetMode="External"/><Relationship Id="rId6" Type="http://schemas.openxmlformats.org/officeDocument/2006/relationships/hyperlink" Target="https://kontur.ru/reestro/docs" TargetMode="External"/><Relationship Id="rId7" Type="http://schemas.openxmlformats.org/officeDocument/2006/relationships/hyperlink" Target="http://ca.kontur.ru/" TargetMode="External"/><Relationship Id="rId8" Type="http://schemas.openxmlformats.org/officeDocument/2006/relationships/hyperlink" Target="https://kontur.ru/contacts/all" TargetMode="External"/><Relationship Id="rId9" Type="http://schemas.openxmlformats.org/officeDocument/2006/relationships/hyperlink" Target="https://support.kontur.ru/reestro/38957-provedenie_sdelok_s_otchuzhdeniem_imushhestva" TargetMode="External"/><Relationship Id="rId10" Type="http://schemas.openxmlformats.org/officeDocument/2006/relationships/hyperlink" Target="https://www.diadoc.ru/support" TargetMode="External"/><Relationship Id="rId11" Type="http://schemas.openxmlformats.org/officeDocument/2006/relationships/hyperlink" Target="https://kontur.ru/" TargetMode="External"/><Relationship Id="rId12" Type="http://schemas.openxmlformats.org/officeDocument/2006/relationships/hyperlink" Target="https://kontur.ru/reestro/price" TargetMode="External"/><Relationship Id="rId13" Type="http://schemas.openxmlformats.org/officeDocument/2006/relationships/hyperlink" Target="http://ca.sertum.ru/" TargetMode="External"/><Relationship Id="rId14" Type="http://schemas.openxmlformats.org/officeDocument/2006/relationships/hyperlink" Target="https://kontur.ru/reestro/document" TargetMode="External"/><Relationship Id="rId15" Type="http://schemas.openxmlformats.org/officeDocument/2006/relationships/hyperlink" Target="https://kontur.ru/reestro/docs" TargetMode="External"/><Relationship Id="rId16" Type="http://schemas.openxmlformats.org/officeDocument/2006/relationships/hyperlink" Target="https://kontur.ru/reestro/docs" TargetMode="External"/><Relationship Id="rId17" Type="http://schemas.openxmlformats.org/officeDocument/2006/relationships/fontTable" Target="fontTable.xml"/><Relationship Id="rId18" Type="http://schemas.openxmlformats.org/officeDocument/2006/relationships/settings" Target="settings.xml"/><Relationship Id="rId1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Application>AlterOffice/2026.2.0.0$Linux_X86_64 LibreOffice_project/bc4ef1adf80b36c7a6365f8ed6cbf29021361edd</Application>
  <AppVersion>15.0000</AppVersion>
  <Pages>8</Pages>
  <Words>5183</Words>
  <Characters>38890</Characters>
  <CharactersWithSpaces>43921</CharactersWithSpaces>
  <Paragraphs>199</Paragraphs>
  <Company>konturplus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2026-06-30T01:46:00Z</dcterms:created>
  <dc:creator>Фомин Владимир Владимирович</dc:creator>
  <dc:description/>
  <dc:language>ru-RU</dc:language>
  <cp:lastModifiedBy>marusenkoks@corp.gidroogk.com</cp:lastModifiedBy>
  <dcterms:modified xsi:type="dcterms:W3CDTF">2026-09-07T12:53:21Z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