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both"/>
        <w:rPr>
          <w:sz w:val="28"/>
          <w:szCs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rPr>
          <w:sz w:val="28"/>
          <w:szCs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jc w:val="center"/>
        <w:rPr>
          <w:sz w:val="32"/>
          <w:lang w:eastAsia="en-US"/>
        </w:rPr>
      </w:pPr>
      <w:r>
        <w:rPr>
          <w:sz w:val="32"/>
          <w:lang w:eastAsia="en-US"/>
        </w:rPr>
        <w:t xml:space="preserve">Техническое задание</w:t>
      </w:r>
      <w:r>
        <w:rPr>
          <w:sz w:val="32"/>
          <w:lang w:eastAsia="en-US"/>
        </w:rPr>
      </w:r>
      <w:r>
        <w:rPr>
          <w:sz w:val="32"/>
          <w:lang w:eastAsia="en-US"/>
        </w:rPr>
      </w:r>
    </w:p>
    <w:p>
      <w:pPr>
        <w:jc w:val="center"/>
        <w:rPr>
          <w:sz w:val="32"/>
          <w:szCs w:val="32"/>
          <w:lang w:eastAsia="en-US"/>
        </w:rPr>
      </w:pPr>
      <w:r>
        <w:rPr>
          <w:sz w:val="32"/>
          <w:highlight w:val="none"/>
          <w:lang w:eastAsia="en-US"/>
        </w:rPr>
      </w:r>
      <w:r>
        <w:rPr>
          <w:sz w:val="32"/>
          <w:highlight w:val="none"/>
          <w:lang w:eastAsia="en-US"/>
        </w:rPr>
        <w:t xml:space="preserve">на оказание услуг по обращению с отходами электронного оборудования для нужд исполнительного аппарата </w:t>
        <w:br/>
        <w:t xml:space="preserve">ПАО «Россети Северо-Запад»</w:t>
      </w:r>
      <w:r>
        <w:rPr>
          <w:sz w:val="32"/>
          <w:szCs w:val="32"/>
          <w:lang w:eastAsia="en-US"/>
        </w:rPr>
      </w:r>
      <w:r>
        <w:rPr>
          <w:sz w:val="32"/>
          <w:szCs w:val="32"/>
          <w:lang w:eastAsia="en-US"/>
        </w:rPr>
      </w:r>
    </w:p>
    <w:p>
      <w:pPr>
        <w:jc w:val="both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r>
        <w:br w:type="page" w:clear="all"/>
      </w:r>
      <w:r/>
    </w:p>
    <w:p>
      <w:pPr>
        <w:pStyle w:val="959"/>
        <w:numPr>
          <w:ilvl w:val="0"/>
          <w:numId w:val="26"/>
        </w:numPr>
        <w:spacing w:after="60"/>
      </w:pPr>
      <w:r/>
      <w:bookmarkStart w:id="1" w:name="_Toc136846979"/>
      <w:r>
        <w:t xml:space="preserve">Термины и определения</w:t>
      </w:r>
      <w:bookmarkEnd w:id="1"/>
      <w:r/>
      <w:r/>
    </w:p>
    <w:p>
      <w:pPr>
        <w:ind w:firstLine="709"/>
        <w:jc w:val="both"/>
        <w:rPr>
          <w:sz w:val="28"/>
          <w:lang w:eastAsia="en-US"/>
        </w:rPr>
      </w:pPr>
      <w:r>
        <w:rPr>
          <w:b/>
          <w:sz w:val="28"/>
          <w:lang w:eastAsia="en-US"/>
        </w:rPr>
        <w:t xml:space="preserve">Заказчик</w:t>
      </w:r>
      <w:r>
        <w:rPr>
          <w:sz w:val="28"/>
          <w:lang w:eastAsia="en-US"/>
        </w:rPr>
        <w:t xml:space="preserve"> – Дочернее и зависимое общество ПАО «Россети» - ПАО «Россети Северо-Запад».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b/>
          <w:sz w:val="28"/>
          <w:lang w:eastAsia="en-US"/>
        </w:rPr>
        <w:t xml:space="preserve">Исполнитель </w:t>
      </w:r>
      <w:r>
        <w:rPr>
          <w:sz w:val="28"/>
          <w:lang w:eastAsia="en-US"/>
        </w:rPr>
        <w:t xml:space="preserve">– юридическое лицо, определяемое на конкурсной основе и заключившее соответствующий договор оказания услуг</w:t>
      </w:r>
      <w:r>
        <w:rPr>
          <w:sz w:val="28"/>
          <w:lang w:eastAsia="en-US"/>
        </w:rPr>
        <w:t xml:space="preserve"> с Заказчиком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szCs w:val="28"/>
          <w:highlight w:val="none"/>
          <w:lang w:eastAsia="en-US"/>
        </w:rPr>
      </w:pPr>
      <w:r>
        <w:rPr>
          <w:b/>
          <w:sz w:val="28"/>
          <w:lang w:eastAsia="en-US"/>
        </w:rPr>
        <w:t xml:space="preserve">Код по ОКПД2</w:t>
      </w:r>
      <w:r>
        <w:rPr>
          <w:sz w:val="28"/>
          <w:lang w:eastAsia="en-US"/>
        </w:rPr>
        <w:t xml:space="preserve"> – кодовое обозначение товара в Общероссийском классификаторе продукции по видам экономической деятельности ОК 034-2014 (КПЕС 2008).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ind w:firstLine="709"/>
        <w:jc w:val="both"/>
        <w:rPr>
          <w:sz w:val="28"/>
          <w:szCs w:val="28"/>
          <w:lang w:eastAsia="en-US"/>
        </w:rPr>
      </w:pPr>
      <w:r>
        <w:rPr>
          <w:b/>
          <w:sz w:val="28"/>
          <w:lang w:eastAsia="en-US"/>
        </w:rPr>
        <w:t xml:space="preserve">Код по ФККО</w:t>
      </w:r>
      <w:r>
        <w:rPr>
          <w:sz w:val="28"/>
          <w:lang w:eastAsia="en-US"/>
        </w:rPr>
        <w:t xml:space="preserve"> – кодовое обозначение вида отходов в </w:t>
      </w:r>
      <w:r>
        <w:rPr>
          <w:sz w:val="28"/>
          <w:lang w:eastAsia="en-US"/>
        </w:rPr>
        <w:t xml:space="preserve">Федеральном классификационном каталоге отходов, определяющее </w:t>
      </w:r>
      <w:r>
        <w:rPr>
          <w:sz w:val="28"/>
          <w:lang w:eastAsia="en-US"/>
        </w:rPr>
        <w:t xml:space="preserve">происхождение отходов, их состав и класс опасности.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59"/>
        <w:numPr>
          <w:ilvl w:val="0"/>
          <w:numId w:val="26"/>
        </w:numPr>
        <w:spacing w:after="60"/>
      </w:pPr>
      <w:r/>
      <w:bookmarkStart w:id="2" w:name="_Toc136846980"/>
      <w:r>
        <w:t xml:space="preserve">Предмет закупки</w:t>
      </w:r>
      <w:bookmarkEnd w:id="2"/>
      <w:r/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highlight w:val="none"/>
          <w:lang w:eastAsia="en-US"/>
        </w:rPr>
        <w:t xml:space="preserve">Услуг</w:t>
      </w:r>
      <w:r>
        <w:rPr>
          <w:sz w:val="28"/>
          <w:highlight w:val="none"/>
          <w:lang w:eastAsia="en-US"/>
        </w:rPr>
        <w:t xml:space="preserve">и</w:t>
      </w:r>
      <w:r>
        <w:rPr>
          <w:sz w:val="28"/>
          <w:highlight w:val="none"/>
          <w:lang w:eastAsia="en-US"/>
        </w:rPr>
        <w:t xml:space="preserve"> </w:t>
      </w:r>
      <w:r>
        <w:rPr>
          <w:sz w:val="28"/>
          <w:highlight w:val="none"/>
          <w:lang w:eastAsia="en-US"/>
        </w:rPr>
        <w:t xml:space="preserve">по обращению с отходами электронного оборудования для нужд исполнительного аппарата ПАО «Россети Северо-Запад»</w:t>
      </w:r>
      <w:r>
        <w:rPr>
          <w:sz w:val="28"/>
          <w:highlight w:val="none"/>
          <w:lang w:eastAsia="en-US"/>
        </w:rPr>
        <w:t xml:space="preserve">, </w:t>
      </w:r>
      <w:r>
        <w:rPr>
          <w:sz w:val="28"/>
          <w:highlight w:val="none"/>
          <w:lang w:eastAsia="en-US"/>
        </w:rPr>
        <w:t xml:space="preserve">соответствующие требованиям к составу и качеству (приложение №</w:t>
      </w:r>
      <w:r>
        <w:rPr>
          <w:sz w:val="28"/>
          <w:highlight w:val="none"/>
          <w:lang w:eastAsia="en-US"/>
        </w:rPr>
        <w:t xml:space="preserve">2</w:t>
      </w:r>
      <w:r>
        <w:rPr>
          <w:sz w:val="28"/>
          <w:highlight w:val="none"/>
          <w:lang w:eastAsia="en-US"/>
        </w:rPr>
        <w:t xml:space="preserve">)</w:t>
      </w:r>
      <w:r>
        <w:rPr>
          <w:sz w:val="28"/>
          <w:highlight w:val="none"/>
          <w:lang w:eastAsia="en-US"/>
        </w:rPr>
        <w:t xml:space="preserve">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9"/>
        <w:numPr>
          <w:ilvl w:val="0"/>
          <w:numId w:val="26"/>
        </w:numPr>
        <w:spacing w:after="60"/>
      </w:pPr>
      <w:r/>
      <w:bookmarkStart w:id="3" w:name="_Ref101394380"/>
      <w:r/>
      <w:bookmarkStart w:id="4" w:name="_Ref101394384"/>
      <w:r/>
      <w:bookmarkStart w:id="5" w:name="_Toc136846981"/>
      <w:r>
        <w:t xml:space="preserve">Перечень </w:t>
      </w:r>
      <w:r>
        <w:t xml:space="preserve">и </w:t>
      </w:r>
      <w:r>
        <w:t xml:space="preserve">объем оказываемых Услуг</w:t>
      </w:r>
      <w:bookmarkEnd w:id="3"/>
      <w:r/>
      <w:bookmarkEnd w:id="4"/>
      <w:r/>
      <w:bookmarkEnd w:id="5"/>
      <w:r/>
      <w:r/>
    </w:p>
    <w:p>
      <w:pPr>
        <w:pStyle w:val="982"/>
        <w:numPr>
          <w:ilvl w:val="1"/>
          <w:numId w:val="26"/>
        </w:numPr>
        <w:contextualSpacing w:val="0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  <w:t xml:space="preserve">Исполнитель оказывает Заказчику Услуги в составе, согласно Перечню оказываемых Услуг (Приложение №1) и в соответствии с требованиями, указанными в Приложении № 2 к настоящему Техническому заданию.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2"/>
        <w:numPr>
          <w:ilvl w:val="1"/>
          <w:numId w:val="26"/>
        </w:numPr>
        <w:contextualSpacing w:val="0"/>
        <w:jc w:val="both"/>
        <w:spacing w:before="60"/>
        <w:rPr>
          <w:sz w:val="28"/>
          <w:szCs w:val="28"/>
          <w:highlight w:val="none"/>
        </w:rPr>
      </w:pPr>
      <w:r>
        <w:rPr>
          <w:sz w:val="28"/>
          <w:highlight w:val="none"/>
          <w:lang w:eastAsia="en-US"/>
        </w:rPr>
        <w:t xml:space="preserve">Объем оказания Услуг (Приложение №3) будет определяться в ходе исполнения договора на основании заявок Заказчика.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59"/>
        <w:numPr>
          <w:ilvl w:val="0"/>
          <w:numId w:val="26"/>
        </w:numPr>
        <w:spacing w:after="60"/>
      </w:pPr>
      <w:r/>
      <w:bookmarkStart w:id="6" w:name="_Toc136846982"/>
      <w:r>
        <w:t xml:space="preserve">Требова</w:t>
      </w:r>
      <w:bookmarkStart w:id="7" w:name="_GoBack"/>
      <w:r/>
      <w:bookmarkEnd w:id="7"/>
      <w:r>
        <w:t xml:space="preserve">ния к оказанию Услуг</w:t>
      </w:r>
      <w:bookmarkEnd w:id="6"/>
      <w:r/>
      <w:r/>
    </w:p>
    <w:p>
      <w:pPr>
        <w:pStyle w:val="982"/>
        <w:numPr>
          <w:ilvl w:val="1"/>
          <w:numId w:val="26"/>
        </w:numPr>
        <w:jc w:val="both"/>
        <w:rPr>
          <w:sz w:val="28"/>
          <w:szCs w:val="28"/>
          <w:lang w:eastAsia="en-US"/>
        </w:rPr>
      </w:pPr>
      <w:r>
        <w:rPr>
          <w:sz w:val="28"/>
          <w:highlight w:val="none"/>
          <w:lang w:eastAsia="en-US"/>
        </w:rPr>
        <w:t xml:space="preserve">Общие требования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2"/>
          <w:numId w:val="26"/>
        </w:numPr>
        <w:jc w:val="both"/>
        <w:rPr>
          <w:sz w:val="28"/>
          <w:lang w:eastAsia="en-US"/>
        </w:rPr>
      </w:pPr>
      <w:r/>
      <w:bookmarkStart w:id="8" w:name="_Ref126273371"/>
      <w:r>
        <w:rPr>
          <w:sz w:val="28"/>
          <w:lang w:eastAsia="en-US"/>
        </w:rPr>
        <w:t xml:space="preserve">Сроки и место оказания Услуг</w:t>
      </w:r>
      <w:bookmarkEnd w:id="8"/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Сроки оказания Услуг – в течение 1 года с момента заключения договора.</w:t>
      </w:r>
      <w:r/>
    </w:p>
    <w:p>
      <w:pPr>
        <w:ind w:firstLine="709"/>
        <w:jc w:val="both"/>
      </w:pPr>
      <w:r>
        <w:rPr>
          <w:sz w:val="28"/>
          <w:szCs w:val="28"/>
          <w:highlight w:val="none"/>
        </w:rPr>
        <w:t xml:space="preserve">Адрес местонахождения Заказчика: 196247, Россия, Санкт-Петербург, пл. Конституции, д.3, Лит. А, помещение 16Н.</w:t>
      </w:r>
      <w:r/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  <w:t xml:space="preserve">Адрес оказания Услуг совпадает с адресом местонахождения Заказчика.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82"/>
        <w:numPr>
          <w:ilvl w:val="2"/>
          <w:numId w:val="26"/>
        </w:numPr>
        <w:jc w:val="both"/>
        <w:spacing w:after="60"/>
        <w:rPr>
          <w:sz w:val="28"/>
          <w:szCs w:val="28"/>
          <w:lang w:eastAsia="en-US"/>
        </w:rPr>
      </w:pPr>
      <w:r>
        <w:rPr>
          <w:sz w:val="28"/>
          <w:highlight w:val="none"/>
          <w:lang w:eastAsia="en-US"/>
        </w:rPr>
      </w:r>
      <w:r>
        <w:rPr>
          <w:sz w:val="28"/>
          <w:highlight w:val="none"/>
          <w:lang w:eastAsia="en-US"/>
        </w:rPr>
        <w:t xml:space="preserve">Стоимость Услуг включает все затраты Исполнителя в полном объеме, в т.ч. стоимость проводимых Исполнителем работ, стоимость любых затрат, связанных с оказанием Услуг: со стоимостью материалов, используемых для оказания Услуг; со стоимостью тары, упак</w:t>
      </w:r>
      <w:r>
        <w:rPr>
          <w:sz w:val="28"/>
          <w:highlight w:val="none"/>
          <w:lang w:eastAsia="en-US"/>
        </w:rPr>
        <w:t xml:space="preserve">о</w:t>
      </w:r>
      <w:r>
        <w:rPr>
          <w:sz w:val="28"/>
          <w:highlight w:val="none"/>
          <w:lang w:eastAsia="en-US"/>
        </w:rPr>
        <w:t xml:space="preserve">вки и страховых взносов; с погрузкой, доставкой и разгрузкой; с маркировкой, сертификацией; с гарантиями на оказание Услуг; с налогами и сборами, а также таможенными пошлинами, расходами на таможенное оформление и декларирование необходимых материалов (для</w:t>
      </w:r>
      <w:r>
        <w:rPr>
          <w:sz w:val="28"/>
          <w:highlight w:val="none"/>
          <w:lang w:eastAsia="en-US"/>
        </w:rPr>
        <w:t xml:space="preserve"> импортного товара) и другими обязательными отчислениями, которые производятся Исполнителем в соответствии с установленным законодательством Российской Федерации порядком, а также иными возможными затратами.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2"/>
          <w:numId w:val="26"/>
        </w:numPr>
        <w:jc w:val="both"/>
        <w:spacing w:after="60"/>
        <w:rPr>
          <w:sz w:val="28"/>
          <w:szCs w:val="28"/>
          <w:lang w:eastAsia="en-US"/>
        </w:rPr>
      </w:pPr>
      <w:r>
        <w:rPr>
          <w:sz w:val="28"/>
          <w:lang w:eastAsia="en-US"/>
        </w:rPr>
        <w:t xml:space="preserve">Цена </w:t>
      </w:r>
      <w:r>
        <w:rPr>
          <w:sz w:val="28"/>
          <w:lang w:eastAsia="en-US"/>
        </w:rPr>
        <w:t xml:space="preserve">Услуг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является неизменной в течение всего срока оказания Услуг</w:t>
      </w:r>
      <w:r>
        <w:rPr>
          <w:sz w:val="28"/>
          <w:lang w:eastAsia="en-US"/>
        </w:rPr>
        <w:t xml:space="preserve">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1"/>
          <w:numId w:val="26"/>
        </w:numPr>
        <w:jc w:val="both"/>
        <w:spacing w:after="60"/>
        <w:rPr>
          <w:sz w:val="28"/>
          <w:szCs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highlight w:val="none"/>
          <w:lang w:eastAsia="en-US"/>
        </w:rPr>
        <w:t xml:space="preserve">Порядок и качество оказания Услуг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2"/>
          <w:numId w:val="26"/>
        </w:numPr>
        <w:jc w:val="both"/>
        <w:spacing w:after="60"/>
        <w:tabs>
          <w:tab w:val="clear" w:pos="737" w:leader="none"/>
        </w:tabs>
        <w:rPr>
          <w:sz w:val="28"/>
          <w:szCs w:val="28"/>
          <w:lang w:eastAsia="en-US"/>
        </w:rPr>
      </w:pPr>
      <w:r>
        <w:rPr>
          <w:sz w:val="28"/>
          <w:szCs w:val="28"/>
          <w:highlight w:val="none"/>
          <w:lang w:eastAsia="en-US"/>
        </w:rPr>
        <w:t xml:space="preserve">Основанием </w:t>
      </w:r>
      <w:r>
        <w:rPr>
          <w:sz w:val="28"/>
          <w:highlight w:val="none"/>
          <w:lang w:eastAsia="en-US"/>
        </w:rPr>
        <w:t xml:space="preserve">для оказания Услуг является устная или письменная заявка, направленная </w:t>
      </w:r>
      <w:r>
        <w:rPr>
          <w:sz w:val="28"/>
          <w:szCs w:val="28"/>
          <w:highlight w:val="none"/>
          <w:lang w:eastAsia="en-US"/>
        </w:rPr>
        <w:t xml:space="preserve">Заказчиком </w:t>
      </w:r>
      <w:r>
        <w:rPr>
          <w:sz w:val="28"/>
          <w:highlight w:val="none"/>
          <w:lang w:eastAsia="en-US"/>
        </w:rPr>
        <w:t xml:space="preserve">Исполнителю по телефону, факсу, электронной почте или с помощью других средств связи.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2"/>
          <w:numId w:val="26"/>
        </w:numPr>
        <w:jc w:val="both"/>
        <w:spacing w:after="60"/>
        <w:tabs>
          <w:tab w:val="clear" w:pos="737" w:leader="none"/>
        </w:tabs>
        <w:rPr>
          <w:sz w:val="28"/>
          <w:szCs w:val="28"/>
          <w:lang w:eastAsia="en-US"/>
        </w:rPr>
      </w:pPr>
      <w:r>
        <w:rPr>
          <w:sz w:val="28"/>
          <w:highlight w:val="none"/>
          <w:lang w:eastAsia="en-US"/>
        </w:rPr>
      </w:r>
      <w:r>
        <w:rPr>
          <w:sz w:val="28"/>
          <w:highlight w:val="none"/>
          <w:lang w:eastAsia="en-US"/>
        </w:rPr>
        <w:t xml:space="preserve">Услуги</w:t>
      </w:r>
      <w:r>
        <w:rPr>
          <w:sz w:val="28"/>
          <w:highlight w:val="none"/>
          <w:lang w:eastAsia="en-US"/>
        </w:rPr>
        <w:t xml:space="preserve"> должны соответствовать требованиям к составу и качеству (приложение №2).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59"/>
        <w:numPr>
          <w:ilvl w:val="0"/>
          <w:numId w:val="26"/>
        </w:numPr>
        <w:spacing w:after="60"/>
        <w:rPr>
          <w:lang w:eastAsia="en-US"/>
        </w:rPr>
      </w:pPr>
      <w:r/>
      <w:bookmarkStart w:id="10" w:name="_Toc136846983"/>
      <w:r>
        <w:rPr>
          <w:lang w:eastAsia="en-US"/>
        </w:rPr>
        <w:t xml:space="preserve">Требования к предложению Исполнителя</w:t>
      </w:r>
      <w:bookmarkEnd w:id="10"/>
      <w:r>
        <w:rPr>
          <w:lang w:eastAsia="en-US"/>
        </w:rPr>
      </w:r>
      <w:r>
        <w:rPr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Предложение Исполнителя на оказание Услуг должно соответствовать </w:t>
      </w:r>
      <w:r>
        <w:rPr>
          <w:sz w:val="28"/>
          <w:lang w:eastAsia="en-US"/>
        </w:rPr>
        <w:t xml:space="preserve">условиям настоящего Технического задания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Наименование услуг в предложении Исполнителя должны соответствовать наименованиям в столбце «Наименование услуги» </w:t>
      </w:r>
      <w:r>
        <w:rPr>
          <w:sz w:val="28"/>
          <w:lang w:eastAsia="en-US"/>
        </w:rPr>
        <w:t xml:space="preserve">в Перечне оказываемых услуг </w:t>
      </w:r>
      <w:r>
        <w:rPr>
          <w:sz w:val="28"/>
          <w:lang w:eastAsia="en-US"/>
        </w:rPr>
        <w:t xml:space="preserve">(Приложение №1). 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59"/>
        <w:numPr>
          <w:ilvl w:val="0"/>
          <w:numId w:val="26"/>
        </w:numPr>
        <w:spacing w:after="60"/>
      </w:pPr>
      <w:r/>
      <w:bookmarkStart w:id="11" w:name="_Toc126171033"/>
      <w:r/>
      <w:bookmarkStart w:id="12" w:name="_Toc136846984"/>
      <w:r>
        <w:t xml:space="preserve">Порядок оплаты </w:t>
      </w:r>
      <w:bookmarkEnd w:id="11"/>
      <w:r>
        <w:t xml:space="preserve">Услуг</w:t>
      </w:r>
      <w:bookmarkEnd w:id="12"/>
      <w:r/>
      <w:r/>
    </w:p>
    <w:p>
      <w:pPr>
        <w:ind w:firstLine="709"/>
        <w:jc w:val="both"/>
        <w:rPr>
          <w:sz w:val="28"/>
          <w:lang w:eastAsia="en-US"/>
        </w:rPr>
      </w:pPr>
      <w:r>
        <w:rPr>
          <w:sz w:val="28"/>
          <w:lang w:eastAsia="en-US"/>
        </w:rPr>
        <w:t xml:space="preserve">Оплата производится на основании приемки Услуг</w:t>
      </w:r>
      <w:r>
        <w:rPr>
          <w:sz w:val="28"/>
          <w:lang w:eastAsia="en-US"/>
        </w:rPr>
        <w:t xml:space="preserve"> </w:t>
      </w:r>
      <w:r>
        <w:rPr>
          <w:sz w:val="28"/>
          <w:lang w:eastAsia="en-US"/>
        </w:rPr>
        <w:t xml:space="preserve">в соответствии с условиями договора</w:t>
      </w:r>
      <w:r>
        <w:rPr>
          <w:sz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spacing w:before="6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ind w:firstLine="709"/>
        <w:jc w:val="both"/>
        <w:rPr>
          <w:sz w:val="28"/>
          <w:lang w:eastAsia="en-US"/>
        </w:rPr>
        <w:sectPr>
          <w:footerReference w:type="default" r:id="rId9"/>
          <w:footnotePr/>
          <w:endnotePr/>
          <w:type w:val="nextPage"/>
          <w:pgSz w:w="11906" w:h="16838" w:orient="portrait"/>
          <w:pgMar w:top="1134" w:right="850" w:bottom="1134" w:left="1701" w:header="284" w:footer="129" w:gutter="0"/>
          <w:cols w:num="1" w:sep="0" w:space="708" w:equalWidth="1"/>
          <w:docGrid w:linePitch="360"/>
        </w:sect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59"/>
        <w:numPr>
          <w:ilvl w:val="0"/>
          <w:numId w:val="0"/>
        </w:numPr>
        <w:jc w:val="right"/>
        <w:rPr>
          <w:lang w:eastAsia="en-US"/>
        </w:rPr>
      </w:pPr>
      <w:r/>
      <w:bookmarkStart w:id="13" w:name="_Toc136846985"/>
      <w:r>
        <w:rPr>
          <w:lang w:eastAsia="en-US"/>
        </w:rPr>
        <w:t xml:space="preserve">Приложение 1. </w:t>
      </w:r>
      <w:r>
        <w:rPr>
          <w:lang w:eastAsia="en-US"/>
        </w:rPr>
        <w:t xml:space="preserve">Перечень оказываемых Услуг</w:t>
      </w:r>
      <w:bookmarkEnd w:id="13"/>
      <w:r>
        <w:rPr>
          <w:lang w:eastAsia="en-US"/>
        </w:rPr>
      </w:r>
      <w:r>
        <w:rPr>
          <w:lang w:eastAsia="en-US"/>
        </w:rPr>
      </w:r>
    </w:p>
    <w:p>
      <w:pPr>
        <w:jc w:val="both"/>
        <w:spacing w:before="120" w:after="120"/>
        <w:rPr>
          <w:sz w:val="28"/>
          <w:highlight w:val="yellow"/>
        </w:rPr>
      </w:pPr>
      <w:r>
        <w:rPr>
          <w:sz w:val="28"/>
          <w:highlight w:val="yellow"/>
        </w:rPr>
      </w:r>
      <w:r>
        <w:rPr>
          <w:sz w:val="28"/>
          <w:highlight w:val="yellow"/>
        </w:rPr>
      </w:r>
      <w:r>
        <w:rPr>
          <w:sz w:val="28"/>
          <w:highlight w:val="yellow"/>
        </w:rPr>
      </w:r>
    </w:p>
    <w:tbl>
      <w:tblPr>
        <w:tblStyle w:val="975"/>
        <w:tblW w:w="9209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5"/>
        <w:gridCol w:w="5244"/>
        <w:gridCol w:w="1843"/>
        <w:gridCol w:w="1697"/>
      </w:tblGrid>
      <w:tr>
        <w:tblPrEx/>
        <w:trPr>
          <w:cantSplit/>
          <w:tblHeader/>
        </w:trPr>
        <w:tc>
          <w:tcPr>
            <w:tcW w:w="425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right w:val="single" w:color="auto" w:sz="4" w:space="0"/>
            </w:tcBorders>
            <w:tcW w:w="5244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услуги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  <w:t xml:space="preserve">Код отхода по ФККО</w:t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  <w:tc>
          <w:tcPr>
            <w:tcBorders>
              <w:right w:val="single" w:color="auto" w:sz="4" w:space="0"/>
            </w:tcBorders>
            <w:tcW w:w="1697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  <w:t xml:space="preserve">Единица измерения</w:t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(с</w:t>
            </w:r>
            <w:r>
              <w:rPr>
                <w:highlight w:val="none"/>
              </w:rPr>
              <w:t xml:space="preserve">истемный блок компьютера, утративший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4 81 201 01 52 4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(п</w:t>
            </w:r>
            <w:r>
              <w:rPr>
                <w:highlight w:val="none"/>
              </w:rPr>
              <w:t xml:space="preserve">ринтеры, сканеры, многофункциональные устройства (МФУ), утратившие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4 81 202 01 52 4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артриджи печатающих устройств с содержанием тонера менее 7% отработанные)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4 81 203 02 52 4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лавиатура, манипулятор «мышь»</w:t>
            </w:r>
            <w:r>
              <w:rPr>
                <w:highlight w:val="none"/>
              </w:rPr>
              <w:t xml:space="preserve"> с соединительными проводами, утратившие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4 81 204 01 52 4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(м</w:t>
            </w:r>
            <w:r>
              <w:rPr>
                <w:highlight w:val="none"/>
              </w:rPr>
              <w:t xml:space="preserve">ониторы </w:t>
            </w:r>
            <w:r>
              <w:rPr>
                <w:highlight w:val="none"/>
              </w:rPr>
              <w:t xml:space="preserve">компьютерные</w:t>
            </w:r>
            <w:r>
              <w:rPr>
                <w:highlight w:val="none"/>
              </w:rPr>
              <w:t xml:space="preserve"> </w:t>
            </w:r>
            <w:r>
              <w:rPr>
                <w:highlight w:val="none"/>
              </w:rPr>
              <w:t xml:space="preserve">жидкокристаллические, утратившие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4 81 205 02 52 4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омпьютеры портативные (ноутбуки), утратившие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4 81 206 11 52 4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(р</w:t>
            </w:r>
            <w:r>
              <w:rPr>
                <w:highlight w:val="none"/>
              </w:rPr>
              <w:t xml:space="preserve">ации портативные, утратившие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4 81 322 21 52 4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оммутаторы, маршрутизаторы сетевые, утратившие потребительские свойства)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4 81 331 12 52 4</w:t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  <w:r>
              <w:rPr>
                <w:sz w:val="24"/>
                <w:szCs w:val="24"/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W w:w="425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right w:val="single" w:color="000000" w:sz="4" w:space="0"/>
            </w:tcBorders>
            <w:tcW w:w="5244" w:type="dxa"/>
            <w:vMerge w:val="restart"/>
            <w:textDirection w:val="lrTb"/>
            <w:noWrap w:val="false"/>
          </w:tcPr>
          <w:p>
            <w:pPr>
              <w:rPr>
                <w:sz w:val="24"/>
                <w:szCs w:val="24"/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(погрузка-разгрузка, транспортирование отходов</w:t>
            </w:r>
            <w:r>
              <w:rPr>
                <w:highlight w:val="none"/>
              </w:rPr>
              <w:t xml:space="preserve">)</w:t>
            </w:r>
            <w:r>
              <w:rPr>
                <w:sz w:val="24"/>
                <w:szCs w:val="24"/>
                <w:highlight w:val="none"/>
                <w14:ligatures w14:val="none"/>
              </w:rPr>
            </w:r>
            <w:r>
              <w:rPr>
                <w:sz w:val="24"/>
                <w:szCs w:val="24"/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697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jc w:val="both"/>
        <w:spacing w:before="120" w:after="120"/>
        <w:rPr>
          <w:sz w:val="28"/>
          <w:szCs w:val="28"/>
          <w:highlight w:val="none"/>
          <w:lang w:eastAsia="en-US"/>
        </w:rPr>
      </w:pPr>
      <w:r>
        <w:rPr>
          <w:sz w:val="28"/>
          <w:lang w:eastAsia="en-US"/>
        </w:rPr>
        <w:t xml:space="preserve">Код услуг по ОКПД2: </w:t>
      </w:r>
      <w:r>
        <w:rPr>
          <w:sz w:val="28"/>
          <w:highlight w:val="none"/>
          <w:lang w:eastAsia="en-US"/>
        </w:rPr>
        <w:t xml:space="preserve">38.22.29.000 «Услуги по утилизации прочих опасных отходов»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jc w:val="both"/>
        <w:spacing w:before="120" w:after="120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jc w:val="both"/>
        <w:spacing w:before="120" w:after="120"/>
        <w:rPr>
          <w:sz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rPr>
          <w:sz w:val="28"/>
          <w:szCs w:val="20"/>
          <w:lang w:eastAsia="en-US"/>
        </w:rPr>
      </w:pPr>
      <w:r>
        <w:rPr>
          <w:lang w:eastAsia="en-US"/>
        </w:rPr>
        <w:br w:type="page" w:clear="all"/>
      </w:r>
      <w:r>
        <w:rPr>
          <w:sz w:val="28"/>
          <w:szCs w:val="20"/>
          <w:lang w:eastAsia="en-US"/>
        </w:rPr>
      </w:r>
      <w:r>
        <w:rPr>
          <w:sz w:val="28"/>
          <w:szCs w:val="20"/>
          <w:lang w:eastAsia="en-US"/>
        </w:rPr>
      </w:r>
    </w:p>
    <w:p>
      <w:pPr>
        <w:pStyle w:val="959"/>
        <w:numPr>
          <w:ilvl w:val="0"/>
          <w:numId w:val="0"/>
        </w:numPr>
        <w:jc w:val="right"/>
        <w:rPr>
          <w:lang w:eastAsia="en-US"/>
        </w:rPr>
      </w:pPr>
      <w:r/>
      <w:bookmarkStart w:id="14" w:name="_Toc136846986"/>
      <w:r>
        <w:rPr>
          <w:lang w:eastAsia="en-US"/>
        </w:rPr>
        <w:t xml:space="preserve">Приложение </w:t>
      </w:r>
      <w:r>
        <w:rPr>
          <w:lang w:eastAsia="en-US"/>
        </w:rPr>
        <w:t xml:space="preserve">2</w:t>
      </w:r>
      <w:r>
        <w:rPr>
          <w:lang w:eastAsia="en-US"/>
        </w:rPr>
        <w:t xml:space="preserve">. Требования к составу и качеству оказываемых Услуг</w:t>
      </w:r>
      <w:bookmarkEnd w:id="14"/>
      <w:r>
        <w:rPr>
          <w:lang w:eastAsia="en-US"/>
        </w:rPr>
      </w:r>
      <w:r>
        <w:rPr>
          <w:lang w:eastAsia="en-US"/>
        </w:rPr>
      </w:r>
    </w:p>
    <w:p>
      <w:pPr>
        <w:ind w:firstLine="709"/>
        <w:jc w:val="both"/>
        <w:spacing w:before="120" w:after="60"/>
        <w:rPr>
          <w:sz w:val="28"/>
          <w:lang w:eastAsia="en-US"/>
        </w:rPr>
      </w:pPr>
      <w:r>
        <w:rPr>
          <w:sz w:val="28"/>
          <w:szCs w:val="28"/>
          <w:lang w:eastAsia="en-US"/>
        </w:rPr>
        <w:t xml:space="preserve">Требования к составу </w:t>
      </w:r>
      <w:r>
        <w:rPr>
          <w:sz w:val="28"/>
          <w:szCs w:val="28"/>
          <w:lang w:eastAsia="en-US"/>
        </w:rPr>
        <w:t xml:space="preserve">оказываемых Услуг</w:t>
      </w:r>
      <w:r>
        <w:rPr>
          <w:sz w:val="28"/>
          <w:szCs w:val="28"/>
          <w:lang w:eastAsia="en-US"/>
        </w:rPr>
        <w:t xml:space="preserve">.</w:t>
      </w:r>
      <w:r>
        <w:rPr>
          <w:sz w:val="28"/>
          <w:lang w:eastAsia="en-US"/>
        </w:rPr>
      </w:r>
      <w:r>
        <w:rPr>
          <w:sz w:val="28"/>
          <w:lang w:eastAsia="en-US"/>
        </w:rPr>
      </w:r>
    </w:p>
    <w:p>
      <w:pPr>
        <w:pStyle w:val="982"/>
        <w:numPr>
          <w:ilvl w:val="0"/>
          <w:numId w:val="46"/>
        </w:numPr>
        <w:jc w:val="both"/>
        <w:spacing w:after="60"/>
        <w:rPr>
          <w:sz w:val="28"/>
          <w:szCs w:val="28"/>
          <w:lang w:eastAsia="en-US"/>
        </w:rPr>
      </w:pPr>
      <w:r>
        <w:rPr>
          <w:sz w:val="28"/>
          <w:highlight w:val="none"/>
          <w:lang w:eastAsia="en-US"/>
        </w:rPr>
      </w:r>
      <w:r>
        <w:rPr>
          <w:sz w:val="28"/>
          <w:highlight w:val="none"/>
          <w:lang w:eastAsia="en-US"/>
        </w:rPr>
        <w:t xml:space="preserve">Под обращением с отходами электронного оборудования понимается: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0"/>
          <w:numId w:val="47"/>
        </w:numPr>
        <w:jc w:val="both"/>
        <w:spacing w:after="60"/>
        <w:rPr>
          <w:sz w:val="28"/>
          <w:highlight w:val="none"/>
          <w:lang w:eastAsia="en-US"/>
        </w:rPr>
      </w:pPr>
      <w:r>
        <w:rPr>
          <w:sz w:val="28"/>
          <w:highlight w:val="none"/>
          <w:lang w:eastAsia="en-US"/>
        </w:rPr>
        <w:t xml:space="preserve">погрузка-разгрузка отходов силами и средствами Исполнителя;</w:t>
      </w:r>
      <w:r>
        <w:rPr>
          <w:sz w:val="28"/>
          <w:highlight w:val="none"/>
          <w:lang w:eastAsia="en-US"/>
        </w:rPr>
      </w:r>
      <w:r>
        <w:rPr>
          <w:sz w:val="28"/>
          <w:highlight w:val="none"/>
          <w:lang w:eastAsia="en-US"/>
        </w:rPr>
      </w:r>
    </w:p>
    <w:p>
      <w:pPr>
        <w:pStyle w:val="982"/>
        <w:numPr>
          <w:ilvl w:val="0"/>
          <w:numId w:val="47"/>
        </w:numPr>
        <w:jc w:val="both"/>
        <w:spacing w:after="60"/>
        <w:rPr>
          <w:sz w:val="28"/>
          <w:highlight w:val="none"/>
          <w:lang w:eastAsia="en-US"/>
        </w:rPr>
      </w:pPr>
      <w:r>
        <w:rPr>
          <w:sz w:val="28"/>
          <w:highlight w:val="none"/>
          <w:lang w:eastAsia="en-US"/>
        </w:rPr>
        <w:t xml:space="preserve">вывоз (транспортирование) отходов средствами и силами Исполнителя до места утилизации/обезвреживания;</w:t>
      </w:r>
      <w:r>
        <w:rPr>
          <w:sz w:val="28"/>
          <w:highlight w:val="none"/>
          <w:lang w:eastAsia="en-US"/>
        </w:rPr>
      </w:r>
      <w:r>
        <w:rPr>
          <w:sz w:val="28"/>
          <w:highlight w:val="none"/>
          <w:lang w:eastAsia="en-US"/>
        </w:rPr>
      </w:r>
    </w:p>
    <w:p>
      <w:pPr>
        <w:pStyle w:val="982"/>
        <w:numPr>
          <w:ilvl w:val="0"/>
          <w:numId w:val="47"/>
        </w:numPr>
        <w:jc w:val="both"/>
        <w:spacing w:after="60"/>
        <w:rPr>
          <w:sz w:val="28"/>
          <w:szCs w:val="28"/>
          <w:lang w:eastAsia="en-US"/>
        </w:rPr>
      </w:pPr>
      <w:r>
        <w:rPr>
          <w:sz w:val="28"/>
          <w:szCs w:val="28"/>
          <w:highlight w:val="none"/>
          <w:lang w:eastAsia="en-US"/>
        </w:rPr>
        <w:t xml:space="preserve">обработка </w:t>
      </w:r>
      <w:r>
        <w:rPr>
          <w:sz w:val="28"/>
          <w:highlight w:val="none"/>
          <w:lang w:eastAsia="en-US"/>
        </w:rPr>
        <w:t xml:space="preserve">и (или) утилизация, обезвреживание отходов электронного оборудования в соответствии с требованиями санитарно-эпидемиологических, экологических и иных норм и правил.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pStyle w:val="982"/>
        <w:numPr>
          <w:ilvl w:val="0"/>
          <w:numId w:val="46"/>
        </w:numPr>
        <w:jc w:val="both"/>
        <w:spacing w:after="60"/>
        <w:tabs>
          <w:tab w:val="clear" w:pos="737" w:leader="none"/>
        </w:tabs>
        <w:rPr>
          <w:sz w:val="28"/>
          <w:szCs w:val="28"/>
          <w:lang w:eastAsia="en-US"/>
        </w:rPr>
      </w:pPr>
      <w:r>
        <w:rPr>
          <w:sz w:val="28"/>
          <w:highlight w:val="none"/>
          <w:lang w:eastAsia="en-US"/>
        </w:rPr>
        <w:t xml:space="preserve">Коды </w:t>
      </w:r>
      <w:r>
        <w:rPr>
          <w:sz w:val="28"/>
          <w:szCs w:val="28"/>
          <w:highlight w:val="none"/>
          <w:lang w:eastAsia="en-US"/>
        </w:rPr>
        <w:t xml:space="preserve">отходов </w:t>
      </w:r>
      <w:r>
        <w:rPr>
          <w:sz w:val="28"/>
          <w:highlight w:val="none"/>
          <w:lang w:eastAsia="en-US"/>
        </w:rPr>
        <w:t xml:space="preserve">по ФККО</w:t>
      </w:r>
      <w:r>
        <w:rPr>
          <w:sz w:val="28"/>
          <w:highlight w:val="none"/>
          <w:lang w:eastAsia="en-US"/>
        </w:rPr>
        <w:t xml:space="preserve">, подлежащих вывозу, обработке и (или) утилизации, обезвреживанию, приведены в Приложении №</w:t>
      </w:r>
      <w:r>
        <w:rPr>
          <w:sz w:val="28"/>
          <w:highlight w:val="none"/>
          <w:lang w:eastAsia="en-US"/>
        </w:rPr>
        <w:t xml:space="preserve">1.</w:t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p>
      <w:pPr>
        <w:ind w:firstLine="709"/>
        <w:jc w:val="both"/>
        <w:spacing w:before="120" w:after="60"/>
        <w:rPr>
          <w:sz w:val="28"/>
          <w:szCs w:val="28"/>
          <w:highlight w:val="none"/>
          <w:lang w:eastAsia="en-US"/>
        </w:rPr>
      </w:pPr>
      <w:r>
        <w:rPr>
          <w:sz w:val="28"/>
          <w:highlight w:val="none"/>
          <w:lang w:eastAsia="en-US"/>
        </w:rPr>
      </w:r>
      <w:r>
        <w:rPr>
          <w:sz w:val="28"/>
          <w:highlight w:val="none"/>
          <w:lang w:eastAsia="en-US"/>
        </w:rPr>
        <w:t xml:space="preserve">Требования к качеству оказания Услуг.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pStyle w:val="982"/>
        <w:numPr>
          <w:ilvl w:val="0"/>
          <w:numId w:val="49"/>
        </w:numPr>
        <w:jc w:val="both"/>
        <w:spacing w:after="60"/>
        <w:rPr>
          <w:sz w:val="28"/>
          <w:szCs w:val="28"/>
          <w:highlight w:val="none"/>
          <w:lang w:eastAsia="en-US"/>
        </w:rPr>
      </w:pPr>
      <w:r>
        <w:rPr>
          <w:sz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  <w:t xml:space="preserve">Услуги </w:t>
      </w:r>
      <w:r>
        <w:rPr>
          <w:sz w:val="28"/>
          <w:highlight w:val="none"/>
          <w:lang w:eastAsia="en-US"/>
        </w:rPr>
        <w:t xml:space="preserve">оказываются по заявке Заказчика в течение 7 (Семи) рабочих дней с момента получения заявки.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pStyle w:val="982"/>
        <w:numPr>
          <w:ilvl w:val="0"/>
          <w:numId w:val="49"/>
        </w:numPr>
        <w:contextualSpacing w:val="0"/>
        <w:jc w:val="both"/>
        <w:spacing w:before="62" w:beforeAutospacing="0" w:after="0" w:afterAutospacing="0"/>
        <w:tabs>
          <w:tab w:val="clear" w:pos="737" w:leader="none"/>
        </w:tabs>
        <w:rPr>
          <w:sz w:val="28"/>
          <w:szCs w:val="28"/>
          <w:highlight w:val="none"/>
          <w:lang w:eastAsia="en-US"/>
          <w14:ligatures w14:val="none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  <w:t xml:space="preserve">При </w:t>
      </w:r>
      <w:r>
        <w:rPr>
          <w:sz w:val="28"/>
          <w:szCs w:val="28"/>
          <w:highlight w:val="none"/>
          <w:lang w:eastAsia="en-US"/>
        </w:rPr>
        <w:t xml:space="preserve">транспортировании отходов электронного </w:t>
      </w:r>
      <w:r>
        <w:rPr>
          <w:sz w:val="28"/>
          <w:szCs w:val="28"/>
          <w:highlight w:val="none"/>
          <w:lang w:eastAsia="en-US"/>
        </w:rPr>
        <w:t xml:space="preserve">оборудования запрещается подвергать отходы электронного оборудования механическому воздействию, приводящему к нарушению их целостности</w:t>
      </w:r>
      <w:r>
        <w:rPr>
          <w:sz w:val="28"/>
          <w:szCs w:val="28"/>
          <w:highlight w:val="none"/>
          <w:lang w:eastAsia="en-US"/>
        </w:rPr>
        <w:t xml:space="preserve">.</w:t>
      </w:r>
      <w:r>
        <w:rPr>
          <w:sz w:val="28"/>
          <w:szCs w:val="28"/>
          <w:highlight w:val="none"/>
          <w:lang w:eastAsia="en-US"/>
          <w14:ligatures w14:val="none"/>
        </w:rPr>
      </w:r>
      <w:r>
        <w:rPr>
          <w:sz w:val="28"/>
          <w:szCs w:val="28"/>
          <w:highlight w:val="none"/>
          <w:lang w:eastAsia="en-US"/>
          <w14:ligatures w14:val="none"/>
        </w:rPr>
      </w:r>
    </w:p>
    <w:p>
      <w:pPr>
        <w:pStyle w:val="982"/>
        <w:numPr>
          <w:ilvl w:val="0"/>
          <w:numId w:val="49"/>
        </w:numPr>
        <w:contextualSpacing w:val="0"/>
        <w:jc w:val="both"/>
        <w:spacing w:before="62" w:beforeAutospacing="0" w:after="0" w:afterAutospacing="0"/>
        <w:tabs>
          <w:tab w:val="clear" w:pos="737" w:leader="none"/>
        </w:tabs>
        <w:rPr>
          <w:sz w:val="28"/>
          <w:szCs w:val="28"/>
          <w:highlight w:val="none"/>
          <w:lang w:eastAsia="en-US"/>
          <w14:ligatures w14:val="none"/>
        </w:rPr>
      </w:pPr>
      <w:r>
        <w:rPr>
          <w:sz w:val="28"/>
          <w:szCs w:val="28"/>
          <w:highlight w:val="none"/>
          <w:lang w:eastAsia="en-US"/>
        </w:rPr>
        <w:t xml:space="preserve">При оказании Услуг Исполнитель обязан обеспечить выполнение необходимых </w:t>
      </w:r>
      <w:r>
        <w:rPr>
          <w:sz w:val="28"/>
          <w:szCs w:val="28"/>
          <w:highlight w:val="none"/>
          <w:lang w:eastAsia="en-US"/>
        </w:rPr>
        <w:t xml:space="preserve">мероприятий </w:t>
      </w:r>
      <w:r>
        <w:rPr>
          <w:sz w:val="28"/>
          <w:szCs w:val="28"/>
          <w:highlight w:val="none"/>
          <w:lang w:eastAsia="en-US"/>
        </w:rPr>
        <w:t xml:space="preserve">по соблюдению правил охраны труда и техники безопасности, а </w:t>
      </w:r>
      <w:r>
        <w:rPr>
          <w:sz w:val="28"/>
          <w:szCs w:val="28"/>
          <w:highlight w:val="none"/>
          <w:lang w:eastAsia="en-US"/>
        </w:rPr>
        <w:t xml:space="preserve">также принимать все необходимые меры по обеспечению безопасности окружающей среды и здоровья человека, в соотв</w:t>
      </w:r>
      <w:r>
        <w:rPr>
          <w:sz w:val="28"/>
          <w:szCs w:val="28"/>
          <w:highlight w:val="none"/>
          <w:lang w:eastAsia="en-US"/>
        </w:rPr>
        <w:t xml:space="preserve">етствии со спецификой оказываемых услуг.</w:t>
      </w:r>
      <w:r>
        <w:rPr>
          <w:sz w:val="28"/>
          <w:szCs w:val="28"/>
          <w:highlight w:val="none"/>
          <w:lang w:eastAsia="en-US"/>
          <w14:ligatures w14:val="none"/>
        </w:rPr>
      </w:r>
      <w:r>
        <w:rPr>
          <w:sz w:val="28"/>
          <w:szCs w:val="28"/>
          <w:highlight w:val="none"/>
          <w:lang w:eastAsia="en-US"/>
          <w14:ligatures w14:val="none"/>
        </w:rPr>
      </w:r>
    </w:p>
    <w:p>
      <w:pPr>
        <w:pStyle w:val="982"/>
        <w:numPr>
          <w:ilvl w:val="0"/>
          <w:numId w:val="49"/>
        </w:numPr>
        <w:contextualSpacing w:val="0"/>
        <w:jc w:val="both"/>
        <w:spacing w:before="62" w:beforeAutospacing="0" w:after="0" w:afterAutospacing="0"/>
        <w:tabs>
          <w:tab w:val="clear" w:pos="737" w:leader="none"/>
        </w:tabs>
        <w:rPr>
          <w:sz w:val="28"/>
          <w:szCs w:val="28"/>
          <w:highlight w:val="none"/>
          <w:lang w:eastAsia="en-US"/>
          <w14:ligatures w14:val="none"/>
        </w:rPr>
      </w:pPr>
      <w:r>
        <w:rPr>
          <w:sz w:val="28"/>
          <w:szCs w:val="28"/>
          <w:highlight w:val="none"/>
          <w:lang w:eastAsia="en-US"/>
          <w14:ligatures w14:val="none"/>
        </w:rPr>
        <w:t xml:space="preserve">Качество Услуг, оказываемых исполнителем, должно соответствовать лицензионным требованиям</w:t>
      </w:r>
      <w:r>
        <w:rPr>
          <w:rStyle w:val="989"/>
          <w:sz w:val="28"/>
          <w:szCs w:val="28"/>
          <w:highlight w:val="none"/>
          <w:lang w:eastAsia="en-US"/>
          <w14:ligatures w14:val="none"/>
        </w:rPr>
        <w:footnoteReference w:id="2"/>
      </w:r>
      <w:r>
        <w:rPr>
          <w:sz w:val="28"/>
          <w:szCs w:val="28"/>
          <w:highlight w:val="none"/>
          <w:lang w:eastAsia="en-US"/>
          <w14:ligatures w14:val="none"/>
        </w:rPr>
        <w:t xml:space="preserve">, предъявляемым </w:t>
      </w:r>
      <w:r>
        <w:rPr>
          <w:sz w:val="28"/>
          <w:szCs w:val="28"/>
          <w:highlight w:val="none"/>
          <w:lang w:eastAsia="en-US"/>
          <w14:ligatures w14:val="none"/>
        </w:rPr>
        <w:t xml:space="preserve">в т.ч. к наличию </w:t>
      </w:r>
      <w:r>
        <w:rPr>
          <w:sz w:val="28"/>
          <w:szCs w:val="28"/>
          <w:highlight w:val="none"/>
          <w:lang w:eastAsia="en-US"/>
        </w:rPr>
        <w:t xml:space="preserve">необходимых </w:t>
      </w:r>
      <w:r>
        <w:rPr>
          <w:sz w:val="28"/>
          <w:szCs w:val="28"/>
          <w:highlight w:val="none"/>
          <w:lang w:eastAsia="en-US"/>
          <w14:ligatures w14:val="none"/>
        </w:rPr>
        <w:t xml:space="preserve">зданий и сооружений, уровню квалификации работников, </w:t>
      </w:r>
      <w:r>
        <w:rPr>
          <w:sz w:val="28"/>
          <w:szCs w:val="28"/>
          <w:highlight w:val="none"/>
          <w:lang w:eastAsia="en-US"/>
          <w14:ligatures w14:val="none"/>
        </w:rPr>
        <w:t xml:space="preserve">соответствию транспортных средств установленным нормам и </w:t>
      </w:r>
      <w:r>
        <w:rPr>
          <w:sz w:val="28"/>
          <w:szCs w:val="28"/>
          <w:highlight w:val="none"/>
          <w:lang w:eastAsia="en-US"/>
          <w14:ligatures w14:val="none"/>
        </w:rPr>
        <w:t xml:space="preserve">наличию необходимого оборудования и специализированных установок.</w:t>
      </w:r>
      <w:r>
        <w:rPr>
          <w:sz w:val="28"/>
          <w:szCs w:val="28"/>
          <w:highlight w:val="none"/>
          <w:lang w:eastAsia="en-US"/>
          <w14:ligatures w14:val="none"/>
        </w:rPr>
      </w:r>
      <w:r>
        <w:rPr>
          <w:sz w:val="28"/>
          <w:szCs w:val="28"/>
          <w:highlight w:val="none"/>
          <w:lang w:eastAsia="en-US"/>
          <w14:ligatures w14:val="none"/>
        </w:rPr>
      </w:r>
    </w:p>
    <w:p>
      <w:pPr>
        <w:pStyle w:val="982"/>
        <w:numPr>
          <w:ilvl w:val="0"/>
          <w:numId w:val="49"/>
        </w:numPr>
        <w:contextualSpacing w:val="0"/>
        <w:jc w:val="both"/>
        <w:spacing w:before="62" w:beforeAutospacing="0" w:after="0" w:afterAutospacing="0"/>
        <w:tabs>
          <w:tab w:val="clear" w:pos="737" w:leader="none"/>
        </w:tabs>
        <w:rPr>
          <w:sz w:val="28"/>
          <w:szCs w:val="28"/>
          <w:highlight w:val="none"/>
          <w:lang w:eastAsia="en-US"/>
        </w:rPr>
      </w:pPr>
      <w:r>
        <w:rPr>
          <w:sz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  <w:t xml:space="preserve">С момента подписания Исполнителем акта приёма-передачи отходов </w:t>
      </w:r>
      <w:r>
        <w:rPr>
          <w:sz w:val="28"/>
          <w:szCs w:val="28"/>
          <w:highlight w:val="none"/>
          <w:lang w:eastAsia="en-US"/>
          <w14:ligatures w14:val="none"/>
        </w:rPr>
        <w:t xml:space="preserve">Исполнитель </w:t>
      </w:r>
      <w:r>
        <w:rPr>
          <w:sz w:val="28"/>
          <w:szCs w:val="28"/>
          <w:highlight w:val="none"/>
          <w:lang w:eastAsia="en-US"/>
        </w:rPr>
        <w:t xml:space="preserve">приобретает в их отношении права владения, пользования и распоряжения в полном объеме, несет бремя их содержания, принимает обязанности по выполнению требований законодательства Ро</w:t>
      </w:r>
      <w:r>
        <w:rPr>
          <w:sz w:val="28"/>
          <w:szCs w:val="28"/>
          <w:highlight w:val="none"/>
          <w:lang w:eastAsia="en-US"/>
        </w:rPr>
        <w:t xml:space="preserve">ссийской Федерации, несет всю ответственность и риски за возможные экологические и другие последствия.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pStyle w:val="982"/>
        <w:numPr>
          <w:ilvl w:val="1"/>
          <w:numId w:val="49"/>
        </w:numPr>
        <w:jc w:val="both"/>
        <w:spacing w:after="60"/>
      </w:pPr>
      <w:r>
        <w:rPr>
          <w:sz w:val="28"/>
          <w:szCs w:val="28"/>
          <w:highlight w:val="none"/>
          <w:lang w:eastAsia="en-US"/>
        </w:rPr>
        <w:t xml:space="preserve">В случае наличия каких-либо претензий со стороны третьих лиц (в том числе </w:t>
      </w:r>
      <w:r>
        <w:rPr>
          <w:sz w:val="28"/>
          <w:szCs w:val="28"/>
          <w:highlight w:val="none"/>
          <w:lang w:eastAsia="en-US"/>
        </w:rPr>
        <w:t xml:space="preserve">государственных </w:t>
      </w:r>
      <w:r>
        <w:rPr>
          <w:sz w:val="28"/>
          <w:szCs w:val="28"/>
          <w:highlight w:val="none"/>
          <w:lang w:eastAsia="en-US"/>
        </w:rPr>
        <w:t xml:space="preserve">контрольно-надзорных органов) после подписания акта приема-передачи отходов, все претензии и требования со стороны третьих лиц (в том числе государственных контрольно-</w:t>
      </w:r>
      <w:r>
        <w:rPr>
          <w:sz w:val="28"/>
          <w:szCs w:val="28"/>
          <w:highlight w:val="none"/>
          <w:lang w:eastAsia="en-US"/>
        </w:rPr>
        <w:t xml:space="preserve">надзорных органов) разрешаются Исполнителем самостоятельно и за свой счет, без перевыставления возможных сумм убытков и штрафных санкций Заказчику.</w:t>
      </w:r>
      <w:r/>
    </w:p>
    <w:p>
      <w:pPr>
        <w:ind w:firstLine="709"/>
        <w:jc w:val="both"/>
        <w:spacing w:before="120" w:after="60"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120" w:after="60"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120" w:after="60"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shd w:val="nil" w:color="auto"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  <w:br w:type="page" w:clear="all"/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pStyle w:val="959"/>
        <w:numPr>
          <w:ilvl w:val="0"/>
          <w:numId w:val="0"/>
        </w:numPr>
        <w:jc w:val="right"/>
        <w:rPr>
          <w:lang w:eastAsia="en-US"/>
        </w:rPr>
      </w:pPr>
      <w:r>
        <w:rPr>
          <w:lang w:eastAsia="en-US"/>
        </w:rPr>
        <w:t xml:space="preserve">Приложение 3</w:t>
      </w:r>
      <w:r>
        <w:rPr>
          <w:lang w:eastAsia="en-US"/>
        </w:rPr>
        <w:t xml:space="preserve">. Объем оказываемых Услуг</w:t>
      </w:r>
      <w:r>
        <w:rPr>
          <w:lang w:eastAsia="en-US"/>
        </w:rPr>
      </w:r>
      <w:r>
        <w:rPr>
          <w:lang w:eastAsia="en-US"/>
        </w:rPr>
      </w:r>
    </w:p>
    <w:p>
      <w:pPr>
        <w:ind w:firstLine="709"/>
        <w:jc w:val="both"/>
        <w:spacing w:before="120" w:after="60"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  <w:t xml:space="preserve">Объем оказания Услуг будет определяться в ходе исполнения договора на основании заявок Заказчика.</w:t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tbl>
      <w:tblPr>
        <w:tblStyle w:val="975"/>
        <w:tblW w:w="94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"/>
        <w:gridCol w:w="4863"/>
        <w:gridCol w:w="1843"/>
        <w:gridCol w:w="1276"/>
        <w:gridCol w:w="1134"/>
      </w:tblGrid>
      <w:tr>
        <w:tblPrEx/>
        <w:trPr>
          <w:cantSplit/>
          <w:tblHeader/>
        </w:trPr>
        <w:tc>
          <w:tcPr>
            <w:tcW w:w="381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right w:val="single" w:color="000000" w:sz="4" w:space="0"/>
            </w:tcBorders>
            <w:tcW w:w="4863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Наименование услуги</w:t>
            </w:r>
            <w:r>
              <w:rPr>
                <w:lang w:eastAsia="en-US"/>
              </w:rPr>
            </w:r>
            <w:r>
              <w:rPr>
                <w:lang w:eastAsia="en-US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</w:r>
            <w:r>
              <w:rPr>
                <w:lang w:eastAsia="en-US"/>
              </w:rPr>
              <w:t xml:space="preserve">Код отхода по ФККО</w:t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  <w:t xml:space="preserve">Единица измерения</w:t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lang w:eastAsia="en-US"/>
                <w14:ligatures w14:val="none"/>
              </w:rPr>
            </w:pPr>
            <w:r>
              <w:rPr>
                <w:lang w:eastAsia="en-US"/>
              </w:rPr>
              <w:t xml:space="preserve">Кол-во</w:t>
            </w:r>
            <w:r>
              <w:rPr>
                <w:lang w:eastAsia="en-US"/>
                <w14:ligatures w14:val="none"/>
              </w:rPr>
            </w:r>
            <w:r>
              <w:rPr>
                <w:lang w:eastAsia="en-US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(с</w:t>
            </w:r>
            <w:r>
              <w:rPr>
                <w:highlight w:val="none"/>
              </w:rPr>
              <w:t xml:space="preserve">истемный блок компьютера, утративший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4 81 201 01 52 4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(п</w:t>
            </w:r>
            <w:r>
              <w:rPr>
                <w:highlight w:val="none"/>
              </w:rPr>
              <w:t xml:space="preserve">ринтеры, сканеры, многофункциональные устройства (МФУ), утратившие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4 81 202 01 52 4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артриджи печатающих устройств с содержанием тонера менее 7% отработанные)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4 81 203 02 52 4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лавиатура, манипулятор «мышь»</w:t>
            </w:r>
            <w:r>
              <w:rPr>
                <w:highlight w:val="none"/>
              </w:rPr>
              <w:t xml:space="preserve"> с соединительными проводами, утратившие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4 81 204 01 52 4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5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(м</w:t>
            </w:r>
            <w:r>
              <w:rPr>
                <w:highlight w:val="none"/>
              </w:rPr>
              <w:t xml:space="preserve">ониторы </w:t>
            </w:r>
            <w:r>
              <w:rPr>
                <w:highlight w:val="none"/>
              </w:rPr>
              <w:t xml:space="preserve">компьютерные</w:t>
            </w:r>
            <w:r>
              <w:rPr>
                <w:highlight w:val="none"/>
              </w:rPr>
              <w:t xml:space="preserve"> </w:t>
            </w:r>
            <w:r>
              <w:rPr>
                <w:highlight w:val="none"/>
              </w:rPr>
              <w:t xml:space="preserve">жидкокристаллические, утратившие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4 81 205 02 52 4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6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омпьютеры портативные (ноутбуки), утратившие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4 81 206 11 52 4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0,5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7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(р</w:t>
            </w:r>
            <w:r>
              <w:rPr>
                <w:highlight w:val="none"/>
              </w:rPr>
              <w:t xml:space="preserve">ации портативные, утратившие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4 81 322 21 52 4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0,05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8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(к</w:t>
            </w:r>
            <w:r>
              <w:rPr>
                <w:highlight w:val="none"/>
              </w:rPr>
              <w:t xml:space="preserve">оммутаторы, маршрутизаторы сетевые, утратившие потребительские свойства)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highlight w:val="none"/>
                <w:lang w:eastAsia="en-US"/>
                <w14:ligatures w14:val="none"/>
              </w:rPr>
            </w:pPr>
            <w:r>
              <w:rPr>
                <w:highlight w:val="none"/>
                <w:lang w:eastAsia="en-US"/>
              </w:rPr>
              <w:t xml:space="preserve">4 81 331 12 52 4</w:t>
            </w:r>
            <w:r>
              <w:rPr>
                <w:highlight w:val="none"/>
                <w:lang w:eastAsia="en-US"/>
                <w14:ligatures w14:val="none"/>
              </w:rPr>
            </w:r>
            <w:r>
              <w:rPr>
                <w:highlight w:val="none"/>
                <w:lang w:eastAsia="en-US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тонна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381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9</w:t>
            </w:r>
            <w:r/>
          </w:p>
        </w:tc>
        <w:tc>
          <w:tcPr>
            <w:tcBorders>
              <w:right w:val="single" w:color="000000" w:sz="4" w:space="0"/>
            </w:tcBorders>
            <w:tcW w:w="4863" w:type="dxa"/>
            <w:vMerge w:val="restart"/>
            <w:textDirection w:val="lrTb"/>
            <w:noWrap w:val="false"/>
          </w:tcPr>
          <w:p>
            <w:pPr>
              <w:rPr>
                <w:highlight w:val="none"/>
                <w14:ligatures w14:val="none"/>
              </w:rPr>
            </w:pPr>
            <w:r>
              <w:rPr>
                <w:highlight w:val="none"/>
              </w:rPr>
            </w:r>
            <w:r>
              <w:rPr>
                <w:highlight w:val="none"/>
              </w:rPr>
              <w:t xml:space="preserve">Услуги по обращению с отходами электронного оборудования (погрузка-разгрузка, транспортирование отходов</w:t>
            </w:r>
            <w:r>
              <w:rPr>
                <w:highlight w:val="none"/>
              </w:rPr>
              <w:t xml:space="preserve">)</w:t>
            </w:r>
            <w:r>
              <w:rPr>
                <w:highlight w:val="none"/>
                <w14:ligatures w14:val="none"/>
              </w:rPr>
            </w:r>
            <w:r>
              <w:rPr>
                <w:highlight w:val="none"/>
                <w14:ligatures w14:val="none"/>
              </w:rPr>
            </w:r>
          </w:p>
        </w:tc>
        <w:tc>
          <w:tcPr>
            <w:tcBorders>
              <w:right w:val="single" w:color="000000" w:sz="4" w:space="0"/>
            </w:tcBorders>
            <w:tcW w:w="1843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рейс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right w:val="single" w:color="000000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rPr>
                <w:sz w:val="24"/>
                <w:szCs w:val="24"/>
                <w14:ligatures w14:val="none"/>
              </w:rPr>
            </w:pPr>
            <w:r>
              <w:rPr>
                <w:sz w:val="24"/>
                <w:szCs w:val="24"/>
              </w:rPr>
              <w:t xml:space="preserve">6</w:t>
            </w:r>
            <w:r>
              <w:rPr>
                <w:sz w:val="24"/>
                <w:szCs w:val="24"/>
                <w14:ligatures w14:val="none"/>
              </w:rPr>
            </w:r>
            <w:r>
              <w:rPr>
                <w:sz w:val="24"/>
                <w:szCs w:val="24"/>
                <w14:ligatures w14:val="none"/>
              </w:rPr>
            </w:r>
          </w:p>
        </w:tc>
      </w:tr>
    </w:tbl>
    <w:p>
      <w:pPr>
        <w:ind w:firstLine="709"/>
        <w:jc w:val="both"/>
        <w:spacing w:before="120" w:after="60"/>
        <w:rPr>
          <w:sz w:val="28"/>
          <w:szCs w:val="28"/>
          <w:highlight w:val="none"/>
          <w:lang w:eastAsia="en-US"/>
        </w:rPr>
      </w:pP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  <w:r>
        <w:rPr>
          <w:sz w:val="28"/>
          <w:szCs w:val="28"/>
          <w:highlight w:val="none"/>
          <w:lang w:eastAsia="en-US"/>
        </w:rPr>
      </w:r>
    </w:p>
    <w:p>
      <w:pPr>
        <w:ind w:firstLine="709"/>
        <w:jc w:val="both"/>
        <w:spacing w:before="120" w:after="60"/>
        <w:rPr>
          <w:sz w:val="28"/>
          <w:szCs w:val="28"/>
          <w:lang w:eastAsia="en-US"/>
        </w:rPr>
      </w:pPr>
      <w:r>
        <w:rPr>
          <w:sz w:val="28"/>
          <w:lang w:eastAsia="en-US"/>
        </w:rPr>
      </w:r>
      <w:r>
        <w:rPr>
          <w:sz w:val="28"/>
          <w:szCs w:val="28"/>
          <w:lang w:eastAsia="en-US"/>
        </w:rPr>
      </w:r>
      <w:r>
        <w:rPr>
          <w:sz w:val="28"/>
          <w:szCs w:val="28"/>
          <w:lang w:eastAsia="en-US"/>
        </w:rPr>
      </w:r>
    </w:p>
    <w:sectPr>
      <w:footnotePr/>
      <w:endnotePr/>
      <w:type w:val="nextPage"/>
      <w:pgSz w:w="11906" w:h="16838" w:orient="portrait"/>
      <w:pgMar w:top="1134" w:right="850" w:bottom="1134" w:left="1701" w:header="284" w:footer="12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9639" w:type="dxa"/>
      <w:tblLook w:val="04A0" w:firstRow="1" w:lastRow="0" w:firstColumn="1" w:lastColumn="0" w:noHBand="0" w:noVBand="1"/>
    </w:tblPr>
    <w:tblGrid>
      <w:gridCol w:w="3042"/>
      <w:gridCol w:w="3042"/>
      <w:gridCol w:w="3555"/>
    </w:tblGrid>
    <w:tr>
      <w:tblPrEx/>
      <w:trPr/>
      <w:tc>
        <w:tcPr>
          <w:tcW w:w="3114" w:type="dxa"/>
          <w:textDirection w:val="lrTb"/>
          <w:noWrap w:val="false"/>
        </w:tcPr>
        <w:p>
          <w:pPr>
            <w:pStyle w:val="972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114" w:type="dxa"/>
          <w:textDirection w:val="lrTb"/>
          <w:noWrap w:val="false"/>
        </w:tcPr>
        <w:p>
          <w:pPr>
            <w:pStyle w:val="972"/>
            <w:ind w:right="360"/>
            <w:rPr>
              <w:sz w:val="20"/>
              <w:szCs w:val="20"/>
            </w:rPr>
          </w:pP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  <w:tc>
        <w:tcPr>
          <w:tcW w:w="3629" w:type="dxa"/>
          <w:textDirection w:val="lrTb"/>
          <w:noWrap w:val="false"/>
        </w:tcPr>
        <w:p>
          <w:pPr>
            <w:pStyle w:val="972"/>
            <w:ind w:right="36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sz w:val="20"/>
              <w:szCs w:val="20"/>
            </w:rPr>
            <w:t xml:space="preserve">6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</w:r>
          <w:r>
            <w:rPr>
              <w:sz w:val="20"/>
              <w:szCs w:val="20"/>
            </w:rPr>
          </w:r>
        </w:p>
      </w:tc>
    </w:tr>
  </w:tbl>
  <w:p>
    <w:pPr>
      <w:pStyle w:val="972"/>
      <w:ind w:right="360"/>
      <w:rPr>
        <w:sz w:val="12"/>
        <w:szCs w:val="12"/>
      </w:rPr>
    </w:pPr>
    <w:r>
      <w:rPr>
        <w:sz w:val="12"/>
        <w:szCs w:val="12"/>
      </w:rPr>
    </w:r>
    <w:r>
      <w:rPr>
        <w:sz w:val="12"/>
        <w:szCs w:val="12"/>
      </w:rPr>
    </w:r>
    <w:r>
      <w:rPr>
        <w:sz w:val="12"/>
        <w:szCs w:val="1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987"/>
      </w:pPr>
      <w:r>
        <w:rPr>
          <w:rStyle w:val="989"/>
        </w:rPr>
        <w:footnoteRef/>
      </w:r>
      <w:r>
        <w:t xml:space="preserve"> </w:t>
      </w:r>
      <w:r>
        <w:t xml:space="preserve">устанавливаются Постановлением Правительства Российской Федерации от 2 июня 2026 г. № 675 «О лицензировании деятельности по сбору, транспортированию, обработке, утилизации, обезвреживанию, размещению отходов I - IV классов опасности»</w:t>
      </w: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pStyle w:val="959"/>
      <w:isLgl w:val="false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960"/>
      <w:isLgl w:val="fal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961"/>
      <w:isLgl w:val="false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isLgl w:val="false"/>
      <w:suff w:val="tab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0" w:firstLine="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0" w:firstLine="709"/>
        <w:tabs>
          <w:tab w:val="num" w:pos="737" w:leader="none"/>
        </w:tabs>
      </w:pPr>
      <w:rPr>
        <w:rFonts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5"/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14"/>
  </w:num>
  <w:num w:numId="10">
    <w:abstractNumId w:val="18"/>
  </w:num>
  <w:num w:numId="11">
    <w:abstractNumId w:val="4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  <w:num w:numId="16">
    <w:abstractNumId w:val="2"/>
  </w:num>
  <w:num w:numId="17">
    <w:abstractNumId w:val="2"/>
  </w:num>
  <w:num w:numId="18">
    <w:abstractNumId w:val="17"/>
  </w:num>
  <w:num w:numId="19">
    <w:abstractNumId w:val="2"/>
  </w:num>
  <w:num w:numId="20">
    <w:abstractNumId w:val="2"/>
  </w:num>
  <w:num w:numId="21">
    <w:abstractNumId w:val="7"/>
  </w:num>
  <w:num w:numId="22">
    <w:abstractNumId w:val="2"/>
  </w:num>
  <w:num w:numId="23">
    <w:abstractNumId w:val="2"/>
  </w:num>
  <w:num w:numId="24">
    <w:abstractNumId w:val="2"/>
  </w:num>
  <w:num w:numId="25">
    <w:abstractNumId w:val="9"/>
  </w:num>
  <w:num w:numId="26">
    <w:abstractNumId w:val="12"/>
  </w:num>
  <w:num w:numId="27">
    <w:abstractNumId w:val="2"/>
  </w:num>
  <w:num w:numId="28">
    <w:abstractNumId w:val="2"/>
  </w:num>
  <w:num w:numId="29">
    <w:abstractNumId w:val="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2"/>
  </w:num>
  <w:num w:numId="33">
    <w:abstractNumId w:val="2"/>
  </w:num>
  <w:num w:numId="34">
    <w:abstractNumId w:val="2"/>
  </w:num>
  <w:num w:numId="35">
    <w:abstractNumId w:val="2"/>
  </w:num>
  <w:num w:numId="36">
    <w:abstractNumId w:val="10"/>
  </w:num>
  <w:num w:numId="37">
    <w:abstractNumId w:val="3"/>
  </w:num>
  <w:num w:numId="38">
    <w:abstractNumId w:val="19"/>
  </w:num>
  <w:num w:numId="39">
    <w:abstractNumId w:val="20"/>
  </w:num>
  <w:num w:numId="40">
    <w:abstractNumId w:val="21"/>
  </w:num>
  <w:num w:numId="41">
    <w:abstractNumId w:val="22"/>
  </w:num>
  <w:num w:numId="42">
    <w:abstractNumId w:val="23"/>
  </w:num>
  <w:num w:numId="43">
    <w:abstractNumId w:val="24"/>
  </w:num>
  <w:num w:numId="44">
    <w:abstractNumId w:val="25"/>
  </w:num>
  <w:num w:numId="45">
    <w:abstractNumId w:val="26"/>
  </w:num>
  <w:num w:numId="46">
    <w:abstractNumId w:val="27"/>
  </w:num>
  <w:num w:numId="47">
    <w:abstractNumId w:val="28"/>
  </w:num>
  <w:num w:numId="48">
    <w:abstractNumId w:val="29"/>
  </w:num>
  <w:num w:numId="49">
    <w:abstractNumId w:val="30"/>
  </w:num>
  <w:num w:numId="50">
    <w:abstractNumId w:val="31"/>
  </w:num>
  <w:num w:numId="51">
    <w:abstractNumId w:val="32"/>
  </w:num>
  <w:num w:numId="5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94">
    <w:name w:val="Heading 1 Char"/>
    <w:basedOn w:val="962"/>
    <w:link w:val="959"/>
    <w:uiPriority w:val="9"/>
    <w:rPr>
      <w:rFonts w:ascii="Arial" w:hAnsi="Arial" w:eastAsia="Arial" w:cs="Arial"/>
      <w:sz w:val="40"/>
      <w:szCs w:val="40"/>
    </w:rPr>
  </w:style>
  <w:style w:type="character" w:styleId="795">
    <w:name w:val="Heading 2 Char"/>
    <w:basedOn w:val="962"/>
    <w:link w:val="960"/>
    <w:uiPriority w:val="9"/>
    <w:rPr>
      <w:rFonts w:ascii="Arial" w:hAnsi="Arial" w:eastAsia="Arial" w:cs="Arial"/>
      <w:sz w:val="34"/>
    </w:rPr>
  </w:style>
  <w:style w:type="character" w:styleId="796">
    <w:name w:val="Heading 3 Char"/>
    <w:basedOn w:val="962"/>
    <w:link w:val="961"/>
    <w:uiPriority w:val="9"/>
    <w:rPr>
      <w:rFonts w:ascii="Arial" w:hAnsi="Arial" w:eastAsia="Arial" w:cs="Arial"/>
      <w:sz w:val="30"/>
      <w:szCs w:val="30"/>
    </w:rPr>
  </w:style>
  <w:style w:type="paragraph" w:styleId="797">
    <w:name w:val="Heading 4"/>
    <w:basedOn w:val="958"/>
    <w:next w:val="958"/>
    <w:link w:val="7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8">
    <w:name w:val="Heading 4 Char"/>
    <w:basedOn w:val="962"/>
    <w:link w:val="797"/>
    <w:uiPriority w:val="9"/>
    <w:rPr>
      <w:rFonts w:ascii="Arial" w:hAnsi="Arial" w:eastAsia="Arial" w:cs="Arial"/>
      <w:b/>
      <w:bCs/>
      <w:sz w:val="26"/>
      <w:szCs w:val="26"/>
    </w:rPr>
  </w:style>
  <w:style w:type="paragraph" w:styleId="799">
    <w:name w:val="Heading 5"/>
    <w:basedOn w:val="958"/>
    <w:next w:val="958"/>
    <w:link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0">
    <w:name w:val="Heading 5 Char"/>
    <w:basedOn w:val="962"/>
    <w:link w:val="799"/>
    <w:uiPriority w:val="9"/>
    <w:rPr>
      <w:rFonts w:ascii="Arial" w:hAnsi="Arial" w:eastAsia="Arial" w:cs="Arial"/>
      <w:b/>
      <w:bCs/>
      <w:sz w:val="24"/>
      <w:szCs w:val="24"/>
    </w:rPr>
  </w:style>
  <w:style w:type="paragraph" w:styleId="801">
    <w:name w:val="Heading 6"/>
    <w:basedOn w:val="958"/>
    <w:next w:val="958"/>
    <w:link w:val="8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2">
    <w:name w:val="Heading 6 Char"/>
    <w:basedOn w:val="962"/>
    <w:link w:val="801"/>
    <w:uiPriority w:val="9"/>
    <w:rPr>
      <w:rFonts w:ascii="Arial" w:hAnsi="Arial" w:eastAsia="Arial" w:cs="Arial"/>
      <w:b/>
      <w:bCs/>
      <w:sz w:val="22"/>
      <w:szCs w:val="22"/>
    </w:rPr>
  </w:style>
  <w:style w:type="paragraph" w:styleId="803">
    <w:name w:val="Heading 7"/>
    <w:basedOn w:val="958"/>
    <w:next w:val="958"/>
    <w:link w:val="8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4">
    <w:name w:val="Heading 7 Char"/>
    <w:basedOn w:val="962"/>
    <w:link w:val="8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5">
    <w:name w:val="Heading 8"/>
    <w:basedOn w:val="958"/>
    <w:next w:val="958"/>
    <w:link w:val="8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6">
    <w:name w:val="Heading 8 Char"/>
    <w:basedOn w:val="962"/>
    <w:link w:val="805"/>
    <w:uiPriority w:val="9"/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958"/>
    <w:next w:val="958"/>
    <w:link w:val="8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9 Char"/>
    <w:basedOn w:val="962"/>
    <w:link w:val="807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No Spacing"/>
    <w:uiPriority w:val="1"/>
    <w:qFormat/>
    <w:pPr>
      <w:spacing w:before="0" w:after="0" w:line="240" w:lineRule="auto"/>
    </w:pPr>
  </w:style>
  <w:style w:type="paragraph" w:styleId="810">
    <w:name w:val="Title"/>
    <w:basedOn w:val="958"/>
    <w:next w:val="958"/>
    <w:link w:val="8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1">
    <w:name w:val="Title Char"/>
    <w:basedOn w:val="962"/>
    <w:link w:val="810"/>
    <w:uiPriority w:val="10"/>
    <w:rPr>
      <w:sz w:val="48"/>
      <w:szCs w:val="48"/>
    </w:rPr>
  </w:style>
  <w:style w:type="paragraph" w:styleId="812">
    <w:name w:val="Subtitle"/>
    <w:basedOn w:val="958"/>
    <w:next w:val="958"/>
    <w:link w:val="813"/>
    <w:uiPriority w:val="11"/>
    <w:qFormat/>
    <w:pPr>
      <w:spacing w:before="200" w:after="200"/>
    </w:pPr>
    <w:rPr>
      <w:sz w:val="24"/>
      <w:szCs w:val="24"/>
    </w:rPr>
  </w:style>
  <w:style w:type="character" w:styleId="813">
    <w:name w:val="Subtitle Char"/>
    <w:basedOn w:val="962"/>
    <w:link w:val="812"/>
    <w:uiPriority w:val="11"/>
    <w:rPr>
      <w:sz w:val="24"/>
      <w:szCs w:val="24"/>
    </w:rPr>
  </w:style>
  <w:style w:type="paragraph" w:styleId="814">
    <w:name w:val="Quote"/>
    <w:basedOn w:val="958"/>
    <w:next w:val="958"/>
    <w:link w:val="815"/>
    <w:uiPriority w:val="29"/>
    <w:qFormat/>
    <w:pPr>
      <w:ind w:left="720" w:right="720"/>
    </w:pPr>
    <w:rPr>
      <w:i/>
    </w:rPr>
  </w:style>
  <w:style w:type="character" w:styleId="815">
    <w:name w:val="Quote Char"/>
    <w:link w:val="814"/>
    <w:uiPriority w:val="29"/>
    <w:rPr>
      <w:i/>
    </w:rPr>
  </w:style>
  <w:style w:type="paragraph" w:styleId="816">
    <w:name w:val="Intense Quote"/>
    <w:basedOn w:val="958"/>
    <w:next w:val="958"/>
    <w:link w:val="8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7">
    <w:name w:val="Intense Quote Char"/>
    <w:link w:val="816"/>
    <w:uiPriority w:val="30"/>
    <w:rPr>
      <w:i/>
    </w:rPr>
  </w:style>
  <w:style w:type="character" w:styleId="818">
    <w:name w:val="Header Char"/>
    <w:basedOn w:val="962"/>
    <w:link w:val="970"/>
    <w:uiPriority w:val="99"/>
  </w:style>
  <w:style w:type="character" w:styleId="819">
    <w:name w:val="Footer Char"/>
    <w:basedOn w:val="962"/>
    <w:link w:val="972"/>
    <w:uiPriority w:val="99"/>
  </w:style>
  <w:style w:type="paragraph" w:styleId="820">
    <w:name w:val="Caption"/>
    <w:basedOn w:val="958"/>
    <w:next w:val="958"/>
    <w:link w:val="8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1">
    <w:name w:val="Caption Char"/>
    <w:basedOn w:val="962"/>
    <w:link w:val="820"/>
    <w:uiPriority w:val="35"/>
    <w:rPr>
      <w:b/>
      <w:bCs/>
      <w:color w:val="4f81bd" w:themeColor="accent1"/>
      <w:sz w:val="18"/>
      <w:szCs w:val="18"/>
    </w:rPr>
  </w:style>
  <w:style w:type="table" w:styleId="822">
    <w:name w:val="Table Grid Light"/>
    <w:basedOn w:val="9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3">
    <w:name w:val="Plain Table 1"/>
    <w:basedOn w:val="96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4">
    <w:name w:val="Plain Table 2"/>
    <w:basedOn w:val="96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5">
    <w:name w:val="Plain Table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6">
    <w:name w:val="Plain Table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Plain Table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28">
    <w:name w:val="Grid Table 1 Light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Grid Table 1 Light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Grid Table 1 Light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2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2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3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4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0">
    <w:name w:val="Grid Table 4 - Accent 1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1">
    <w:name w:val="Grid Table 4 - Accent 2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2">
    <w:name w:val="Grid Table 4 - Accent 3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3">
    <w:name w:val="Grid Table 4 - Accent 4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4">
    <w:name w:val="Grid Table 4 - Accent 5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5">
    <w:name w:val="Grid Table 4 - Accent 6"/>
    <w:basedOn w:val="96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6">
    <w:name w:val="Grid Table 5 Dark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7">
    <w:name w:val="Grid Table 5 Dark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8">
    <w:name w:val="Grid Table 5 Dark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9">
    <w:name w:val="Grid Table 5 Dark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0">
    <w:name w:val="Grid Table 5 Dark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62">
    <w:name w:val="Grid Table 5 Dark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63">
    <w:name w:val="Grid Table 6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4">
    <w:name w:val="Grid Table 6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5">
    <w:name w:val="Grid Table 6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6">
    <w:name w:val="Grid Table 6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7">
    <w:name w:val="Grid Table 6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68">
    <w:name w:val="Grid Table 6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69">
    <w:name w:val="Grid Table 6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0">
    <w:name w:val="Grid Table 7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Grid Table 7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7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List Table 1 Light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List Table 1 Light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5">
    <w:name w:val="List Table 2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6">
    <w:name w:val="List Table 2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7">
    <w:name w:val="List Table 2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88">
    <w:name w:val="List Table 2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89">
    <w:name w:val="List Table 2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0">
    <w:name w:val="List Table 2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1">
    <w:name w:val="List Table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3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3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4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5 Dark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6">
    <w:name w:val="List Table 5 Dark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7">
    <w:name w:val="List Table 5 Dark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6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3">
    <w:name w:val="List Table 6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4">
    <w:name w:val="List Table 6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5">
    <w:name w:val="List Table 6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6">
    <w:name w:val="List Table 6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7">
    <w:name w:val="List Table 6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18">
    <w:name w:val="List Table 6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19">
    <w:name w:val="List Table 7 Colorful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0">
    <w:name w:val="List Table 7 Colorful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21">
    <w:name w:val="List Table 7 Colorful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22">
    <w:name w:val="List Table 7 Colorful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23">
    <w:name w:val="List Table 7 Colorful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24">
    <w:name w:val="List Table 7 Colorful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25">
    <w:name w:val="List Table 7 Colorful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26">
    <w:name w:val="Lined - Accent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7">
    <w:name w:val="Lined - Accent 1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8">
    <w:name w:val="Lined - Accent 2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9">
    <w:name w:val="Lined - Accent 3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0">
    <w:name w:val="Lined - Accent 4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1">
    <w:name w:val="Lined - Accent 5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2">
    <w:name w:val="Lined - Accent 6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33">
    <w:name w:val="Bordered &amp; Lined - Accent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4">
    <w:name w:val="Bordered &amp; Lined - Accent 1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35">
    <w:name w:val="Bordered &amp; Lined - Accent 2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36">
    <w:name w:val="Bordered &amp; Lined - Accent 3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37">
    <w:name w:val="Bordered &amp; Lined - Accent 4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38">
    <w:name w:val="Bordered &amp; Lined - Accent 5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39">
    <w:name w:val="Bordered &amp; Lined - Accent 6"/>
    <w:basedOn w:val="96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40">
    <w:name w:val="Bordered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1">
    <w:name w:val="Bordered - Accent 1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2">
    <w:name w:val="Bordered - Accent 2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3">
    <w:name w:val="Bordered - Accent 3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4">
    <w:name w:val="Bordered - Accent 4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5">
    <w:name w:val="Bordered - Accent 5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6">
    <w:name w:val="Bordered - Accent 6"/>
    <w:basedOn w:val="96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47">
    <w:name w:val="Footnote Text Char"/>
    <w:link w:val="987"/>
    <w:uiPriority w:val="99"/>
    <w:rPr>
      <w:sz w:val="18"/>
    </w:rPr>
  </w:style>
  <w:style w:type="paragraph" w:styleId="948">
    <w:name w:val="endnote text"/>
    <w:basedOn w:val="958"/>
    <w:link w:val="949"/>
    <w:uiPriority w:val="99"/>
    <w:semiHidden/>
    <w:unhideWhenUsed/>
    <w:pPr>
      <w:spacing w:after="0" w:line="240" w:lineRule="auto"/>
    </w:pPr>
    <w:rPr>
      <w:sz w:val="20"/>
    </w:rPr>
  </w:style>
  <w:style w:type="character" w:styleId="949">
    <w:name w:val="Endnote Text Char"/>
    <w:link w:val="948"/>
    <w:uiPriority w:val="99"/>
    <w:rPr>
      <w:sz w:val="20"/>
    </w:rPr>
  </w:style>
  <w:style w:type="character" w:styleId="950">
    <w:name w:val="endnote reference"/>
    <w:basedOn w:val="962"/>
    <w:uiPriority w:val="99"/>
    <w:semiHidden/>
    <w:unhideWhenUsed/>
    <w:rPr>
      <w:vertAlign w:val="superscript"/>
    </w:rPr>
  </w:style>
  <w:style w:type="paragraph" w:styleId="951">
    <w:name w:val="toc 4"/>
    <w:basedOn w:val="958"/>
    <w:next w:val="958"/>
    <w:uiPriority w:val="39"/>
    <w:unhideWhenUsed/>
    <w:pPr>
      <w:ind w:left="850" w:right="0" w:firstLine="0"/>
      <w:spacing w:after="57"/>
    </w:pPr>
  </w:style>
  <w:style w:type="paragraph" w:styleId="952">
    <w:name w:val="toc 5"/>
    <w:basedOn w:val="958"/>
    <w:next w:val="958"/>
    <w:uiPriority w:val="39"/>
    <w:unhideWhenUsed/>
    <w:pPr>
      <w:ind w:left="1134" w:right="0" w:firstLine="0"/>
      <w:spacing w:after="57"/>
    </w:pPr>
  </w:style>
  <w:style w:type="paragraph" w:styleId="953">
    <w:name w:val="toc 6"/>
    <w:basedOn w:val="958"/>
    <w:next w:val="958"/>
    <w:uiPriority w:val="39"/>
    <w:unhideWhenUsed/>
    <w:pPr>
      <w:ind w:left="1417" w:right="0" w:firstLine="0"/>
      <w:spacing w:after="57"/>
    </w:pPr>
  </w:style>
  <w:style w:type="paragraph" w:styleId="954">
    <w:name w:val="toc 7"/>
    <w:basedOn w:val="958"/>
    <w:next w:val="958"/>
    <w:uiPriority w:val="39"/>
    <w:unhideWhenUsed/>
    <w:pPr>
      <w:ind w:left="1701" w:right="0" w:firstLine="0"/>
      <w:spacing w:after="57"/>
    </w:pPr>
  </w:style>
  <w:style w:type="paragraph" w:styleId="955">
    <w:name w:val="toc 8"/>
    <w:basedOn w:val="958"/>
    <w:next w:val="958"/>
    <w:uiPriority w:val="39"/>
    <w:unhideWhenUsed/>
    <w:pPr>
      <w:ind w:left="1984" w:right="0" w:firstLine="0"/>
      <w:spacing w:after="57"/>
    </w:pPr>
  </w:style>
  <w:style w:type="paragraph" w:styleId="956">
    <w:name w:val="toc 9"/>
    <w:basedOn w:val="958"/>
    <w:next w:val="958"/>
    <w:uiPriority w:val="39"/>
    <w:unhideWhenUsed/>
    <w:pPr>
      <w:ind w:left="2268" w:right="0" w:firstLine="0"/>
      <w:spacing w:after="57"/>
    </w:pPr>
  </w:style>
  <w:style w:type="paragraph" w:styleId="957">
    <w:name w:val="table of figures"/>
    <w:basedOn w:val="958"/>
    <w:next w:val="958"/>
    <w:uiPriority w:val="99"/>
    <w:unhideWhenUsed/>
    <w:pPr>
      <w:spacing w:after="0" w:afterAutospacing="0"/>
    </w:pPr>
  </w:style>
  <w:style w:type="paragraph" w:styleId="958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959">
    <w:name w:val="Heading 1"/>
    <w:basedOn w:val="958"/>
    <w:next w:val="958"/>
    <w:link w:val="976"/>
    <w:qFormat/>
    <w:pPr>
      <w:numPr>
        <w:ilvl w:val="0"/>
        <w:numId w:val="8"/>
      </w:numPr>
      <w:jc w:val="both"/>
      <w:keepNext/>
      <w:spacing w:before="120" w:after="120"/>
      <w:outlineLvl w:val="0"/>
    </w:pPr>
    <w:rPr>
      <w:sz w:val="28"/>
      <w:szCs w:val="20"/>
    </w:rPr>
  </w:style>
  <w:style w:type="paragraph" w:styleId="960">
    <w:name w:val="Heading 2"/>
    <w:basedOn w:val="958"/>
    <w:next w:val="958"/>
    <w:link w:val="965"/>
    <w:qFormat/>
    <w:pPr>
      <w:numPr>
        <w:ilvl w:val="1"/>
        <w:numId w:val="8"/>
      </w:numPr>
      <w:keepNext/>
      <w:spacing w:before="120" w:after="120"/>
      <w:outlineLvl w:val="1"/>
    </w:pPr>
    <w:rPr>
      <w:sz w:val="28"/>
      <w:szCs w:val="20"/>
    </w:rPr>
  </w:style>
  <w:style w:type="paragraph" w:styleId="961">
    <w:name w:val="Heading 3"/>
    <w:basedOn w:val="958"/>
    <w:next w:val="958"/>
    <w:link w:val="979"/>
    <w:qFormat/>
    <w:pPr>
      <w:numPr>
        <w:ilvl w:val="2"/>
        <w:numId w:val="8"/>
      </w:numPr>
      <w:keepNext/>
      <w:spacing w:before="120" w:after="60"/>
      <w:outlineLvl w:val="2"/>
    </w:pPr>
    <w:rPr>
      <w:sz w:val="28"/>
      <w:szCs w:val="20"/>
    </w:rPr>
  </w:style>
  <w:style w:type="character" w:styleId="962" w:default="1">
    <w:name w:val="Default Paragraph Font"/>
    <w:uiPriority w:val="1"/>
    <w:semiHidden/>
    <w:unhideWhenUsed/>
  </w:style>
  <w:style w:type="table" w:styleId="96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4" w:default="1">
    <w:name w:val="No List"/>
    <w:uiPriority w:val="99"/>
    <w:semiHidden/>
    <w:unhideWhenUsed/>
  </w:style>
  <w:style w:type="character" w:styleId="965" w:customStyle="1">
    <w:name w:val="Заголовок 2 Знак"/>
    <w:link w:val="960"/>
    <w:rPr>
      <w:rFonts w:ascii="Times New Roman" w:hAnsi="Times New Roman" w:eastAsia="Times New Roman"/>
      <w:sz w:val="28"/>
    </w:rPr>
  </w:style>
  <w:style w:type="paragraph" w:styleId="966">
    <w:name w:val="Balloon Text"/>
    <w:basedOn w:val="958"/>
    <w:link w:val="967"/>
    <w:uiPriority w:val="99"/>
    <w:semiHidden/>
    <w:rPr>
      <w:rFonts w:ascii="Tahoma" w:hAnsi="Tahoma" w:cs="Tahoma"/>
      <w:sz w:val="16"/>
      <w:szCs w:val="16"/>
    </w:rPr>
  </w:style>
  <w:style w:type="character" w:styleId="967" w:customStyle="1">
    <w:name w:val="Текст выноски Знак"/>
    <w:link w:val="966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968" w:customStyle="1">
    <w:name w:val="Абзац списка1"/>
    <w:basedOn w:val="958"/>
    <w:uiPriority w:val="99"/>
    <w:qFormat/>
    <w:pPr>
      <w:ind w:left="720"/>
    </w:pPr>
  </w:style>
  <w:style w:type="character" w:styleId="969">
    <w:name w:val="Hyperlink"/>
    <w:uiPriority w:val="99"/>
    <w:rPr>
      <w:color w:val="0000ff"/>
      <w:u w:val="single"/>
    </w:rPr>
  </w:style>
  <w:style w:type="paragraph" w:styleId="970">
    <w:name w:val="Header"/>
    <w:basedOn w:val="958"/>
    <w:link w:val="971"/>
    <w:uiPriority w:val="99"/>
    <w:pPr>
      <w:tabs>
        <w:tab w:val="center" w:pos="4677" w:leader="none"/>
        <w:tab w:val="right" w:pos="9355" w:leader="none"/>
      </w:tabs>
    </w:pPr>
  </w:style>
  <w:style w:type="character" w:styleId="971" w:customStyle="1">
    <w:name w:val="Верхний колонтитул Знак"/>
    <w:link w:val="970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972">
    <w:name w:val="Footer"/>
    <w:basedOn w:val="958"/>
    <w:link w:val="973"/>
    <w:uiPriority w:val="99"/>
    <w:pPr>
      <w:tabs>
        <w:tab w:val="center" w:pos="4677" w:leader="none"/>
        <w:tab w:val="right" w:pos="9355" w:leader="none"/>
      </w:tabs>
    </w:pPr>
  </w:style>
  <w:style w:type="character" w:styleId="973" w:customStyle="1">
    <w:name w:val="Нижний колонтитул Знак"/>
    <w:link w:val="972"/>
    <w:uiPriority w:val="99"/>
    <w:rPr>
      <w:rFonts w:ascii="Times New Roman" w:hAnsi="Times New Roman" w:cs="Times New Roman"/>
      <w:sz w:val="24"/>
      <w:szCs w:val="24"/>
      <w:lang w:eastAsia="ru-RU"/>
    </w:rPr>
  </w:style>
  <w:style w:type="character" w:styleId="974">
    <w:name w:val="page number"/>
    <w:basedOn w:val="962"/>
  </w:style>
  <w:style w:type="table" w:styleId="975">
    <w:name w:val="Table Grid"/>
    <w:basedOn w:val="963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6" w:customStyle="1">
    <w:name w:val="Заголовок 1 Знак"/>
    <w:basedOn w:val="962"/>
    <w:link w:val="959"/>
    <w:rPr>
      <w:rFonts w:ascii="Times New Roman" w:hAnsi="Times New Roman" w:eastAsia="Times New Roman"/>
      <w:sz w:val="28"/>
    </w:rPr>
  </w:style>
  <w:style w:type="paragraph" w:styleId="977">
    <w:name w:val="toc 1"/>
    <w:basedOn w:val="958"/>
    <w:next w:val="958"/>
    <w:uiPriority w:val="39"/>
    <w:pPr>
      <w:spacing w:after="100"/>
    </w:pPr>
  </w:style>
  <w:style w:type="paragraph" w:styleId="978">
    <w:name w:val="toc 2"/>
    <w:basedOn w:val="958"/>
    <w:next w:val="958"/>
    <w:uiPriority w:val="39"/>
    <w:pPr>
      <w:ind w:left="240"/>
      <w:spacing w:after="100"/>
    </w:pPr>
  </w:style>
  <w:style w:type="character" w:styleId="979" w:customStyle="1">
    <w:name w:val="Заголовок 3 Знак"/>
    <w:basedOn w:val="962"/>
    <w:link w:val="961"/>
    <w:rPr>
      <w:rFonts w:ascii="Times New Roman" w:hAnsi="Times New Roman" w:eastAsia="Times New Roman"/>
      <w:sz w:val="28"/>
    </w:rPr>
  </w:style>
  <w:style w:type="paragraph" w:styleId="980">
    <w:name w:val="toc 3"/>
    <w:basedOn w:val="958"/>
    <w:next w:val="958"/>
    <w:uiPriority w:val="39"/>
    <w:pPr>
      <w:ind w:left="480"/>
      <w:spacing w:after="100"/>
    </w:pPr>
  </w:style>
  <w:style w:type="paragraph" w:styleId="981">
    <w:name w:val="TOC Heading"/>
    <w:basedOn w:val="959"/>
    <w:next w:val="958"/>
    <w:uiPriority w:val="39"/>
    <w:semiHidden/>
    <w:unhideWhenUsed/>
    <w:qFormat/>
    <w:pPr>
      <w:numPr>
        <w:ilvl w:val="0"/>
        <w:numId w:val="0"/>
      </w:numPr>
      <w:jc w:val="left"/>
      <w:keepLines/>
      <w:spacing w:before="480" w:after="0" w:line="276" w:lineRule="auto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982">
    <w:name w:val="List Paragraph"/>
    <w:basedOn w:val="958"/>
    <w:uiPriority w:val="34"/>
    <w:qFormat/>
    <w:pPr>
      <w:contextualSpacing/>
      <w:ind w:left="720"/>
    </w:pPr>
  </w:style>
  <w:style w:type="paragraph" w:styleId="983" w:customStyle="1">
    <w:name w:val="Пункт"/>
    <w:basedOn w:val="958"/>
    <w:pPr>
      <w:ind w:left="1134" w:hanging="1134"/>
      <w:jc w:val="both"/>
      <w:spacing w:line="360" w:lineRule="auto"/>
      <w:tabs>
        <w:tab w:val="num" w:pos="1134" w:leader="none"/>
      </w:tabs>
    </w:pPr>
    <w:rPr>
      <w:sz w:val="28"/>
      <w:szCs w:val="20"/>
    </w:rPr>
  </w:style>
  <w:style w:type="paragraph" w:styleId="984" w:customStyle="1">
    <w:name w:val="ENDLIST"/>
    <w:basedOn w:val="958"/>
    <w:pPr>
      <w:jc w:val="center"/>
      <w:keepLines/>
      <w:spacing w:before="240" w:after="240" w:line="288" w:lineRule="auto"/>
      <w:widowControl w:val="off"/>
    </w:pPr>
    <w:rPr>
      <w:b/>
      <w:caps/>
      <w:lang w:eastAsia="en-US"/>
    </w:rPr>
  </w:style>
  <w:style w:type="paragraph" w:styleId="985" w:customStyle="1">
    <w:name w:val="АИС_Обычный текст"/>
    <w:link w:val="986"/>
    <w:qFormat/>
    <w:pPr>
      <w:jc w:val="both"/>
      <w:spacing w:line="360" w:lineRule="auto"/>
    </w:pPr>
    <w:rPr>
      <w:rFonts w:ascii="Times New Roman" w:hAnsi="Times New Roman" w:eastAsia="Times New Roman"/>
      <w:sz w:val="24"/>
      <w:szCs w:val="28"/>
    </w:rPr>
  </w:style>
  <w:style w:type="character" w:styleId="986" w:customStyle="1">
    <w:name w:val="АИС_Обычный текст Знак"/>
    <w:link w:val="985"/>
    <w:rPr>
      <w:rFonts w:ascii="Times New Roman" w:hAnsi="Times New Roman" w:eastAsia="Times New Roman"/>
      <w:sz w:val="24"/>
      <w:szCs w:val="28"/>
    </w:rPr>
  </w:style>
  <w:style w:type="paragraph" w:styleId="987">
    <w:name w:val="footnote text"/>
    <w:basedOn w:val="958"/>
    <w:link w:val="988"/>
    <w:uiPriority w:val="99"/>
    <w:semiHidden/>
    <w:unhideWhenUsed/>
    <w:rPr>
      <w:sz w:val="20"/>
      <w:szCs w:val="20"/>
    </w:rPr>
  </w:style>
  <w:style w:type="character" w:styleId="988" w:customStyle="1">
    <w:name w:val="Текст сноски Знак"/>
    <w:basedOn w:val="962"/>
    <w:link w:val="987"/>
    <w:uiPriority w:val="99"/>
    <w:semiHidden/>
    <w:rPr>
      <w:rFonts w:ascii="Times New Roman" w:hAnsi="Times New Roman" w:eastAsia="Times New Roman"/>
    </w:rPr>
  </w:style>
  <w:style w:type="character" w:styleId="989">
    <w:name w:val="footnote reference"/>
    <w:basedOn w:val="962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A6838-C10B-439D-A613-FC59B3655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cp:lastModifiedBy>spb01077</cp:lastModifiedBy>
  <cp:revision>8</cp:revision>
  <dcterms:created xsi:type="dcterms:W3CDTF">2023-05-03T11:54:00Z</dcterms:created>
  <dcterms:modified xsi:type="dcterms:W3CDTF">2026-09-04T15:15:10Z</dcterms:modified>
</cp:coreProperties>
</file>