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76" w:before="0" w:after="0"/>
        <w:ind w:hanging="0" w:start="0" w:end="0"/>
        <w:jc w:val="center"/>
        <w:rPr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Техническое задание</w:t>
      </w:r>
    </w:p>
    <w:p>
      <w:pPr>
        <w:pStyle w:val="Normal"/>
        <w:widowControl/>
        <w:spacing w:lineRule="auto" w:line="276" w:before="0" w:after="0"/>
        <w:ind w:hanging="0" w:start="0" w:end="0"/>
        <w:jc w:val="center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на выполнение работ по объекту: «Расходы на мероприятия по повышению уровня обустройства автомобильных дорог федерального значения. Устройство стационарного электрического освещения на автомобильной дороге Р-256 «Чуйский тракт» Новосибирск – Барнаул – Горно-Алтайск – граница с Монголией на участках км 633+610 – км 634+482, км 639+251 – км 640+504 (с. Онгудай), км 672+555 – км 672+853, км 675+353 – км 675+690 (с. Купчегень), км 735+256 – км 735+356, км 737+097 – км 737+197 (с. Йодро), км 740+839 – км 741+255 (с. Белый Бом), км 788+204 – км 788+895, км 791+600 – км 791+721 (с. Акташ), км 888+686 – км 890+000, км 894+386 – км 894+519 (с. Кош-Агач), Республика Алтай»</w:t>
      </w:r>
    </w:p>
    <w:p>
      <w:pPr>
        <w:pStyle w:val="Normal"/>
        <w:widowControl/>
        <w:spacing w:lineRule="auto" w:line="276" w:before="0" w:after="0"/>
        <w:ind w:hanging="0" w:start="0" w:end="0"/>
        <w:jc w:val="center"/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spacing w:lineRule="auto" w:line="276" w:before="0" w:after="0"/>
        <w:ind w:hanging="0" w:start="0" w:end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1. Наименование: выполнение работ по объекту: «Расходы на мероприятия по повышению уровня обустройства автомобильных дорог федерального значения. Устройство стационарного электрического освещения на автомобильной дороге Р-256 «Чуйский тракт» Новосибирск – Барнаул – Горно-Алтайск – граница с Монголией на участках км 633+610 – км 634+482, км 639+251 – км 640+504 (с. Онгудай), км 672+555 – км 672+853, км 675+353 – км 675+690 (с. Купчегень), км 735+256 – км 735+356, км 737+097 – км 737+197 (с. Йодро), км 740+839 – км 741+255 (с. Белый Бом), км 788+204 – км 788+895, км 791+600 – км 791+721 (с. Акташ), км 888+686 – км 890+000, км 894+386 – км 894+519 (с. Кош-Агач), Республика Алтай»</w:t>
      </w:r>
    </w:p>
    <w:p>
      <w:pPr>
        <w:pStyle w:val="ListParagraph"/>
        <w:widowControl/>
        <w:bidi w:val="0"/>
        <w:spacing w:lineRule="auto" w:line="276" w:before="0" w:after="0"/>
        <w:ind w:hanging="0" w:start="0" w:end="0"/>
        <w:contextualSpacing/>
        <w:jc w:val="both"/>
        <w:rPr>
          <w:i w:val="false"/>
          <w:iCs w:val="false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  <w:t xml:space="preserve">Работы выполняется в соответствии с функционально-технологическими, конструктивными и инженерно-техническими решениями, изложенными в </w:t>
      </w:r>
      <w:r>
        <w:rPr>
          <w:rFonts w:ascii="Times New Roman" w:hAnsi="Times New Roman"/>
          <w:i w:val="false"/>
          <w:iCs w:val="false"/>
          <w:spacing w:val="-8"/>
          <w:sz w:val="24"/>
          <w:szCs w:val="24"/>
        </w:rPr>
        <w:t>проектно-технической документации</w:t>
      </w:r>
      <w:r>
        <w:rPr>
          <w:rFonts w:ascii="Times New Roman" w:hAnsi="Times New Roman"/>
          <w:i w:val="false"/>
          <w:iCs w:val="false"/>
          <w:spacing w:val="-8"/>
          <w:sz w:val="24"/>
          <w:szCs w:val="24"/>
          <w:shd w:fill="auto" w:val="clear"/>
        </w:rPr>
        <w:t>.</w:t>
      </w:r>
    </w:p>
    <w:p>
      <w:pPr>
        <w:pStyle w:val="ListParagraph"/>
        <w:widowControl/>
        <w:bidi w:val="0"/>
        <w:spacing w:lineRule="auto" w:line="276" w:before="0" w:after="0"/>
        <w:ind w:hanging="0" w:start="0" w:end="0"/>
        <w:contextualSpacing/>
        <w:jc w:val="both"/>
        <w:rPr>
          <w:rFonts w:ascii="Times New Roman" w:hAnsi="Times New Roman" w:eastAsia="Times New Roman" w:cs="Times New Roman"/>
          <w:i/>
          <w:iCs/>
          <w:sz w:val="24"/>
          <w:szCs w:val="24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shd w:fill="auto" w:val="clear"/>
        </w:rPr>
      </w:r>
    </w:p>
    <w:p>
      <w:pPr>
        <w:pStyle w:val="Normal"/>
        <w:widowControl/>
        <w:spacing w:lineRule="auto" w:line="276" w:before="0" w:after="0"/>
        <w:ind w:hanging="0" w:start="0" w:end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Выполнение строительно-монтажных работ: с даты заключения </w:t>
      </w:r>
      <w:r>
        <w:rPr>
          <w:rFonts w:cs="Times New Roman" w:ascii="Times New Roman" w:hAnsi="Times New Roman"/>
          <w:sz w:val="24"/>
          <w:szCs w:val="24"/>
        </w:rPr>
        <w:t>Договора</w:t>
      </w:r>
      <w:r>
        <w:rPr>
          <w:rFonts w:cs="Times New Roman" w:ascii="Times New Roman" w:hAnsi="Times New Roman"/>
          <w:sz w:val="24"/>
          <w:szCs w:val="24"/>
        </w:rPr>
        <w:t xml:space="preserve"> по 15.11.2026 с учетом календарного графика проведения строительно-монтажных работ; подписание акта приемочной комиссии – 30.11.2026. Промежуточная отчетность по выполненным работам предоставляется заказчику не позднее 25 числа каждого календарного месяца. </w:t>
      </w:r>
      <w:r>
        <w:rPr>
          <w:rFonts w:ascii="Times New Roman" w:hAnsi="Times New Roman"/>
          <w:sz w:val="24"/>
          <w:szCs w:val="24"/>
        </w:rPr>
        <w:t>Возможна частичная приёмка результата работ в рамках этапа исполнения договора.</w:t>
      </w:r>
    </w:p>
    <w:p>
      <w:pPr>
        <w:pStyle w:val="Normal"/>
        <w:widowControl/>
        <w:spacing w:lineRule="auto" w:line="276"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pacing w:lineRule="auto" w:line="276" w:before="0" w:after="0"/>
        <w:ind w:hanging="0" w:start="0" w:end="0"/>
        <w:jc w:val="both"/>
        <w:rPr/>
      </w:pPr>
      <w:r>
        <w:rPr>
          <w:rFonts w:ascii="Times New Roman" w:hAnsi="Times New Roman"/>
          <w:sz w:val="24"/>
          <w:szCs w:val="24"/>
        </w:rPr>
        <w:t>3. Требования:</w:t>
      </w:r>
    </w:p>
    <w:p>
      <w:pPr>
        <w:pStyle w:val="Normal"/>
        <w:spacing w:lineRule="auto" w:line="276" w:before="0" w:after="0"/>
        <w:rPr/>
      </w:pPr>
      <w:r>
        <w:rPr>
          <w:rFonts w:cs="Times New Roman" w:ascii="Times New Roman" w:hAnsi="Times New Roman"/>
          <w:sz w:val="24"/>
          <w:szCs w:val="24"/>
        </w:rPr>
        <w:t>Гарантийный срок на выполненные работы (со дня приемки заказчиком результата работ):</w:t>
      </w:r>
    </w:p>
    <w:p>
      <w:pPr>
        <w:pStyle w:val="Normal"/>
        <w:shd w:val="clear" w:color="auto" w:fill="FFFFFF"/>
        <w:spacing w:lineRule="auto" w:line="276" w:before="0" w:after="0"/>
        <w:ind w:firstLine="567" w:start="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опоры освещения, кронштейны металлические, светильники светодиодные - 5 лет;</w:t>
      </w:r>
    </w:p>
    <w:p>
      <w:pPr>
        <w:pStyle w:val="Normal"/>
        <w:shd w:val="clear" w:color="auto" w:fill="FFFFFF"/>
        <w:spacing w:lineRule="auto" w:line="276" w:before="0" w:after="0"/>
        <w:ind w:firstLine="567" w:start="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электрооборудование, присыпные бермы - 2 года.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080" w:leader="none"/>
          <w:tab w:val="left" w:pos="1276" w:leader="none"/>
        </w:tabs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выполнению строительно-монтажных работ нельзя приступать до утверждения заказчиком организационно-технологической (предоставляется подрядчиком не менее чем за 30 дней до начала работ) и рабочей документации (срок исполнения – до 12.10.2026).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ходе исполнения Договора подрядчик обязан самостоятельно: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080" w:leader="none"/>
          <w:tab w:val="left" w:pos="1276" w:leader="none"/>
        </w:tabs>
        <w:spacing w:lineRule="auto" w:line="276" w:before="0" w:after="0"/>
        <w:ind w:firstLine="567" w:start="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контролировать наличие необходимых разрешений, согласований на производство отдельных видов работ, проведение и подключение временных коммуникаций строительной площадки к сетям инженерно-технического обеспечения;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080" w:leader="none"/>
          <w:tab w:val="left" w:pos="1276" w:leader="none"/>
        </w:tabs>
        <w:spacing w:lineRule="auto" w:line="276" w:before="0" w:after="0"/>
        <w:ind w:firstLine="567" w:start="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осуществлять (продлевать срок действия) технический условий (технических требований), выданных собственниками имущества, интересы которых затрагиваются;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080" w:leader="none"/>
          <w:tab w:val="left" w:pos="1276" w:leader="none"/>
        </w:tabs>
        <w:spacing w:lineRule="auto" w:line="276" w:before="0" w:after="0"/>
        <w:ind w:firstLine="567" w:start="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осуществлять работы по переносу и переустройству попадающих в зону строительства инженерных коммуникаций и строений;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080" w:leader="none"/>
          <w:tab w:val="left" w:pos="1276" w:leader="none"/>
        </w:tabs>
        <w:spacing w:lineRule="auto" w:line="276" w:before="0" w:after="0"/>
        <w:ind w:firstLine="567" w:start="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по требованию заказчика обеспечить установку на Объекте камер видеонаблюдения с возможностью трансляции в режиме реального времени.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080" w:leader="none"/>
          <w:tab w:val="left" w:pos="1276" w:leader="none"/>
        </w:tabs>
        <w:spacing w:lineRule="auto" w:line="240" w:before="0" w:after="0"/>
        <w:ind w:firstLine="567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080" w:leader="none"/>
          <w:tab w:val="left" w:pos="1276" w:leader="none"/>
        </w:tabs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Подрядчик обязан по требованию заказчика предоставить документы, подтверждающие использование авансового платежа в соответствии с его назначением. В случае непредоставления таких документов или установлении заказчиком факта нецелевого использования аванса заказчик удерживает сумму аванса при очередном платеже, а также взыскивает штраф.</w:t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080" w:leader="none"/>
          <w:tab w:val="left" w:pos="1276" w:leader="none"/>
        </w:tabs>
        <w:spacing w:lineRule="auto" w:line="276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567" w:leader="none"/>
          <w:tab w:val="left" w:pos="851" w:leader="none"/>
          <w:tab w:val="left" w:pos="993" w:leader="none"/>
          <w:tab w:val="left" w:pos="1080" w:leader="none"/>
          <w:tab w:val="left" w:pos="1276" w:leader="none"/>
        </w:tabs>
        <w:spacing w:lineRule="auto" w:line="276" w:before="0" w:after="0"/>
        <w:jc w:val="both"/>
        <w:rPr/>
      </w:pPr>
      <w:r>
        <w:rPr>
          <w:rFonts w:eastAsia="Tahoma" w:cs="Noto Sans" w:ascii="Times New Roman" w:hAnsi="Times New Roman"/>
          <w:color w:val="000000"/>
          <w:spacing w:val="0"/>
          <w:kern w:val="0"/>
          <w:sz w:val="24"/>
          <w:szCs w:val="24"/>
          <w:lang w:val="ru-RU" w:eastAsia="zh-CN" w:bidi="hi-IN"/>
        </w:rPr>
        <w:t>Объём работ: 1 усл</w:t>
      </w:r>
      <w:r>
        <w:rPr>
          <w:rFonts w:ascii="Times New Roman" w:hAnsi="Times New Roman"/>
          <w:sz w:val="24"/>
          <w:szCs w:val="24"/>
        </w:rPr>
        <w:t>. ед. (протяжённость участка 6,9605 км).</w:t>
      </w:r>
    </w:p>
    <w:p>
      <w:pPr>
        <w:pStyle w:val="Normal"/>
        <w:widowControl/>
        <w:spacing w:lineRule="auto" w:line="276" w:before="0" w:after="0"/>
        <w:ind w:firstLine="567" w:start="0" w:end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Работы выполняются в соответствии с условиями, изложенными в проекте договора и его приложениях, требованиями действующего законодательства. </w:t>
      </w:r>
    </w:p>
    <w:p>
      <w:pPr>
        <w:pStyle w:val="Normal"/>
        <w:widowControl/>
        <w:spacing w:lineRule="auto" w:line="276" w:before="0" w:after="0"/>
        <w:ind w:firstLine="567" w:start="0" w:end="0"/>
        <w:jc w:val="both"/>
        <w:rPr/>
      </w:pPr>
      <w:r>
        <w:rPr>
          <w:rFonts w:ascii="Times New Roman" w:hAnsi="Times New Roman"/>
          <w:spacing w:val="-1"/>
          <w:sz w:val="24"/>
          <w:szCs w:val="24"/>
        </w:rPr>
        <w:t xml:space="preserve">Результаты выполненных работ должны удовлетворять определенным Техническим заданием требованиям по качеству и объему, а также требованиям, установленным </w:t>
      </w:r>
      <w:r>
        <w:rPr>
          <w:rFonts w:ascii="Times New Roman" w:hAnsi="Times New Roman"/>
          <w:sz w:val="24"/>
          <w:szCs w:val="24"/>
        </w:rPr>
        <w:t>законами Российской Федерации, иными нормативным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 актами, строительными и санитарными нормами и правилами, техническими регламентами, а также государственными стандартами, относящимся к выполнению видов работ, предусмотренных Техническим заданием.</w:t>
      </w:r>
    </w:p>
    <w:p>
      <w:pPr>
        <w:pStyle w:val="Normal"/>
        <w:widowControl/>
        <w:spacing w:lineRule="auto" w:line="276" w:before="0" w:after="0"/>
        <w:ind w:firstLine="567" w:start="0" w:end="0"/>
        <w:jc w:val="both"/>
        <w:rPr/>
      </w:pPr>
      <w:r>
        <w:rPr>
          <w:rFonts w:ascii="Times New Roman" w:hAnsi="Times New Roman"/>
          <w:sz w:val="24"/>
          <w:szCs w:val="24"/>
        </w:rPr>
        <w:t>Подробное описание Технического задания приведено в следующих приложениях:</w:t>
      </w:r>
    </w:p>
    <w:p>
      <w:pPr>
        <w:pStyle w:val="Normal"/>
        <w:widowControl/>
        <w:spacing w:lineRule="auto" w:line="276" w:before="0" w:after="0"/>
        <w:ind w:firstLine="567" w:start="0" w:end="0"/>
        <w:jc w:val="both"/>
        <w:rPr/>
      </w:pPr>
      <w:r>
        <w:rPr>
          <w:rFonts w:ascii="Times New Roman" w:hAnsi="Times New Roman"/>
          <w:sz w:val="24"/>
          <w:szCs w:val="24"/>
        </w:rPr>
        <w:t>- приложение 1 «Проектная документация»;</w:t>
      </w:r>
    </w:p>
    <w:p>
      <w:pPr>
        <w:pStyle w:val="Normal"/>
        <w:widowControl/>
        <w:spacing w:lineRule="auto" w:line="276" w:before="0" w:after="0"/>
        <w:ind w:firstLine="567" w:start="0" w:end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 приложение 2 «Ведомость объемов конструктивных решений (элементов), комплексов (видов) работ»; </w:t>
      </w:r>
    </w:p>
    <w:p>
      <w:pPr>
        <w:pStyle w:val="Normal"/>
        <w:widowControl/>
        <w:spacing w:lineRule="auto" w:line="276" w:before="0" w:after="0"/>
        <w:ind w:firstLine="567" w:start="0" w:end="0"/>
        <w:jc w:val="both"/>
        <w:rPr/>
      </w:pPr>
      <w:r>
        <w:rPr>
          <w:rFonts w:ascii="Times New Roman" w:hAnsi="Times New Roman"/>
          <w:sz w:val="24"/>
          <w:szCs w:val="24"/>
        </w:rPr>
        <w:t>- приложение 3 «Проект сметы договора».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Style9">
    <w:name w:val="Не вступил в силу"/>
    <w:link w:val="1"/>
    <w:qFormat/>
    <w:rPr>
      <w:rFonts w:ascii="Times New Roman" w:hAnsi="Times New Roman"/>
      <w:color w:val="008080"/>
      <w:sz w:val="20"/>
    </w:rPr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Не вступил в силу1"/>
    <w:link w:val="Style9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Tahoma" w:cs="Noto Sans"/>
      <w:color w:val="008080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Tahoma" w:cs="Noto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table" w:default="1" w:styleId="Style_2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LibreOffice/25.8.7.3$Linux_X86_64 LibreOffice_project/30742500f2d3eb4366ac312fa33d3dcabdb3eba5</Application>
  <AppVersion>15.0000</AppVersion>
  <Pages>2</Pages>
  <Words>520</Words>
  <Characters>3751</Characters>
  <CharactersWithSpaces>4280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2026-09-04T08:30:58Z</dcterms:created>
  <dc:creator/>
  <dc:description/>
  <dc:language>ru-RU</dc:language>
  <cp:lastModifiedBy/>
  <dcterms:modified xsi:type="dcterms:W3CDTF">2026-09-07T09:07:49Z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