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keepNext w:val="true"/>
        <w:keepLines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>Технические требования на поставку МТР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eastAsia="Calibri" w:cs="Lucida Sans"/>
          <w:kern w:val="2"/>
          <w:sz w:val="26"/>
          <w:szCs w:val="26"/>
          <w:lang w:eastAsia="zh-CN" w:bidi="hi-IN"/>
        </w:rPr>
      </w:pPr>
      <w:r>
        <w:rPr>
          <w:rFonts w:eastAsia="Calibri" w:cs="Lucida Sans"/>
          <w:kern w:val="2"/>
          <w:sz w:val="26"/>
          <w:szCs w:val="26"/>
          <w:lang w:eastAsia="zh-CN" w:bidi="hi-IN"/>
        </w:rPr>
        <w:t>ОКПД2 2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8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.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99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.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39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 xml:space="preserve">.190 Поставка 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оборудования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 xml:space="preserve"> системы сбора и передачи информации (ССПИ) на ПС 110 кВ 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Эльдикан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 xml:space="preserve"> в рамках инвестиционного проекта N_508-269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9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sz w:val="26"/>
          <w:szCs w:val="26"/>
        </w:rPr>
        <w:t xml:space="preserve">Лот № 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СОДЕРЖАНИЕ</w:t>
      </w:r>
    </w:p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269"/>
        <w:gridCol w:w="514"/>
        <w:gridCol w:w="8791"/>
        <w:gridCol w:w="346"/>
      </w:tblGrid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05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bookmarkStart w:id="0" w:name="__RefHeading___Toc19707_2480058698_Копия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 …………………………………………………………………………………………………….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Обозначения и сокращения 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закупаемой продукции 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выполнения работ ……………………………………………………………………………………...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………………………………………………………………………………………..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 и сведения общего характера 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05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продукции 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объемам и срокам поставки 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373" w:hRule="atLeast"/>
        </w:trPr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791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качеству продукции 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05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документации по ценообразованию на этапе закупки 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</w:tr>
      <w:tr>
        <w:trPr/>
        <w:tc>
          <w:tcPr>
            <w:tcW w:w="269" w:type="dxa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305" w:type="dxa"/>
            <w:gridSpan w:val="2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Приложение …………………………………………………………………………………………………………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i/>
          <w:i/>
        </w:rPr>
      </w:pPr>
      <w:r>
        <w:rPr>
          <w:rFonts w:eastAsia="Calibri" w:ascii="Times New Roman" w:hAnsi="Times New Roman"/>
          <w:b/>
          <w:i/>
        </w:rPr>
      </w:r>
      <w:r>
        <w:br w:type="page"/>
      </w:r>
    </w:p>
    <w:p>
      <w:pPr>
        <w:pStyle w:val="Heading4"/>
        <w:numPr>
          <w:ilvl w:val="0"/>
          <w:numId w:val="11"/>
        </w:numPr>
        <w:ind w:left="340" w:hanging="340"/>
        <w:jc w:val="center"/>
        <w:rPr>
          <w:rFonts w:ascii="Times New Roman" w:hAnsi="Times New Roman"/>
        </w:rPr>
      </w:pPr>
      <w:bookmarkStart w:id="1" w:name="__RefHeading___Toc19707_2480058698"/>
      <w:bookmarkStart w:id="2" w:name="_Toc178933450"/>
      <w:bookmarkStart w:id="3" w:name="_Toc51339692"/>
      <w:bookmarkEnd w:id="1"/>
      <w:r>
        <w:rPr>
          <w:rFonts w:ascii="Times New Roman" w:hAnsi="Times New Roman"/>
          <w:b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12"/>
        </w:numPr>
        <w:rPr>
          <w:rFonts w:ascii="Times New Roman" w:hAnsi="Times New Roman"/>
        </w:rPr>
      </w:pPr>
      <w:bookmarkStart w:id="4" w:name="__RefHeading___Toc19709_2480058698"/>
      <w:bookmarkStart w:id="5" w:name="_Toc178933451"/>
      <w:bookmarkStart w:id="6" w:name="_Toc46743505"/>
      <w:bookmarkEnd w:id="4"/>
      <w:r>
        <w:rPr>
          <w:rFonts w:ascii="Times New Roman" w:hAnsi="Times New Roman"/>
        </w:rPr>
        <w:t>Обозначения и сокращения</w:t>
      </w:r>
      <w:bookmarkEnd w:id="5"/>
      <w:bookmarkEnd w:id="6"/>
    </w:p>
    <w:p>
      <w:pPr>
        <w:pStyle w:val="Standard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</w:r>
    </w:p>
    <w:tbl>
      <w:tblPr>
        <w:tblW w:w="99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7"/>
        <w:gridCol w:w="8800"/>
      </w:tblGrid>
      <w:tr>
        <w:trPr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ГОСТ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Руководящие документы Государственный стандарт</w:t>
            </w:r>
          </w:p>
        </w:tc>
      </w:tr>
      <w:tr>
        <w:trPr>
          <w:cantSplit w:val="true"/>
        </w:trPr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ЗРУ</w:t>
            </w:r>
          </w:p>
        </w:tc>
        <w:tc>
          <w:tcPr>
            <w:tcW w:w="8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Закрытое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МИП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(Шкаф) Многофункциональных измерительных преобразователей</w:t>
            </w:r>
          </w:p>
        </w:tc>
      </w:tr>
      <w:tr>
        <w:trPr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ОРУ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Открытое распределительное устройство</w:t>
            </w:r>
          </w:p>
        </w:tc>
      </w:tr>
      <w:tr>
        <w:trPr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ПС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ТТ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Техническое требование</w:t>
            </w:r>
          </w:p>
        </w:tc>
      </w:tr>
      <w:tr>
        <w:trPr>
          <w:trHeight w:val="469" w:hRule="atLeast"/>
          <w:cantSplit w:val="true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ЦЭС</w:t>
            </w:r>
          </w:p>
        </w:tc>
        <w:tc>
          <w:tcPr>
            <w:tcW w:w="8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Центральные электрические сети (Филиал ПАО «Якутскэнерго»)</w:t>
            </w:r>
          </w:p>
        </w:tc>
      </w:tr>
      <w:tr>
        <w:trPr>
          <w:trHeight w:val="497" w:hRule="atLeast"/>
          <w:cantSplit w:val="true"/>
        </w:trPr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ШКТМ</w:t>
            </w:r>
          </w:p>
        </w:tc>
        <w:tc>
          <w:tcPr>
            <w:tcW w:w="8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Шкаф телемеханики</w:t>
            </w:r>
          </w:p>
        </w:tc>
      </w:tr>
      <w:tr>
        <w:trPr>
          <w:trHeight w:val="497" w:hRule="atLeast"/>
          <w:cantSplit w:val="true"/>
        </w:trPr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ШПК</w:t>
            </w:r>
          </w:p>
        </w:tc>
        <w:tc>
          <w:tcPr>
            <w:tcW w:w="8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Шкаф промежуточных клемм</w:t>
            </w:r>
          </w:p>
        </w:tc>
      </w:tr>
    </w:tbl>
    <w:p>
      <w:pPr>
        <w:pStyle w:val="Standard"/>
        <w:keepNext w:val="true"/>
        <w:keepLine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Heading4"/>
        <w:numPr>
          <w:ilvl w:val="1"/>
          <w:numId w:val="13"/>
        </w:numPr>
        <w:rPr>
          <w:rFonts w:ascii="Times New Roman" w:hAnsi="Times New Roman"/>
          <w:b/>
        </w:rPr>
      </w:pPr>
      <w:bookmarkStart w:id="7" w:name="__RefHeading___Toc19711_2480058698"/>
      <w:bookmarkStart w:id="8" w:name="_Toc178933452"/>
      <w:bookmarkStart w:id="9" w:name="_Toc46743506"/>
      <w:bookmarkEnd w:id="7"/>
      <w:r>
        <w:rPr>
          <w:rFonts w:ascii="Times New Roman" w:hAnsi="Times New Roman"/>
          <w:b/>
        </w:rPr>
        <w:t>Наименование закупаемой продукции</w:t>
      </w:r>
      <w:bookmarkEnd w:id="9"/>
      <w:r>
        <w:rPr>
          <w:rFonts w:ascii="Times New Roman" w:hAnsi="Times New Roman"/>
          <w:b/>
        </w:rPr>
        <w:t>:</w:t>
      </w:r>
      <w:bookmarkEnd w:id="8"/>
    </w:p>
    <w:p>
      <w:pPr>
        <w:pStyle w:val="Normal"/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ОКПД2 28.99.39.190 Поставка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оборудования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системы сбора и передачи информации (ССПИ) на ПС 110 кВ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Эльдикан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 в рамках инвестиционного проекта N_508-269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9</w:t>
      </w:r>
    </w:p>
    <w:p>
      <w:pPr>
        <w:pStyle w:val="Heading4"/>
        <w:numPr>
          <w:ilvl w:val="1"/>
          <w:numId w:val="14"/>
        </w:numPr>
        <w:rPr>
          <w:rFonts w:ascii="Times New Roman" w:hAnsi="Times New Roman"/>
          <w:b/>
        </w:rPr>
      </w:pPr>
      <w:bookmarkStart w:id="10" w:name="__RefHeading___Toc19713_2480058698"/>
      <w:bookmarkStart w:id="11" w:name="_Toc46743507"/>
      <w:bookmarkStart w:id="12" w:name="_Toc178933453"/>
      <w:bookmarkEnd w:id="10"/>
      <w:r>
        <w:rPr>
          <w:rFonts w:ascii="Times New Roman" w:hAnsi="Times New Roman"/>
          <w:b/>
        </w:rPr>
        <w:t xml:space="preserve">Цель </w:t>
      </w:r>
      <w:bookmarkEnd w:id="11"/>
      <w:r>
        <w:rPr>
          <w:rFonts w:ascii="Times New Roman" w:hAnsi="Times New Roman"/>
          <w:b/>
        </w:rPr>
        <w:t>выполнения работ</w:t>
      </w:r>
      <w:bookmarkEnd w:id="12"/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оборудования для последующего выполнения работ по созданию системы сбора и передачи информации (ССПИ) на ПС 110кВ </w:t>
      </w:r>
      <w:r>
        <w:rPr>
          <w:rFonts w:ascii="Times New Roman" w:hAnsi="Times New Roman"/>
        </w:rPr>
        <w:t>Эльдикан</w:t>
      </w:r>
      <w:r>
        <w:rPr>
          <w:rFonts w:ascii="Times New Roman" w:hAnsi="Times New Roman"/>
        </w:rPr>
        <w:t xml:space="preserve"> в целях приведения в соответствие уровня телемеханизации объекта требованиям отраслевых и нормативных документов, передача технологической информации на все уровни принятия решений (ПАО «Якутскэнерго» ЦЭС Центральный РЭС, Филиал АО «СО ЕЭС» Якутское РДУ).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</w:t>
      </w:r>
      <w:bookmarkStart w:id="13" w:name="_Toc46743509_Копия_1"/>
      <w:bookmarkStart w:id="14" w:name="_Hlk49857604_Копия_1"/>
      <w:r>
        <w:rPr>
          <w:rFonts w:ascii="Times New Roman" w:hAnsi="Times New Roman"/>
          <w:b/>
          <w:bCs/>
        </w:rPr>
        <w:t xml:space="preserve">Информация в отношении исполнения договора, </w:t>
      </w:r>
      <w:bookmarkStart w:id="15" w:name="_Hlk46492347_Копия_1"/>
      <w:r>
        <w:rPr>
          <w:rFonts w:ascii="Times New Roman" w:hAnsi="Times New Roman"/>
          <w:b/>
          <w:bCs/>
        </w:rPr>
        <w:t xml:space="preserve">которая должна быть учтена при подготовке заявки </w:t>
      </w:r>
      <w:bookmarkEnd w:id="15"/>
      <w:r>
        <w:rPr>
          <w:rFonts w:ascii="Times New Roman" w:hAnsi="Times New Roman"/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3"/>
      <w:bookmarkEnd w:id="14"/>
    </w:p>
    <w:p>
      <w:pPr>
        <w:pStyle w:val="Standard"/>
        <w:jc w:val="both"/>
        <w:rPr>
          <w:rFonts w:ascii="Times New Roman" w:hAnsi="Times New Roman"/>
        </w:rPr>
      </w:pPr>
      <w:bookmarkStart w:id="16" w:name="_Toc178933457_Копия_1"/>
      <w:r>
        <w:rPr>
          <w:rFonts w:ascii="Times New Roman" w:hAnsi="Times New Roman"/>
        </w:rPr>
        <w:t>Заказчик обеспечивает Подрядчику возможность предоставления площадки для погрузки / разгрузки / складирования / хранения закупаемого оборудования (шкафов). Содержание пожарной и сторожевой охраны.</w:t>
      </w:r>
      <w:bookmarkEnd w:id="16"/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Иные требования и сведения общего характера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bookmarkStart w:id="17" w:name="__RefHeading___Toc19741_2480058698_Копия"/>
      <w:bookmarkEnd w:id="17"/>
      <w:r>
        <w:rPr>
          <w:rFonts w:ascii="Times New Roman" w:hAnsi="Times New Roman"/>
        </w:rPr>
        <w:t>Все поставляемое базовое и специализированное программное обеспечение должно быть включено в Единый реестр российских программ для электронных вычислительных машин и баз данных.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numPr>
          <w:ilvl w:val="0"/>
          <w:numId w:val="15"/>
        </w:numPr>
        <w:ind w:left="340" w:hanging="3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Требования к объемам и срокам поставки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2.1.1. </w:t>
      </w:r>
      <w:r>
        <w:rPr>
          <w:rFonts w:ascii="Times New Roman" w:hAnsi="Times New Roman"/>
        </w:rPr>
        <w:t>Перечень и объем закупаемой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bookmarkStart w:id="18" w:name="__RefHeading___Toc19717_2480058698"/>
      <w:bookmarkStart w:id="19" w:name="_Toc178933455"/>
      <w:bookmarkEnd w:id="18"/>
      <w:r>
        <w:rPr>
          <w:rFonts w:ascii="Times New Roman" w:hAnsi="Times New Roman"/>
        </w:rPr>
        <w:t xml:space="preserve">Таблица 1.1  Перечень </w:t>
      </w:r>
      <w:bookmarkEnd w:id="19"/>
      <w:r>
        <w:rPr>
          <w:rFonts w:ascii="Times New Roman" w:hAnsi="Times New Roman"/>
        </w:rPr>
        <w:t>и объем закупаемой продукции</w:t>
      </w:r>
    </w:p>
    <w:tbl>
      <w:tblPr>
        <w:tblW w:w="10530" w:type="dxa"/>
        <w:jc w:val="left"/>
        <w:tblInd w:w="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4"/>
        <w:gridCol w:w="2802"/>
        <w:gridCol w:w="4104"/>
        <w:gridCol w:w="1530"/>
        <w:gridCol w:w="1350"/>
      </w:tblGrid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разделов РД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 МИП 110 кВ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 ШКТМ ЗРУ ДЭС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ШКТМ №1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ШКТМ №2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ШПК №1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 ШПК №2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 связи №1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 связи №2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Контроллер многофункциональный ARIS-1104 А21.1-В3.1-F1.1-M4.1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 ARIS-2805 А2.4-В3.4-E4.4-Z-А2.4.P500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АРМ на базе ПК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коплект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Heading3"/>
        <w:tabs>
          <w:tab w:val="clear" w:pos="1440"/>
        </w:tabs>
        <w:ind w:left="144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3"/>
        <w:tabs>
          <w:tab w:val="clear" w:pos="144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2.1.2. </w:t>
      </w:r>
      <w:bookmarkStart w:id="20" w:name="_Toc75446578"/>
      <w:bookmarkStart w:id="21" w:name="_Toc51339696"/>
      <w:r>
        <w:rPr>
          <w:rFonts w:ascii="Times New Roman" w:hAnsi="Times New Roman"/>
        </w:rPr>
        <w:t xml:space="preserve">Требования </w:t>
      </w:r>
      <w:bookmarkEnd w:id="21"/>
      <w:r>
        <w:rPr>
          <w:rFonts w:ascii="Times New Roman" w:hAnsi="Times New Roman"/>
        </w:rPr>
        <w:t>к срокам поставки продукции и оказания сопутствующих услуг</w:t>
      </w:r>
      <w:bookmarkEnd w:id="20"/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22" w:name="__RefHeading___Toc19745_2480058698"/>
      <w:bookmarkStart w:id="23" w:name="_Toc178933471"/>
      <w:bookmarkStart w:id="24" w:name="_Toc50125127"/>
      <w:bookmarkStart w:id="25" w:name="_Toc51339697"/>
      <w:bookmarkEnd w:id="22"/>
      <w:r>
        <w:rPr>
          <w:rFonts w:ascii="Times New Roman" w:hAnsi="Times New Roman"/>
          <w:sz w:val="24"/>
        </w:rPr>
        <w:t xml:space="preserve">Таблица 2.1. </w:t>
      </w:r>
      <w:bookmarkStart w:id="26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3"/>
      <w:bookmarkEnd w:id="24"/>
      <w:bookmarkEnd w:id="25"/>
      <w:bookmarkEnd w:id="26"/>
      <w:r>
        <w:rPr>
          <w:rFonts w:ascii="Times New Roman" w:hAnsi="Times New Roman"/>
          <w:sz w:val="24"/>
        </w:rPr>
        <w:t>поставки продукции</w:t>
      </w:r>
    </w:p>
    <w:tbl>
      <w:tblPr>
        <w:tblW w:w="9776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49"/>
        <w:gridCol w:w="2980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27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Поставка оборудования в соответствии с Приложением №1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даты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5 месяцев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bookmarkStart w:id="27" w:name="__RefHeading___Toc19747_2480058698"/>
      <w:bookmarkEnd w:id="27"/>
      <w:r>
        <w:rPr>
          <w:rFonts w:ascii="Times New Roman" w:hAnsi="Times New Roman"/>
          <w:b/>
        </w:rPr>
        <w:t xml:space="preserve">2.2. </w:t>
      </w:r>
      <w:bookmarkStart w:id="28" w:name="_Toc51339698"/>
      <w:bookmarkStart w:id="29" w:name="_Toc178933472"/>
      <w:r>
        <w:rPr>
          <w:rFonts w:ascii="Times New Roman" w:hAnsi="Times New Roman"/>
          <w:b/>
        </w:rPr>
        <w:t xml:space="preserve">Требования к качеству </w:t>
      </w:r>
      <w:bookmarkEnd w:id="29"/>
      <w:r>
        <w:rPr>
          <w:rFonts w:ascii="Times New Roman" w:hAnsi="Times New Roman"/>
          <w:b/>
        </w:rPr>
        <w:t>продукции</w:t>
      </w:r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30" w:name="__RefHeading___Toc19749_2480058698"/>
      <w:bookmarkStart w:id="31" w:name="_Toc178933473"/>
      <w:bookmarkEnd w:id="30"/>
      <w:r>
        <w:rPr>
          <w:rFonts w:ascii="Times New Roman" w:hAnsi="Times New Roman"/>
          <w:sz w:val="24"/>
        </w:rPr>
        <w:t xml:space="preserve">Таблица 3. Требования к </w:t>
      </w:r>
      <w:bookmarkEnd w:id="28"/>
      <w:r>
        <w:rPr>
          <w:rFonts w:ascii="Times New Roman" w:hAnsi="Times New Roman"/>
          <w:sz w:val="24"/>
        </w:rPr>
        <w:t xml:space="preserve">качеству </w:t>
      </w:r>
      <w:bookmarkEnd w:id="31"/>
      <w:r>
        <w:rPr>
          <w:rFonts w:ascii="Times New Roman" w:hAnsi="Times New Roman"/>
          <w:sz w:val="24"/>
        </w:rPr>
        <w:t>продукции</w:t>
      </w:r>
    </w:p>
    <w:p>
      <w:pPr>
        <w:pStyle w:val="Normal"/>
        <w:spacing w:before="0" w:after="0"/>
        <w:contextualSpacing/>
        <w:jc w:val="both"/>
        <w:rPr/>
      </w:pPr>
      <w:bookmarkStart w:id="32" w:name="_Toc75446582"/>
      <w:bookmarkEnd w:id="32"/>
      <w:r>
        <w:rPr>
          <w:sz w:val="24"/>
          <w:szCs w:val="24"/>
        </w:rPr>
        <w:t>Наименование продукции (</w:t>
      </w:r>
      <w:r>
        <w:rPr>
          <w:sz w:val="24"/>
          <w:szCs w:val="24"/>
          <w:shd w:fill="FFFFFF" w:val="clear"/>
        </w:rPr>
        <w:t>позиция № 1-11 Таблицы 1.1. «Перечень и объем закупаемой продукци</w:t>
      </w:r>
      <w:r>
        <w:rPr>
          <w:color w:val="000000"/>
          <w:sz w:val="24"/>
          <w:szCs w:val="24"/>
          <w:shd w:fill="FFFFFF" w:val="clear"/>
        </w:rPr>
        <w:t>и»):</w:t>
      </w:r>
      <w:r>
        <w:rPr>
          <w:color w:val="000000"/>
          <w:sz w:val="24"/>
          <w:szCs w:val="24"/>
          <w:shd w:fill="auto" w:val="clear"/>
        </w:rPr>
        <w:t xml:space="preserve"> ОКПД2 28.99.39.190 Поставка </w:t>
      </w:r>
      <w:r>
        <w:rPr>
          <w:color w:val="000000"/>
          <w:sz w:val="24"/>
          <w:szCs w:val="24"/>
          <w:shd w:fill="auto" w:val="clear"/>
        </w:rPr>
        <w:t>оборудования</w:t>
      </w:r>
      <w:r>
        <w:rPr>
          <w:color w:val="000000"/>
          <w:sz w:val="24"/>
          <w:szCs w:val="24"/>
          <w:shd w:fill="auto" w:val="clear"/>
        </w:rPr>
        <w:t xml:space="preserve"> системы сбора и передачи информации (ССПИ) на ПС 110 кВ </w:t>
      </w:r>
      <w:r>
        <w:rPr>
          <w:color w:val="000000"/>
          <w:sz w:val="24"/>
          <w:szCs w:val="24"/>
          <w:shd w:fill="auto" w:val="clear"/>
        </w:rPr>
        <w:t>Эльдикан</w:t>
      </w:r>
      <w:r>
        <w:rPr>
          <w:color w:val="000000"/>
          <w:sz w:val="24"/>
          <w:szCs w:val="24"/>
          <w:shd w:fill="auto" w:val="clear"/>
        </w:rPr>
        <w:t xml:space="preserve"> в рамках инвестиционного проекта N_508-269</w:t>
      </w:r>
      <w:r>
        <w:rPr>
          <w:color w:val="000000"/>
          <w:sz w:val="24"/>
          <w:szCs w:val="24"/>
          <w:shd w:fill="auto" w:val="clear"/>
        </w:rPr>
        <w:t>9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283" w:type="dxa"/>
        <w:jc w:val="left"/>
        <w:tblInd w:w="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1649"/>
        <w:gridCol w:w="715"/>
        <w:gridCol w:w="23"/>
        <w:gridCol w:w="5669"/>
        <w:gridCol w:w="2491"/>
        <w:gridCol w:w="2101"/>
        <w:gridCol w:w="2020"/>
      </w:tblGrid>
      <w:tr>
        <w:trPr/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заказчика*</w:t>
            </w:r>
          </w:p>
        </w:tc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113" w:hanging="0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57" w:right="0" w:hanging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характеристикам* (включая гарантируемые показатели)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1697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измерительных преобразователей (Шкаф МИП 110 кВ)</w:t>
            </w:r>
          </w:p>
          <w:p>
            <w:pPr>
              <w:pStyle w:val="Standard"/>
              <w:widowControl w:val="false"/>
              <w:snapToGrid w:val="false"/>
              <w:spacing w:before="0" w:after="1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2000x800x600 (ВхШхГ), цоколь 200 мм двустороннего обслуживания. Передняя дверь - стеклянная, задняя дверь -металлическая одностворчатая — 1шт.; Шина заземления — 1 шт.; Концевой выключатель — 2 шт.; Светильник — 2 шт.; Розетка ~230 В, 16 А — 1 шт.; Реле 240 В AC/DC, 1 контакт — 3 шт.; Контактор =220 В, 25 А — 2 шт.; Выключатель автоматический 2п, ~230 В, 16 А, хар. С, 10 кА — 2 шт.; Выключатель автоматический 2п, ~230 В, 4 А, хар. С, 10 кА — 10 шт.; Выключатель нагрузки 2п, 25 А — 1 шт.; Ограничитель перенапряжений однофазный ~230 В — 3 шт.; Контакт сигнализации положения коммутационного аппарата — 12 шт.; Блок питания =24 В, 60 Вт — 1 шт.; Контроллер ARIS 1103 А21.1-B1.1-M4.1 P100 - - шт.; Модуль Keystone RJ45/8P8C, T568A/B, экранированный — 18 шт.; Рамка на DIN-рейку для установки модуля Keystone, металлическая LAN-DRF-1OK-M KJ-RJ45-Cat.5E-SH-180-Toolless — 18 шт.; Модуль дискретного ввода TS32 — 1 шт.; Клеммный ряд в сборе (клемма проходная 16 мм. кв., 2-х конт. - 3 шт. на сборку) — 2 сборки; Клеммный ряд в сборе (клемма проходная 4 мм. кв., 2-х конт. - 3 шт. на сборку) — 1 сборка; Клеммный ряд в сборе (клемма измерительная 6 мм. кв., 2-х конт., винт - 13 шт. на сборку,  перемычка скользящая - 4 шт. на сборку, устройство пломбировочное - 2 шт. на сборку) — 9 сборок; Клеммный ряд в сборе (клемма проходная трехъярусная, 2,5 кв.мм. - 1 шт. на сборку) — 1 сборка.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Шкаф телемеханики (ШКТМ ЗРУ)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/>
              <w:t>55181848.423286.637-ТО3.ЗЗ2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 навесной 1000x800x250 (ВхШхГ), базовый в сборе — 1 шт.; Шина заземления — 2 шт.; Ввод кабельный, диаметр кабеля 6-14 мм. - 15 шт.; Ввод кабельный, диаметр кабеля 12-18 мм. - 9 шт.; Концевой выключатель двери — 1 шт.; Светильник — 1 шт.; Розетка ~230 В, 10 А — 1 шт.; Реле 240 В AC/DC, 1 контакт — 3 шт.; Контактор =220 В, 25 А — 2 шт.; Контроллер ARIS-2805 A2.4-B3.4-E4.4-Z-A2.4 P1000 — 1 шт.; Модуль ввода дискретных сигналов TS32 — 1 шт.; Выключатель автоматический 2п, =220 В, 16А, хар.C, 10 кА — </w:t>
            </w:r>
            <w:r>
              <w:rPr>
                <w:sz w:val="24"/>
                <w:szCs w:val="24"/>
              </w:rPr>
              <w:t>2 шт.; Выключатель автоматический 2п, ~230 В, 6А, хар.C, 10 кА — 1 шт.; Выключатель автоматический 2п, =220 В, 4А, хар.C, 6 кА — 2 шт.; Выключатель автоматический 2п, =220 В, 10А, хар.C, 6 кА — 2 шт.; Выключатель нагрузки 2п, =220 В, 25А — 2 шт.; Контакт сигнализации положения коммутационного аппарата — 9 шт.;  Блок питания =24 В, 60 Вт — 2 шт.; Модуль резервирования — 1 шт.; Ограничитель перенапряжения однофазный — 1 шт.; Резистор 120 Ом 5% 0,5 Вт MF-0.5-120-5% - 7 шт.; Клеммный ряд в сборе (клемма проходная 16 мм. кв., 2-х конт. - 3 шт. на сборку) — 2 сборки; Клеммный ряд в сборе (клемма проходная 4 мм. кв., 2-х конт. - 3 шт. на сборку) — 3 сборки; Клеммный ряд в сборе (клемма проходная трехъярусная, 2,5 кв.мм. - 2 шт. на сборку) — 1 сборка.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Клеммный ряд в сборе (клемма проходная трехъярусная, 2,5 кв.мм. - 1 шт. на сборку) — 2 сборки.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Шкаф телемеханики (ШКТМ №1)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/>
              <w:t>55181848.423286.637-ТО3.ЗЗ3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Шкаф 2000x800x600 (ВхШхГ), цоколь 200 мм, общий вес 300 кг, напольного исполнения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Шина заземления -1 шт.; решетка вентиляционная -1 шт.; Распределительная панель, полиамид —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концевой выключатель двери (свет и ТС) 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светильник 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розетка (~230 В, 10 А) сервисная -1 шт.; панель вентиляторная с термостатом -1 шт.; контактор (=220 В, 25 А) - 2 шт.; реле 240В AC/DC, 1 контакт - 4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выключатель автоматический 2п (~230 В, 10 А, хар. C, 10 кА) - 2 шт.; выключатель автоматический 2п (~230 В, 6 А, хар. C, 10 кА) - 1 шт.; выключатель автоматический 2п (=220 В, 4 А, хар. C, 6 кА) 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выключатель автоматический 2п (=220 В, 2 А, хар. C, 6 кА) —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шт.; выключатель нагрузки 2п (=220 В, 25 А) 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контакт сигнализации положения коммутационного аппарата 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блок питания (=24 В, 120 Вт) - 2 шт.; модуль резервирования - 1 шт.; источник питания стабилизированный (Форпост) ИПС-500-220/220В-2А-D (AC(DC)/DC) 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реле контроля изоляции (Hakel) HIS 220V DC/N - 1 шт.; фильтр помехозащитный ООО "Прософт-системы" PF220 -1 шт.; контроллер (сборка, ООО "Прософт-системы") ARIS-280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A2.4-B1.4-E1.4-E1.4-Z-D2.4-D2.4-D2.4 P1000 -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шт.; крейт расширения ARIS-2808E A4.4-D2.4-D2.4-D2.4-D2.4-D2.4-D2.4-D2.4 (ООО "Прософт-системы") — 1шт.; модуль ввода дискретных сигналов TS32 (ООО "Прософт-системы") - 1 шт.; Коммутатор MES2300DI-28 —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 шт.; Модуль питания PM160-220/12, 220 В AC, 160 Вт PM160-220/12 — 2 шт.; Патч-панель 19", 24 порта RJ45 — 2 шт.; Кросс оптический укомплектованный 19", SM, 8xSC/UPC — 2 шт.; преобразователь температуры измерительный в комплекте с датчиками температуры МС1218Ц (ООО "НПП Электромеханика") - 1 шт.; датчик температуры 52 м (ООО "НПП Электромеханика") - 1 шт.; ограничитель перенапряжения однофазный (~230 В) - 1 шт.; ограничитель перенапряжения (=24В) ГСД3-24 (Hakel) - 1 шт.; устройство защиты интерфейса RS-485 (Hakel) ГИС K2/6 - 3 шт.; резистор 120 Ом - 20 шт.; Клеммный ряд в сборе - 3 шт. (клемма проходная, 2-х конт., 16 кв.мм. - 3 шт. на сборку); Клеммный ряд в сборе - 4 шт. (клемма проходная трехъярусная, 2,5 кв.мм. - 1 шт на сборку); Клеммный ряд в сборе - 3 шт. (клемма проходная, 2-х конт., 4 мм.кв. 3 шт. на сборку); Клеммный ряд в сборе - 17 шт. (клемма проходная трехъярусная, 2,5 кв.мм. - 1 шт на сборку); Клеммный ряд в сборе - 1 шт. (клемма проходная трехъярусная, 2,5 кв.мм. - 2 шт на сборку); Клеммный ряд в сборе - 17 шт. (клемма проходная двухярусная, 2,5 кв.мм. - 16 шт на сборку); 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телемеханики (ШКТМ №2)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55181848.423286.637-ТО3.ЗЗ4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Шкаф 2000x800x600 (ВхШхГ), цоколь 200 мм, общий вес 300 кг, напольного исполнения - 1 шт.: </w:t>
            </w:r>
            <w:r>
              <w:rPr>
                <w:rFonts w:ascii="Times New Roman" w:hAnsi="Times New Roman"/>
                <w:sz w:val="24"/>
                <w:szCs w:val="24"/>
              </w:rPr>
              <w:t>Шина заземления -1 шт.; решетка вентиляционная -1 шт.; концевой выключатель двери 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шт.; светильник 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шт.; розетка (~230 В, 10 А) сервисная -1 шт.; панель вентиляторная с термостатом -1 шт.; контактор (=220 В, 25 А) - 2 шт.;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реле 240В AC/DC, 1 контакт - 4 шт.;  реле 240В AC/DC, 2 контакта - 48 шт.; выключатель автоматический 2п (~230 В, 10 А, хар. C, 10 кА) - 2 шт.;  выключатель автоматический 2п (~230 В, 6 А, хар. C, 10 кА) - 1 шт.; выключатель автоматический 2п (=220 В, 4 А, хар. C, 6 кА) - 6 шт.; выключатель автоматический 2п (=220 В, 2 А, хар. C, 6 кА) - 4 шт.; выключатель нагрузки 2п (=220 В, 25 А) - 3 шт.; контакт сигнализации положения коммутационного аппарата - 15 шт.; Блок питания (=24 В, 60 Вт) - 2 шт.;  модуль резервирования  - 1 шт.; источник питания стабилизированный (Форпост) ИПС-500-220/220В-2А-D (AC(DC)/DC) - 2 шт.; реле контроля изоляции (hakel) HIS 220V DC/N — 1шт.;  фильтр помехозащитный PF220 (ООО "Прософт-системы") - 1 шт.; Крейт расширения ARIS-2808E A4.4-C1.4-C1.4-C1.4-C1.4-Z-Z-Z P100 (ООО "Прософт-системы") - 1 шт.; Крейт расширения ARIS-2808E A4.4-C1.4-C1.4-C1.4-Z-Z-Z-Z P100 (ООО "Прософт-системы") — 1 шт.; Модуль ввода дискретных сигналов TS32 (ООО "Прософт-системы") - 1 шт.; Ограничитель перенапряжения однофазный ~230 В - 3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проходная, 2-х конт., 16 кв.мм. (на одну сборку) - 3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Клеммный ряд в сборе (сборка) -4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проходная с размыкателем, 2-х конт., 4 мм.кв. (на одну сборку) - 3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проходная трехъярусная, 2.5кв.мм. (на одну сборку)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Клеммный ряд в сборе (сборка) 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проходная с размыкателем, 2-х конт., 4 мм.кв. (на одну сборку) - 24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Клеммный ряд в сборе (сборка) 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проходная с размыкателем, 2-х конт., 4 мм.кв. (на одну сборку) - 48 шт.;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промежуточных клемм (ШПК1)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55181848.423286.637-ТО3.ЗЗ5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Щит распределительный навесной 1000х800х300 (ВхШхГ) 1 шт., в составе: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шина заземления - 1 шт.;  ввод кабельный PG-16 - 40 шт.; ввод кабельный PG-21 - 10 шт.; экран - 1 шт.;  выключатель автоматический 2п (~230 В, 6 А, хар. С, 10 кА) - 1 шт.; термостат - 1 шт.; нагреватель 150 Вт - 1 шт.; розетка (~230 В, 10 А) сервисная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Клеммный ряд в сборе (сборка)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2-х конт., 4мм.кв. (на одну сборку) - 110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Клеммный ряд в сборе (сборка)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2-х конт., 4мм.кв. (на одну сборку) - 6 шт.;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промежуточных клемм (ШПК1)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55181848.423286.637-ТО3.ЗЗ5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Щит распределительный навесной 1000х800х300 (ВхШхГ) 1 шт., в составе: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шина заземления - 1 шт.;  ввод кабельный PG-16 - 40 шт.; ввод кабельный PG-21 - 10 шт.; экран - 1 шт.;  выключатель автоматический 2п (~230 В, 6 А, хар. С, 10 кА) - 1 шт.; термостат - 1 шт.; нагреватель 150 Вт - 1 шт.; розетка (~230 В, 10 А) сервисная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Клеммный ряд в сборе (сборка)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2-х конт., 4мм.кв. (на одну сборку) - 110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Клеммный ряд в сборе (сборка)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клемма 2-х конт., 4мм.кв. (на одну сборку) - 6 шт.;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связи №1</w:t>
            </w:r>
          </w:p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55181848.423286.637-ТО3.ЗЗ6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2000x800x800 (ВхШхГ), цоколь 200 мм, двустороннего обслуживания, передняя дверь - глухая одностворчатая, задняя дверь - глухая одностворчатая — </w:t>
            </w:r>
            <w:r>
              <w:rPr>
                <w:rFonts w:ascii="Times New Roman" w:hAnsi="Times New Roman"/>
                <w:sz w:val="24"/>
                <w:szCs w:val="24"/>
              </w:rPr>
              <w:t>1 шт., в составе: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 заземления - 1 шт.; решетка вентиляционная (монтажный вырез 291х291 мм) - 1 шт.; распределительная панель (полиамид) - 4 шт.; панель глухая 19", 3U - 1 шт.; панель крепления модульной аппаратуры 19", 3U (2.200.067)  - 1 шт.; панель крепления аппаратуры 19", 3U (2.200.068) - 1 шт.; панель поворотная 19", 3U (3.211.012) - 6 шт.; панель крепления аппаратуры 19" - 1 шт.; Концевой выключатель двери - 2 шт.; светильник - 2 шт.; панель вентиляторная (с двумя дополнительными вентиляторами, с термостатом) - 1 шт.; розетка (~230 В, 10 А) - 1 шт.; Термостат (обогрев) — 1шт.; Нагреватель конвекционный ~/=220 В, 250 Вт — 2шт.; реле 240 В AC/DC, 1 контакт - 4 шт.; реле 240 В AC/DC, 2 контакта - 1 шт.; контактор 240 В AC/DC 40A - 4 шт.; Электронно-механический АВР ATS-3102 — 1шт.; коммутатор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(Eltex) MES2300DI-28 - 1 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.; модуль питания PM160-220/12, 220 В AC, 160 Вт (Eltex) - PM160-220/12 — 2 шт.; Сервер ARIS-6820 XC4 16G (ООО "Прософт-системы") XA2-XA2 Z-Z-Z-Z-Z-Z - 1 шт.; Дисковый накопитель (ООО "Прософт-системы") SSD 1 ТБ, M.2 NVME, MLC NAND FLASH, коммерческий диапазон температур XNV_1TBM - 2 шт.; Дисковый накопитель SSD 1 ТБ, 2.5" SATA, MLC NAND FLASH, коммерческий диапазон температур XST_1TBM – 2 шт.; Контроллер ARIS-2805 A2.4-B1.4-Z-Z-A2.4-P2500 – 1 шт.; Сервер точного времени ИСС-1.5 ИСС-К1-1П220-1М2 – 1 шт.; Антенна со встроен. грозоразряд. + кабельная сборка, 50 м, кронштейн – 1 шт.; Патч-панель 19", 24 порта RJ45 - 1 шт.; Кросс оптический укомплектованный 19", SM, 8xSC/UPC – 1 шт.; Консоль KVM с ЖК-дисплеем (КВМ технологии) KVM-LCD-1708-HD - 1 шт.; Кабель  KVM (Комплект KVM) - 1 шт.; Переходник HDMI-VGA - 1 шт.; Контроллер ARIS 1105 A2.1-B1.1-D1.1-D1.1-D1.1 P100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25 А, хар. С, 10 кА – 4шт.; Выключатель автоматический 2п, ~230 В, 16 А, хар. С, 10 кА – 2 шт.; Выключатель автоматический 2п, =220 В, 25 А, хар. С, 10 кА – 1 шт.; Выключатель автоматический 2п, ~230 В, 6 А, хар. С, 10 кА – 1 шт.; Выключатель автоматический 2п, ~230 В, 4 А, хар. С, 10 кА – 13 шт.; Выключатель автоматический 2п, ~230 В, 1 А, хар. С, 10 кА – 1 шт.; Выключатель автоматический 2п, ~230 В, 16 А, хар. С, 10 кА – 5 шт. Контакт сигнализации положения коммутационного аппарата - 24 шт.; Система инверторная в составе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Инвертор 2000 ВА/1500 Вт (Штиль) PS220/2000К ver.2.1 (на одну сборку)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шт.; Каркас модульный (Штиль) PS2020КМ ver.2.3 (на одну сборку) - 1 шт.;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Контроллер (Штиль) PSC-300.03.02 (на одну сборку)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Стабилизатор напряжения 2000 ВА / 1500 Вт (Штиль) IS2000RT - 1 шт.; Карта мониторинга (Штиль) IC-SNMP/WEB —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шт.;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Байпас электронный (Штиль) STS12000 (I) – 1 шт.; Переключатель кулачковый 40А, открытое исполнение, рукоятка R214, 3 положения (1-0-2), 4 пакета (Апатор) – 1 шт.; Ограничитель перенапряжений однофазный (~230 В) - 2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клемма проходная, 2-х конт., 16 кв.мм. (на одну сборку) - 3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Клеммный ряд в сборе (сборка) - 2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клемма проходная трехъярусная, 2,5 кв.мм. (на одну сборку)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клемма проходная трехъярусная, 2,5 кв.мм. (на одну сборку) - 2 шт.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связи №2 </w:t>
            </w:r>
          </w:p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55181848.423286.637-ТО3.ЗЗ7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Шкаф 2000x800x800 (ВхШхГ), цоколь 200 мм, двустороннего обслуживания, передняя дверь - глухая одностворчатая, задняя дверь - глухая одностворчатая — </w:t>
            </w:r>
            <w:r>
              <w:rPr>
                <w:rFonts w:ascii="Times New Roman" w:hAnsi="Times New Roman"/>
                <w:sz w:val="24"/>
                <w:szCs w:val="24"/>
              </w:rPr>
              <w:t>1шт., в составе: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 заземления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решетка вентиляционная (монтажный вырез 291х291 мм)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распределительная панель (полиамид) - 5 шт.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глухая 19", 3U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крепления модульной аппаратуры 19", 3U (2.200.067) 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крепления аппаратуры 19", 3U (2.200.068)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поворотная 19", 3U (3.211.012) - 6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крепления аппаратуры 19" —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Концевой выключатель двери - 2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светильник - 2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панель вентиляторная (с двумя дополнительными вентиляторами, с термостатом)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розетка (~230 В, 10 А)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Термостат (обогрев) — 1шт.;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Нагреватель конвекционный ~/=220 В, 250 Вт — 2шт.;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 240 В AC/DC, 1 контакт - 4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 240 В AC/DC, 2 контакта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контактор 240 В AC/DC 25A - 4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Электронно-механический АВР ATS-3102 — 1 шт.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коммутатор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(Eltex) MES2300DI-28 - 1 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питания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PM160-220/12, 220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AC, 160 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(Eltex) - PM160-220/12 — 2 </w:t>
            </w:r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Сервисный маршрутизатор (Eltex) ESR-31 FSTEC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Модуль питания PM160-220/12, 220 В AC, 160 Вт (Eltex) PM160-220/12 - 2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Экран межсетевой ESR-31 FSTEC –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Модуль питания PM160-220/12, 220 В AC, 160 Вт (Eltex) PM160-220/12 - 2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Сервер ARIS-6820 XC4 16G (ООО "Прософт-системы") XA2-XA2 Z-Z-Z-Z-Z-Z - 1 шт.; Дисковый накопитель (ООО "Прософт-системы") SSD 1 ТБ, M.2 NVME, MLC NAND FLASH, коммерческий диапазон температур XNV_1TBM - 2 шт.; Дисковый накопитель SSD 1 ТБ, 2.5" SATA, MLC NAND FLASH, коммерческий диапазон температур XST_1TBM –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Контроллер ARIS-2805 A2.4-B1.4-Z-Z-A2.4-P2500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Сервер точного времени ИСС-1.5 ИСС-К1-1П220-1М2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Антенна со встроен. грозоразряд. + кабельная сборка, 50 м, кронштейн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Патч-панель 19", 24 порта RJ45 - 1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Кросс оптический укомплектованный 19", SM, 8xSC/UPC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Консоль KVM с ЖК-дисплеем (КВМ технологии) KVM-LCD-1708-HD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Кабель  KVM (Комплект KVM)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Переходник HDMI-VGA - 1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Контроллер ARIS 1105 A2.1-B1.1-D1.1-D1.1-D1.1 P100 – 1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25 А, хар. С, 10 кА – 4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=220 В, 25 А, хар. С, 10 кА –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16 А, хар. С, 10 кА – 2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6 А, хар. С, 6 кА –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4 А, хар. С, 10 кА – 16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1 А, хар. С, 10 кА –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Выключатель автоматический 2п, ~230 В, 16 А, хар. С, 10 кА – 5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Контакт сигнализации положения коммутационного аппарата – 24 шт.;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Система инверторная в составе - 1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Инвертор 2000 ВА/1500 Вт (Штиль) PS220/2000К ver.2.1 (на одну сборку) - 2 шт.; Каркас модульный (Штиль) PS2020КМ ver.2.3 (на одну сборку) - 1 шт.; Контроллер (Штиль) PSC-300.03.02 (на одну сборку)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Стабилизатор напряжения 2000 ВА / 1500 Вт (Штиль) IS2000RT - 1 шт.; Карта мониторинга (Штиль) IC-SNMP/WEB — 1 шт.; Байпас электронный (Штиль) STS12000 (I) – 1 шт.; Переключатель кулачковый 40А, открытое исполнение, рукоятка R214, 3 положения (1-0-2), 4 пакета (Апатор) – 1 шт.; Ограничитель перенапряжений однофазный (~230 В) - 2 шт.;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клемма проходная, 2-х конт., 16 кв.мм. (на одну сборку) - 3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Клеммный ряд в сборе (сборка) - 9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клемма проходная, 2-х конт., 4 кв.мм. (на одну сборку) - 3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клемма проходная трехъярусная, 2,5 кв.мм. (на одну сборку) - 1 шт.;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Клеммный ряд в сборе (сборка) -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шт.: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 клемма проходная трехъярусная, 2,5 кв.мм. (на одну сборку) - 2 шт.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Контроллер многофункциональный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/>
              <w:t xml:space="preserve">ARIS-1104 А21.1-В3.1-F1.1-M4.1 (ИП220+4I/4U+ЦП+6DI/4DO) — </w:t>
            </w:r>
            <w:r>
              <w:rPr/>
              <w:t>25 шт.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Контроллер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ARIS-2805 А2.4-В3.4-E4.4-Z-А2.4.P500 — </w:t>
            </w:r>
            <w:r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3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 в комплекте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АРМ — 2 шт. в составе: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DEPO Neos DF9 (ДАЦН.466219.101-05.04) ДАЦН.469535.028/ i5-12400/ 32GbDDR4/ 1TB_PCIe_M.2/ 2G_GT1030/ 2LAN1Ge/ Clr/ 450W/ CAR3PCB: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Корпус DEPO 20L, 2xUSB3.0 Type-A, 2xUSB2.0 Type-C, 1xAUDIO combo, 1xMIC, Замок РЭА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Материнская плата DEPO DPH610S ДАЦН.469535.028 (2xDP,2xHDMI, 1xLAN)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Процессор i5-12400 [6 ядер, 12 потоков, 2.50 ГГц, 18 МБ кэш, 65-117 Вт]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Стандартная система охлаждения процессора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Оперативная память 32GB DDR4 (2 x 16GB)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Видеокарта 2048MB GT1030 PCI-E DVI HDMI (w/o VGA)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 xml:space="preserve">- Сетевая карта, 2 порта, 1 Гбит/с, RJ-45 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Интегрированная Gigabit Ethernet 10/100/1000Base-TX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Блок питания 450 Вт (вентилятор 12 см))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PCI-Express SSD накопитель 1Tb M.2 SSD PCIex4 NVMe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Дополнительный (на переднюю панель) системный вентилятор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Стандартная CAR3PCB - 3 года с обслуживанием в СЦ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Монитор 27" 2560х1440 (Quad HD) IPS, 144/165Hz, 1000:1, 250cd/m2, 178°/178°, HDMI, DP, 2xUSB-A, динамики, black М2701/2КР/PRO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Клавиатура проводная, интерфейс подключения USB, количество клавиш 104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>- Мышь компьютерная</w:t>
            </w:r>
          </w:p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/>
              <w:t xml:space="preserve">- Коврик для мыши 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№ 1-1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продукции представлены 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Таблице №3 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Приложении № 1 к настоящим Техническим требованиям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57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Указание характеристик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Продукция должна быть доставлена Поставщиком по адресу: филиал Центральные электрические сети ПАО «Якутскэнерго», Эльдиканский РЭС</w:t>
            </w:r>
          </w:p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РС (Я), п. Эльдикан, ул. Энергетиков, д.5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5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ГОСТ 15150-69 5(ОЖ4). Обоснование: транспортировка в район Крайнего Севера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6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z w:val="24"/>
                <w:szCs w:val="24"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0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гарантии</w:t>
            </w:r>
          </w:p>
        </w:tc>
        <w:tc>
          <w:tcPr>
            <w:tcW w:w="6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Гарантийный срок на продукцию: не менее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24 месяцев с момента поставки на склад Покупателя</w:t>
            </w:r>
          </w:p>
        </w:tc>
        <w:tc>
          <w:tcPr>
            <w:tcW w:w="2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283" w:type="dxa"/>
        <w:jc w:val="left"/>
        <w:tblInd w:w="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2419"/>
        <w:gridCol w:w="5637"/>
        <w:gridCol w:w="2491"/>
        <w:gridCol w:w="2101"/>
        <w:gridCol w:w="2020"/>
      </w:tblGrid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/>
                <w:sz w:val="24"/>
                <w:szCs w:val="24"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bidi w:val="0"/>
              <w:spacing w:before="0" w:after="0"/>
              <w:ind w:left="113" w:right="0" w:hanging="0"/>
              <w:jc w:val="left"/>
              <w:textAlignment w:val="baselin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Требуется в составе заявки представить сертификаты, технические паспорта, инструкции по эксплуатации на поставляемое оборудование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4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40" w:after="0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160"/>
              <w:ind w:left="42" w:hanging="0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Поставка</w:t>
            </w:r>
          </w:p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Таблицы 1.1. «Перечень и объем закупаемого товара»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- Номер реестровой записи из реестра российской промышленной продукции</w:t>
            </w:r>
          </w:p>
          <w:p>
            <w:pPr>
              <w:pStyle w:val="Standard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iCs/>
                <w:sz w:val="24"/>
                <w:szCs w:val="24"/>
              </w:rPr>
              <w:t>- Номер реестровой записи из евразийского реестра промышленных товаров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>
        <w:trPr>
          <w:trHeight w:val="712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Товар должен быть новым (период изготовления: не ранее 3 квартала 2026 года), ранее не использованным.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andard"/>
        <w:ind w:right="39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20" w:after="120"/>
        <w:ind w:right="168" w:hanging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tabs>
          <w:tab w:val="clear" w:pos="708"/>
          <w:tab w:val="left" w:pos="3600" w:leader="none"/>
        </w:tabs>
        <w:rPr>
          <w:sz w:val="24"/>
          <w:szCs w:val="24"/>
        </w:r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bookmarkStart w:id="33" w:name="__RefHeading___Toc15940_2903166146"/>
      <w:bookmarkEnd w:id="33"/>
      <w:r>
        <w:rPr>
          <w:rFonts w:ascii="Times New Roman" w:hAnsi="Times New Roman"/>
          <w:b/>
        </w:rPr>
        <w:t xml:space="preserve">3. </w:t>
      </w:r>
      <w:bookmarkStart w:id="34" w:name="_Toc165117214"/>
      <w:bookmarkStart w:id="35" w:name="_Toc178933477"/>
      <w:r>
        <w:rPr>
          <w:rFonts w:ascii="Times New Roman" w:hAnsi="Times New Roman"/>
          <w:b/>
        </w:rPr>
        <w:t>Требования к документации по ценообразованию на этапе закупки</w:t>
      </w:r>
      <w:bookmarkEnd w:id="34"/>
      <w:bookmarkEnd w:id="35"/>
    </w:p>
    <w:p>
      <w:pPr>
        <w:pStyle w:val="Standard"/>
        <w:keepNext w:val="true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3.1. </w:t>
      </w:r>
      <w:bookmarkStart w:id="36" w:name="_Toc165117215"/>
      <w:bookmarkStart w:id="37" w:name="_Toc178933478"/>
      <w:r>
        <w:rPr>
          <w:rFonts w:eastAsia="Calibri" w:ascii="Times New Roman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36"/>
      <w:bookmarkEnd w:id="37"/>
    </w:p>
    <w:p>
      <w:pPr>
        <w:pStyle w:val="Standard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3.2. </w:t>
      </w:r>
      <w:bookmarkStart w:id="38" w:name="_Toc165117217"/>
      <w:bookmarkStart w:id="39" w:name="_Toc178933480"/>
      <w:r>
        <w:rPr>
          <w:rFonts w:eastAsia="Calibri" w:ascii="Times New Roman" w:hAnsi="Times New Roman"/>
          <w:bCs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38"/>
      <w:bookmarkEnd w:id="39"/>
    </w:p>
    <w:p>
      <w:pPr>
        <w:pStyle w:val="Standard"/>
        <w:numPr>
          <w:ilvl w:val="0"/>
          <w:numId w:val="0"/>
        </w:numPr>
        <w:spacing w:before="120" w:after="60"/>
        <w:ind w:left="0" w:hanging="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3.3. 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(к позициям № 1-1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Таблицы 1.1. Перечень и объём закупаемой продукции).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bookmarkStart w:id="40" w:name="__RefHeading___Toc15940_2903166146_Копия"/>
      <w:bookmarkEnd w:id="40"/>
      <w:r>
        <w:rPr>
          <w:b/>
        </w:rPr>
        <w:t xml:space="preserve">4. </w:t>
      </w:r>
      <w:bookmarkStart w:id="41" w:name="_Toc165117214_Копия_1"/>
      <w:bookmarkStart w:id="42" w:name="_Toc178933477_Копия_1"/>
      <w:r>
        <w:rPr>
          <w:b/>
        </w:rPr>
        <w:t>П</w:t>
      </w:r>
      <w:bookmarkEnd w:id="41"/>
      <w:bookmarkEnd w:id="42"/>
      <w:r>
        <w:rPr>
          <w:b/>
        </w:rPr>
        <w:t>риложение</w:t>
      </w:r>
    </w:p>
    <w:p>
      <w:pPr>
        <w:pStyle w:val="Standard"/>
        <w:tabs>
          <w:tab w:val="clear" w:pos="708"/>
        </w:tabs>
        <w:ind w:left="0" w:right="397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right="39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1. Рабочая документация (том 55181848.423286.637-ТО3)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6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0"/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" w:asciiTheme="minorHAnsi" w:cstheme="minorBid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0f8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link w:val="1"/>
    <w:qFormat/>
    <w:rsid w:val="00f80f8e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Standard"/>
    <w:link w:val="2"/>
    <w:qFormat/>
    <w:rsid w:val="00f80f8e"/>
    <w:pPr>
      <w:outlineLvl w:val="1"/>
    </w:pPr>
    <w:rPr/>
  </w:style>
  <w:style w:type="paragraph" w:styleId="Heading3">
    <w:name w:val="Heading 3"/>
    <w:basedOn w:val="Standard"/>
    <w:next w:val="Standard"/>
    <w:link w:val="3"/>
    <w:autoRedefine/>
    <w:qFormat/>
    <w:rsid w:val="00f80f8e"/>
    <w:pPr>
      <w:keepNext w:val="true"/>
      <w:tabs>
        <w:tab w:val="clear" w:pos="708"/>
        <w:tab w:val="left" w:pos="1440" w:leader="none"/>
      </w:tabs>
      <w:spacing w:before="120" w:after="60"/>
      <w:outlineLvl w:val="2"/>
    </w:pPr>
    <w:rPr>
      <w:rFonts w:eastAsia="Calibri"/>
    </w:rPr>
  </w:style>
  <w:style w:type="paragraph" w:styleId="Heading4">
    <w:name w:val="Heading 4"/>
    <w:basedOn w:val="Heading3"/>
    <w:next w:val="Standard"/>
    <w:link w:val="4"/>
    <w:qFormat/>
    <w:rsid w:val="00f80f8e"/>
    <w:pPr>
      <w:tabs>
        <w:tab w:val="clear" w:pos="1440"/>
        <w:tab w:val="left" w:pos="0" w:leader="none"/>
      </w:tabs>
      <w:ind w:left="1224" w:hanging="504"/>
      <w:outlineLvl w:val="3"/>
    </w:pPr>
    <w:rPr>
      <w:bCs/>
    </w:rPr>
  </w:style>
  <w:style w:type="paragraph" w:styleId="Heading5">
    <w:name w:val="Heading 5"/>
    <w:basedOn w:val="Standard"/>
    <w:next w:val="Standard"/>
    <w:link w:val="5"/>
    <w:qFormat/>
    <w:rsid w:val="00f80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link w:val="6"/>
    <w:qFormat/>
    <w:rsid w:val="00f80f8e"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link w:val="7"/>
    <w:qFormat/>
    <w:rsid w:val="00f80f8e"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link w:val="8"/>
    <w:qFormat/>
    <w:rsid w:val="00f80f8e"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link w:val="9"/>
    <w:qFormat/>
    <w:rsid w:val="00f80f8e"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80f8e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qFormat/>
    <w:rsid w:val="00f80f8e"/>
    <w:rPr>
      <w:rFonts w:ascii="Times New Roman" w:hAnsi="Times New Roman" w:eastAsia="Calibri" w:cs="Times New Roman"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f80f8e"/>
    <w:rPr>
      <w:rFonts w:ascii="Liberation Serif" w:hAnsi="Liberation Serif" w:eastAsia="Calibri" w:cs="Lucida Sans"/>
      <w:kern w:val="2"/>
      <w:sz w:val="24"/>
      <w:szCs w:val="24"/>
      <w:lang w:eastAsia="zh-CN" w:bidi="hi-IN"/>
    </w:rPr>
  </w:style>
  <w:style w:type="character" w:styleId="4" w:customStyle="1">
    <w:name w:val="Заголовок 4 Знак"/>
    <w:basedOn w:val="DefaultParagraphFont"/>
    <w:qFormat/>
    <w:rsid w:val="00f80f8e"/>
    <w:rPr>
      <w:rFonts w:ascii="Liberation Serif" w:hAnsi="Liberation Serif" w:eastAsia="Calibri" w:cs="Lucida Sans"/>
      <w:bCs/>
      <w:kern w:val="2"/>
      <w:sz w:val="24"/>
      <w:szCs w:val="24"/>
      <w:lang w:eastAsia="zh-CN" w:bidi="hi-IN"/>
    </w:rPr>
  </w:style>
  <w:style w:type="character" w:styleId="5" w:customStyle="1">
    <w:name w:val="Заголовок 5 Знак"/>
    <w:basedOn w:val="DefaultParagraphFont"/>
    <w:qFormat/>
    <w:rsid w:val="00f80f8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qFormat/>
    <w:rsid w:val="00f80f8e"/>
    <w:rPr>
      <w:rFonts w:ascii="Cambria" w:hAnsi="Cambria" w:eastAsia="Cambria" w:cs="Cambria"/>
      <w:i/>
      <w:iCs/>
      <w:color w:val="243F60"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f80f8e"/>
    <w:rPr>
      <w:rFonts w:ascii="Cambria" w:hAnsi="Cambria" w:eastAsia="Cambria" w:cs="Cambria"/>
      <w:i/>
      <w:iCs/>
      <w:color w:val="404040"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f80f8e"/>
    <w:rPr>
      <w:rFonts w:ascii="Cambria" w:hAnsi="Cambria" w:eastAsia="Cambria" w:cs="Cambria"/>
      <w:color w:val="4F81BD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f80f8e"/>
    <w:rPr>
      <w:rFonts w:ascii="Arial" w:hAnsi="Arial" w:eastAsia="Arial" w:cs="Arial"/>
      <w:lang w:eastAsia="ru-RU"/>
    </w:rPr>
  </w:style>
  <w:style w:type="character" w:styleId="Style" w:customStyle="1">
    <w:name w:val="Верх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" w:customStyle="1">
    <w:name w:val="Ниж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2" w:customStyle="1">
    <w:name w:val="Текст выноски Знак"/>
    <w:basedOn w:val="DefaultParagraphFont"/>
    <w:link w:val="BalloonText"/>
    <w:qFormat/>
    <w:rsid w:val="00f80f8e"/>
    <w:rPr>
      <w:rFonts w:ascii="Tahoma" w:hAnsi="Tahoma" w:eastAsia="Tahoma" w:cs="Tahoma"/>
      <w:sz w:val="16"/>
      <w:szCs w:val="16"/>
      <w:lang w:eastAsia="ru-RU"/>
    </w:rPr>
  </w:style>
  <w:style w:type="character" w:styleId="Style3" w:customStyle="1">
    <w:name w:val="Текст примечания Знак"/>
    <w:basedOn w:val="DefaultParagraphFont"/>
    <w:link w:val="Annotationtext"/>
    <w:qFormat/>
    <w:rsid w:val="00f80f8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4" w:customStyle="1">
    <w:name w:val="Тема примечания Знак"/>
    <w:basedOn w:val="Style3"/>
    <w:link w:val="Annotationsubject"/>
    <w:qFormat/>
    <w:rsid w:val="00f80f8e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5" w:customStyle="1">
    <w:name w:val="Подзаголовок Знак"/>
    <w:basedOn w:val="DefaultParagraphFont"/>
    <w:qFormat/>
    <w:rsid w:val="00f80f8e"/>
    <w:rPr>
      <w:rFonts w:ascii="Cambria" w:hAnsi="Cambria" w:eastAsia="Cambria" w:cs="Cambria"/>
      <w:i/>
      <w:iCs/>
      <w:color w:val="4F81BD"/>
      <w:spacing w:val="15"/>
      <w:sz w:val="24"/>
      <w:szCs w:val="24"/>
      <w:lang w:eastAsia="ru-RU"/>
    </w:rPr>
  </w:style>
  <w:style w:type="character" w:styleId="23" w:customStyle="1">
    <w:name w:val="Цитата 2 Знак"/>
    <w:basedOn w:val="DefaultParagraphFont"/>
    <w:link w:val="Quote"/>
    <w:qFormat/>
    <w:rsid w:val="00f80f8e"/>
    <w:rPr>
      <w:rFonts w:ascii="Calibri" w:hAnsi="Calibri" w:eastAsia="Calibri" w:cs="Calibri"/>
      <w:i/>
      <w:iCs/>
      <w:color w:val="000000"/>
      <w:sz w:val="20"/>
      <w:szCs w:val="20"/>
      <w:lang w:eastAsia="ru-RU"/>
    </w:rPr>
  </w:style>
  <w:style w:type="character" w:styleId="Style6" w:customStyle="1">
    <w:name w:val="Выделенная цитата Знак"/>
    <w:basedOn w:val="DefaultParagraphFont"/>
    <w:link w:val="IntenseQuote"/>
    <w:qFormat/>
    <w:rsid w:val="00f80f8e"/>
    <w:rPr>
      <w:rFonts w:ascii="Calibri" w:hAnsi="Calibri" w:eastAsia="Calibri" w:cs="Calibri"/>
      <w:b/>
      <w:bCs/>
      <w:i/>
      <w:iCs/>
      <w:color w:val="4F81BD"/>
      <w:sz w:val="20"/>
      <w:szCs w:val="20"/>
      <w:lang w:eastAsia="ru-RU"/>
    </w:rPr>
  </w:style>
  <w:style w:type="character" w:styleId="Style7" w:customStyle="1">
    <w:name w:val="Электронная подпись Знак"/>
    <w:basedOn w:val="DefaultParagraphFont"/>
    <w:link w:val="E-mailSignature"/>
    <w:qFormat/>
    <w:rsid w:val="00f80f8e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FootnoteSymbol" w:customStyle="1">
    <w:name w:val="Footnote Symbol"/>
    <w:qFormat/>
    <w:rsid w:val="00f80f8e"/>
    <w:rPr>
      <w:vertAlign w:val="superscript"/>
    </w:rPr>
  </w:style>
  <w:style w:type="character" w:styleId="Style8" w:customStyle="1">
    <w:name w:val="Символ сноски"/>
    <w:qFormat/>
    <w:rsid w:val="00f80f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f80f8e"/>
    <w:rPr/>
  </w:style>
  <w:style w:type="character" w:styleId="Internetlink" w:customStyle="1">
    <w:name w:val="Internet link"/>
    <w:qFormat/>
    <w:rsid w:val="00f80f8e"/>
    <w:rPr>
      <w:color w:val="0000FF"/>
      <w:u w:val="single"/>
    </w:rPr>
  </w:style>
  <w:style w:type="character" w:styleId="Annotationreference">
    <w:name w:val="annotation reference"/>
    <w:qFormat/>
    <w:rsid w:val="00f80f8e"/>
    <w:rPr>
      <w:sz w:val="16"/>
      <w:szCs w:val="16"/>
    </w:rPr>
  </w:style>
  <w:style w:type="character" w:styleId="Strong1" w:customStyle="1">
    <w:name w:val="Strong1"/>
    <w:qFormat/>
    <w:rsid w:val="00f80f8e"/>
    <w:rPr>
      <w:b/>
      <w:bCs/>
    </w:rPr>
  </w:style>
  <w:style w:type="character" w:styleId="Style9" w:customStyle="1">
    <w:name w:val="Название Знак"/>
    <w:qFormat/>
    <w:rsid w:val="00f80f8e"/>
    <w:rPr>
      <w:sz w:val="28"/>
    </w:rPr>
  </w:style>
  <w:style w:type="character" w:styleId="Emphasis">
    <w:name w:val="Emphasis"/>
    <w:qFormat/>
    <w:rsid w:val="00f80f8e"/>
    <w:rPr>
      <w:i/>
      <w:iCs/>
    </w:rPr>
  </w:style>
  <w:style w:type="character" w:styleId="SubtleEmphasis">
    <w:name w:val="Subtle Emphasis"/>
    <w:qFormat/>
    <w:rsid w:val="00f80f8e"/>
    <w:rPr>
      <w:i/>
      <w:iCs/>
      <w:color w:val="808080"/>
    </w:rPr>
  </w:style>
  <w:style w:type="character" w:styleId="IntenseEmphasis">
    <w:name w:val="Intense Emphasis"/>
    <w:qFormat/>
    <w:rsid w:val="00f80f8e"/>
    <w:rPr>
      <w:b/>
      <w:bCs/>
      <w:i/>
      <w:iCs/>
      <w:color w:val="4F81BD"/>
    </w:rPr>
  </w:style>
  <w:style w:type="character" w:styleId="SubtleReference">
    <w:name w:val="Subtle Reference"/>
    <w:qFormat/>
    <w:rsid w:val="00f80f8e"/>
    <w:rPr>
      <w:smallCaps/>
      <w:color w:val="C0504D"/>
      <w:u w:val="single"/>
    </w:rPr>
  </w:style>
  <w:style w:type="character" w:styleId="IntenseReference">
    <w:name w:val="Intense Reference"/>
    <w:qFormat/>
    <w:rsid w:val="00f80f8e"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sid w:val="00f80f8e"/>
    <w:rPr>
      <w:b/>
      <w:bCs/>
      <w:smallCaps/>
      <w:spacing w:val="5"/>
    </w:rPr>
  </w:style>
  <w:style w:type="character" w:styleId="11" w:customStyle="1">
    <w:name w:val="Подпункт Знак1"/>
    <w:qFormat/>
    <w:rsid w:val="00f80f8e"/>
    <w:rPr>
      <w:sz w:val="28"/>
    </w:rPr>
  </w:style>
  <w:style w:type="character" w:styleId="Style10" w:customStyle="1">
    <w:name w:val="Текст сноски Знак"/>
    <w:qFormat/>
    <w:rsid w:val="00f80f8e"/>
    <w:rPr/>
  </w:style>
  <w:style w:type="character" w:styleId="Style11" w:customStyle="1">
    <w:name w:val="Основной текст Знак"/>
    <w:qFormat/>
    <w:rsid w:val="00f80f8e"/>
    <w:rPr>
      <w:sz w:val="28"/>
      <w:szCs w:val="28"/>
    </w:rPr>
  </w:style>
  <w:style w:type="character" w:styleId="Blk" w:customStyle="1">
    <w:name w:val="blk"/>
    <w:qFormat/>
    <w:rsid w:val="00f80f8e"/>
    <w:rPr/>
  </w:style>
  <w:style w:type="character" w:styleId="Style12" w:customStyle="1">
    <w:name w:val="Абзац списка Знак"/>
    <w:qFormat/>
    <w:rsid w:val="00f80f8e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f80f8e"/>
    <w:rPr>
      <w:b/>
      <w:i/>
      <w:shd w:fill="FFFF99" w:val="clear"/>
    </w:rPr>
  </w:style>
  <w:style w:type="character" w:styleId="Style14" w:customStyle="1">
    <w:name w:val="Подподпункт Знак"/>
    <w:qFormat/>
    <w:rsid w:val="00f80f8e"/>
    <w:rPr>
      <w:sz w:val="26"/>
      <w:szCs w:val="26"/>
    </w:rPr>
  </w:style>
  <w:style w:type="character" w:styleId="33" w:customStyle="1">
    <w:name w:val="УРОВЕНЬ_Абзац_тип3 Знак"/>
    <w:qFormat/>
    <w:rsid w:val="00f80f8e"/>
    <w:rPr>
      <w:rFonts w:eastAsia="Calibri"/>
      <w:sz w:val="26"/>
      <w:szCs w:val="28"/>
      <w:lang w:eastAsia="en-US"/>
    </w:rPr>
  </w:style>
  <w:style w:type="character" w:styleId="Style15" w:customStyle="1">
    <w:name w:val="Текст концевой сноски Знак"/>
    <w:basedOn w:val="DefaultParagraphFont"/>
    <w:qFormat/>
    <w:rsid w:val="00f80f8e"/>
    <w:rPr/>
  </w:style>
  <w:style w:type="character" w:styleId="EndnoteSymbol" w:customStyle="1">
    <w:name w:val="Endnote Symbol"/>
    <w:qFormat/>
    <w:rsid w:val="00f80f8e"/>
    <w:rPr>
      <w:vertAlign w:val="superscript"/>
    </w:rPr>
  </w:style>
  <w:style w:type="character" w:styleId="Style16" w:customStyle="1">
    <w:name w:val="Символ концевой сноски"/>
    <w:qFormat/>
    <w:rsid w:val="00f80f8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qFormat/>
    <w:rsid w:val="00f80f8e"/>
    <w:rPr>
      <w:b/>
      <w:sz w:val="28"/>
    </w:rPr>
  </w:style>
  <w:style w:type="character" w:styleId="12" w:customStyle="1">
    <w:name w:val="УРОВЕНЬ_1. Знак"/>
    <w:qFormat/>
    <w:rsid w:val="00f80f8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sid w:val="00f80f8e"/>
    <w:rPr>
      <w:color w:val="605E5C"/>
      <w:shd w:fill="E1DFDD" w:val="clear"/>
    </w:rPr>
  </w:style>
  <w:style w:type="character" w:styleId="ConsPlusNormal" w:customStyle="1">
    <w:name w:val="ConsPlusNormal Знак"/>
    <w:qFormat/>
    <w:rsid w:val="00f80f8e"/>
    <w:rPr>
      <w:rFonts w:ascii="Arial" w:hAnsi="Arial" w:eastAsia="Arial" w:cs="Arial"/>
    </w:rPr>
  </w:style>
  <w:style w:type="character" w:styleId="Style17" w:customStyle="1">
    <w:name w:val="Ссылка указателя"/>
    <w:qFormat/>
    <w:rsid w:val="00f80f8e"/>
    <w:rPr/>
  </w:style>
  <w:style w:type="character" w:styleId="14" w:customStyle="1">
    <w:name w:val="Строгий1"/>
    <w:qFormat/>
    <w:rsid w:val="00f80f8e"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f80f8e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15" w:customStyle="1">
    <w:name w:val="Заголовок1"/>
    <w:basedOn w:val="Standard"/>
    <w:next w:val="Textbody"/>
    <w:qFormat/>
    <w:rsid w:val="00f80f8e"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6" w:customStyle="1">
    <w:name w:val="Указатель1"/>
    <w:basedOn w:val="Standard"/>
    <w:qFormat/>
    <w:rsid w:val="00f80f8e"/>
    <w:pPr>
      <w:suppressLineNumbers/>
    </w:pPr>
    <w:rPr>
      <w:rFonts w:cs="Arial Unicode MS"/>
    </w:rPr>
  </w:style>
  <w:style w:type="paragraph" w:styleId="Standard" w:customStyle="1">
    <w:name w:val="Standard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rsid w:val="00f80f8e"/>
    <w:pPr>
      <w:spacing w:before="0" w:after="120"/>
    </w:pPr>
    <w:rPr/>
  </w:style>
  <w:style w:type="paragraph" w:styleId="Caption11" w:customStyle="1">
    <w:name w:val="caption11"/>
    <w:basedOn w:val="Standard"/>
    <w:qFormat/>
    <w:rsid w:val="00f80f8e"/>
    <w:pPr>
      <w:suppressLineNumbers/>
      <w:spacing w:before="120" w:after="120"/>
    </w:pPr>
    <w:rPr>
      <w:rFonts w:cs="Arial Unicode MS"/>
      <w:i/>
      <w:iCs/>
    </w:rPr>
  </w:style>
  <w:style w:type="paragraph" w:styleId="Style20" w:customStyle="1">
    <w:name w:val="Название раздела инструкции"/>
    <w:basedOn w:val="Standard"/>
    <w:autoRedefine/>
    <w:qFormat/>
    <w:rsid w:val="00f80f8e"/>
    <w:pPr>
      <w:jc w:val="center"/>
    </w:pPr>
    <w:rPr>
      <w:b/>
    </w:rPr>
  </w:style>
  <w:style w:type="paragraph" w:styleId="Style21" w:customStyle="1">
    <w:name w:val="Раздел положения"/>
    <w:basedOn w:val="Standard"/>
    <w:autoRedefine/>
    <w:qFormat/>
    <w:rsid w:val="00f80f8e"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Standard"/>
    <w:autoRedefine/>
    <w:qFormat/>
    <w:rsid w:val="00f80f8e"/>
    <w:pPr>
      <w:numPr>
        <w:ilvl w:val="0"/>
        <w:numId w:val="1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rsid w:val="00f80f8e"/>
    <w:pPr/>
    <w:rPr>
      <w:sz w:val="20"/>
      <w:szCs w:val="20"/>
    </w:rPr>
  </w:style>
  <w:style w:type="paragraph" w:styleId="17" w:customStyle="1">
    <w:name w:val="Шапка 1"/>
    <w:basedOn w:val="Standard"/>
    <w:qFormat/>
    <w:rsid w:val="00f80f8e"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Standard"/>
    <w:qFormat/>
    <w:rsid w:val="00f80f8e"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Standard"/>
    <w:qFormat/>
    <w:rsid w:val="00f80f8e"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styleId="18" w:customStyle="1">
    <w:name w:val="Название1"/>
    <w:basedOn w:val="Standard"/>
    <w:qFormat/>
    <w:rsid w:val="00f80f8e"/>
    <w:pPr>
      <w:jc w:val="center"/>
    </w:pPr>
    <w:rPr>
      <w:szCs w:val="20"/>
    </w:rPr>
  </w:style>
  <w:style w:type="paragraph" w:styleId="Style23" w:customStyle="1">
    <w:name w:val="Колонтитул"/>
    <w:basedOn w:val="Standard"/>
    <w:qFormat/>
    <w:rsid w:val="00f80f8e"/>
    <w:pPr/>
    <w:rPr/>
  </w:style>
  <w:style w:type="paragraph" w:styleId="Header">
    <w:name w:val="Header"/>
    <w:basedOn w:val="Standard"/>
    <w:link w:val="Style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indent" w:customStyle="1">
    <w:name w:val="Text body indent"/>
    <w:basedOn w:val="Standard"/>
    <w:qFormat/>
    <w:rsid w:val="00f80f8e"/>
    <w:pPr>
      <w:ind w:left="360" w:hanging="0"/>
    </w:pPr>
    <w:rPr/>
  </w:style>
  <w:style w:type="paragraph" w:styleId="Footer">
    <w:name w:val="Footer"/>
    <w:basedOn w:val="Standard"/>
    <w:link w:val="Style1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link w:val="21"/>
    <w:qFormat/>
    <w:rsid w:val="00f80f8e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link w:val="31"/>
    <w:qFormat/>
    <w:rsid w:val="00f80f8e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link w:val="32"/>
    <w:qFormat/>
    <w:rsid w:val="00f80f8e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link w:val="22"/>
    <w:qFormat/>
    <w:rsid w:val="00f80f8e"/>
    <w:pPr>
      <w:spacing w:lineRule="auto" w:line="480" w:before="0" w:after="120"/>
    </w:pPr>
    <w:rPr/>
  </w:style>
  <w:style w:type="paragraph" w:styleId="BlockText">
    <w:name w:val="Block Text"/>
    <w:basedOn w:val="Standard"/>
    <w:qFormat/>
    <w:rsid w:val="00f80f8e"/>
    <w:pPr>
      <w:ind w:left="-567" w:right="-766" w:hanging="0"/>
      <w:jc w:val="center"/>
    </w:pPr>
    <w:rPr>
      <w:b/>
      <w:bCs/>
      <w:szCs w:val="20"/>
    </w:rPr>
  </w:style>
  <w:style w:type="paragraph" w:styleId="Style24" w:customStyle="1">
    <w:name w:val="Подпункт"/>
    <w:basedOn w:val="Standard"/>
    <w:qFormat/>
    <w:rsid w:val="00f80f8e"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6" w:customStyle="1">
    <w:name w:val="Пункт2"/>
    <w:basedOn w:val="Standard"/>
    <w:qFormat/>
    <w:rsid w:val="00f80f8e"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rsid w:val="00f80f8e"/>
    <w:pPr>
      <w:spacing w:before="120" w:after="0"/>
    </w:pPr>
    <w:rPr>
      <w:rFonts w:cs="Calibri Light (Заголовки)"/>
      <w:b/>
      <w:bCs/>
    </w:rPr>
  </w:style>
  <w:style w:type="paragraph" w:styleId="Contents3" w:customStyle="1">
    <w:name w:val="Contents 3"/>
    <w:basedOn w:val="Standard"/>
    <w:next w:val="Standard"/>
    <w:autoRedefine/>
    <w:qFormat/>
    <w:rsid w:val="00f80f8e"/>
    <w:pPr>
      <w:ind w:left="280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Standard"/>
    <w:qFormat/>
    <w:rsid w:val="00f80f8e"/>
    <w:pPr/>
    <w:rPr/>
  </w:style>
  <w:style w:type="paragraph" w:styleId="Style26" w:customStyle="1">
    <w:name w:val="Приложение к регламенту"/>
    <w:basedOn w:val="Standard"/>
    <w:qFormat/>
    <w:rsid w:val="00f80f8e"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f80f8e"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Standard"/>
    <w:link w:val="Style2"/>
    <w:qFormat/>
    <w:rsid w:val="00f80f8e"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link w:val="Style3"/>
    <w:qFormat/>
    <w:rsid w:val="00f80f8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qFormat/>
    <w:rsid w:val="00f80f8e"/>
    <w:pPr/>
    <w:rPr>
      <w:b/>
      <w:bCs/>
    </w:rPr>
  </w:style>
  <w:style w:type="paragraph" w:styleId="19" w:customStyle="1">
    <w:name w:val="Обычный (веб)1"/>
    <w:basedOn w:val="Standard"/>
    <w:qFormat/>
    <w:rsid w:val="00f80f8e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ntents9" w:customStyle="1">
    <w:name w:val="Contents 9"/>
    <w:basedOn w:val="Standard"/>
    <w:next w:val="Standard"/>
    <w:autoRedefine/>
    <w:qFormat/>
    <w:rsid w:val="00f80f8e"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rsid w:val="00f80f8e"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rsid w:val="00f80f8e"/>
    <w:pPr>
      <w:ind w:left="560" w:hanging="0"/>
    </w:pPr>
    <w:rPr>
      <w:rFonts w:cs="Calibri"/>
      <w:sz w:val="20"/>
      <w:szCs w:val="20"/>
    </w:rPr>
  </w:style>
  <w:style w:type="paragraph" w:styleId="27" w:customStyle="1">
    <w:name w:val="Раздел положения 2"/>
    <w:basedOn w:val="Standard"/>
    <w:qFormat/>
    <w:rsid w:val="00f80f8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rsid w:val="00f80f8e"/>
    <w:pPr>
      <w:spacing w:lineRule="auto" w:line="360"/>
    </w:pPr>
    <w:rPr>
      <w:rFonts w:eastAsia="Calibri"/>
    </w:rPr>
  </w:style>
  <w:style w:type="paragraph" w:styleId="Caption111" w:customStyle="1">
    <w:name w:val="caption111"/>
    <w:basedOn w:val="Standard"/>
    <w:next w:val="Standard"/>
    <w:qFormat/>
    <w:rsid w:val="00f80f8e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Standard"/>
    <w:next w:val="Standard"/>
    <w:link w:val="Style5"/>
    <w:qFormat/>
    <w:rsid w:val="00f80f8e"/>
    <w:pPr>
      <w:ind w:left="1066" w:firstLine="709"/>
    </w:pPr>
    <w:rPr>
      <w:rFonts w:ascii="Cambria" w:hAnsi="Cambria" w:eastAsia="Cambria" w:cs="Cambria"/>
      <w:i/>
      <w:iCs/>
      <w:color w:val="4F81BD"/>
      <w:spacing w:val="15"/>
    </w:rPr>
  </w:style>
  <w:style w:type="paragraph" w:styleId="ListParagraph">
    <w:name w:val="List Paragraph"/>
    <w:basedOn w:val="Standard"/>
    <w:qFormat/>
    <w:rsid w:val="00f80f8e"/>
    <w:pPr>
      <w:ind w:left="720" w:hanging="0"/>
    </w:pPr>
    <w:rPr>
      <w:rFonts w:eastAsia="Calibri"/>
    </w:rPr>
  </w:style>
  <w:style w:type="paragraph" w:styleId="Quote">
    <w:name w:val="Quote"/>
    <w:basedOn w:val="Standard"/>
    <w:next w:val="Standard"/>
    <w:link w:val="23"/>
    <w:qFormat/>
    <w:rsid w:val="00f80f8e"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link w:val="Style6"/>
    <w:qFormat/>
    <w:rsid w:val="00f80f8e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f80f8e"/>
    <w:pPr>
      <w:ind w:left="200" w:hanging="200"/>
    </w:pPr>
    <w:rPr/>
  </w:style>
  <w:style w:type="paragraph" w:styleId="Indexheading">
    <w:name w:val="index heading"/>
    <w:basedOn w:val="15"/>
    <w:qFormat/>
    <w:rsid w:val="00f80f8e"/>
    <w:pPr/>
    <w:rPr/>
  </w:style>
  <w:style w:type="paragraph" w:styleId="ContentsHeading" w:customStyle="1">
    <w:name w:val="Contents Heading"/>
    <w:basedOn w:val="Heading1"/>
    <w:next w:val="Standard"/>
    <w:qFormat/>
    <w:rsid w:val="00f80f8e"/>
    <w:pPr>
      <w:keepLines/>
      <w:spacing w:before="480" w:after="6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link w:val="Style7"/>
    <w:qFormat/>
    <w:rsid w:val="00f80f8e"/>
    <w:pPr/>
    <w:rPr>
      <w:rFonts w:eastAsia="Calibri"/>
    </w:rPr>
  </w:style>
  <w:style w:type="paragraph" w:styleId="Style28" w:customStyle="1">
    <w:name w:val="Знак"/>
    <w:basedOn w:val="Standard"/>
    <w:qFormat/>
    <w:rsid w:val="00f80f8e"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Standard"/>
    <w:qFormat/>
    <w:rsid w:val="00f80f8e"/>
    <w:pPr>
      <w:jc w:val="both"/>
    </w:pPr>
    <w:rPr>
      <w:rFonts w:ascii="Garamond" w:hAnsi="Garamond" w:eastAsia="Garamond" w:cs="Garamond"/>
      <w:szCs w:val="20"/>
    </w:rPr>
  </w:style>
  <w:style w:type="paragraph" w:styleId="ListBullet4">
    <w:name w:val="List Bullet 4"/>
    <w:basedOn w:val="Standard"/>
    <w:qFormat/>
    <w:rsid w:val="00f80f8e"/>
    <w:p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28" w:customStyle="1">
    <w:name w:val="Нумерованный список ур2"/>
    <w:basedOn w:val="Standard"/>
    <w:qFormat/>
    <w:rsid w:val="00f80f8e"/>
    <w:pPr>
      <w:numPr>
        <w:ilvl w:val="0"/>
        <w:numId w:val="2"/>
      </w:num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Revision">
    <w:name w:val="Revision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f80f8e"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9" w:customStyle="1">
    <w:name w:val="Пункт"/>
    <w:basedOn w:val="Standard"/>
    <w:qFormat/>
    <w:rsid w:val="00f80f8e"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10" w:customStyle="1">
    <w:name w:val="Абзац списка1"/>
    <w:basedOn w:val="Standard"/>
    <w:qFormat/>
    <w:rsid w:val="00f80f8e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0" w:customStyle="1">
    <w:name w:val="Таблица"/>
    <w:basedOn w:val="Standard"/>
    <w:qFormat/>
    <w:rsid w:val="00f80f8e"/>
    <w:pPr>
      <w:keepNext w:val="true"/>
      <w:spacing w:before="60" w:after="60"/>
      <w:jc w:val="center"/>
    </w:pPr>
    <w:rPr>
      <w:rFonts w:eastAsia="Calibri"/>
      <w:b/>
    </w:rPr>
  </w:style>
  <w:style w:type="paragraph" w:styleId="Style31" w:customStyle="1">
    <w:name w:val="Таблица шапка"/>
    <w:basedOn w:val="Standard"/>
    <w:qFormat/>
    <w:rsid w:val="00f80f8e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rsid w:val="00f80f8e"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rsid w:val="00f80f8e"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f80f8e"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f80f8e"/>
    <w:pPr>
      <w:keepNext w:val="true"/>
      <w:numPr>
        <w:ilvl w:val="0"/>
        <w:numId w:val="3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f80f8e"/>
    <w:pPr>
      <w:keepLines/>
      <w:tabs>
        <w:tab w:val="left" w:pos="1134" w:leader="none"/>
        <w:tab w:val="left" w:pos="1440" w:leader="none"/>
      </w:tabs>
      <w:spacing w:before="480" w:after="240"/>
      <w:ind w:left="567" w:hanging="567"/>
    </w:pPr>
    <w:rPr>
      <w:rFonts w:ascii="Arial" w:hAnsi="Arial" w:eastAsia="Times New Roman" w:cs="Arial"/>
      <w:bCs/>
      <w:sz w:val="40"/>
      <w:szCs w:val="20"/>
    </w:rPr>
  </w:style>
  <w:style w:type="paragraph" w:styleId="Endnote" w:customStyle="1">
    <w:name w:val="Endnote"/>
    <w:basedOn w:val="Standard"/>
    <w:qFormat/>
    <w:rsid w:val="00f80f8e"/>
    <w:pPr/>
    <w:rPr>
      <w:sz w:val="20"/>
      <w:szCs w:val="20"/>
    </w:rPr>
  </w:style>
  <w:style w:type="paragraph" w:styleId="210" w:customStyle="1">
    <w:name w:val="Заголовок 2 КВВ"/>
    <w:basedOn w:val="Standard"/>
    <w:qFormat/>
    <w:rsid w:val="00f80f8e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szCs w:val="20"/>
    </w:rPr>
  </w:style>
  <w:style w:type="paragraph" w:styleId="Style35" w:customStyle="1">
    <w:name w:val="Таблица текст"/>
    <w:basedOn w:val="Standard"/>
    <w:qFormat/>
    <w:rsid w:val="00f80f8e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Standard"/>
    <w:qFormat/>
    <w:rsid w:val="00f80f8e"/>
    <w:pPr>
      <w:spacing w:before="280" w:after="280"/>
    </w:pPr>
    <w:rPr/>
  </w:style>
  <w:style w:type="paragraph" w:styleId="112" w:customStyle="1">
    <w:name w:val="УРОВЕНЬ_1."/>
    <w:basedOn w:val="ListParagraph"/>
    <w:qFormat/>
    <w:rsid w:val="00f80f8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rsid w:val="00f80f8e"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rsid w:val="00f80f8e"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rsid w:val="00f80f8e"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38" w:customStyle="1">
    <w:name w:val="Абзац списка3"/>
    <w:basedOn w:val="Standard"/>
    <w:qFormat/>
    <w:rsid w:val="00f80f8e"/>
    <w:pPr>
      <w:ind w:left="720" w:hanging="0"/>
    </w:pPr>
    <w:rPr>
      <w:rFonts w:eastAsia="Calibri"/>
    </w:rPr>
  </w:style>
  <w:style w:type="paragraph" w:styleId="113" w:customStyle="1">
    <w:name w:val="Текст примечания1"/>
    <w:basedOn w:val="Standard"/>
    <w:qFormat/>
    <w:rsid w:val="00f80f8e"/>
    <w:pPr/>
    <w:rPr>
      <w:sz w:val="20"/>
      <w:szCs w:val="20"/>
    </w:rPr>
  </w:style>
  <w:style w:type="paragraph" w:styleId="Style36" w:customStyle="1">
    <w:name w:val="Содержимое врезки"/>
    <w:basedOn w:val="Standard"/>
    <w:qFormat/>
    <w:rsid w:val="00f80f8e"/>
    <w:pPr/>
    <w:rPr/>
  </w:style>
  <w:style w:type="paragraph" w:styleId="Style37" w:customStyle="1">
    <w:name w:val="Содержимое таблицы"/>
    <w:basedOn w:val="Standard"/>
    <w:qFormat/>
    <w:rsid w:val="00f80f8e"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rsid w:val="00f80f8e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  <w:rsid w:val="00f80f8e"/>
  </w:style>
  <w:style w:type="numbering" w:styleId="211" w:customStyle="1">
    <w:name w:val="Стиль2"/>
    <w:qFormat/>
    <w:rsid w:val="00f80f8e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Application>AlterOffice/3.4.0.9$Linux_X86_64 LibreOffice_project/b8daf9e823b1a5463a2f48435ddc2e8696e7d4fc</Application>
  <AppVersion>15.0000</AppVersion>
  <Pages>20</Pages>
  <Words>3878</Words>
  <Characters>21974</Characters>
  <CharactersWithSpaces>25592</CharactersWithSpaces>
  <Paragraphs>396</Paragraphs>
  <Company>PAO Yakutskenergo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2026-07-09T08:04:00Z</dcterms:created>
  <dc:creator>Корякина Мария Васильевна</dc:creator>
  <dc:description/>
  <dc:language>ru-RU</dc:language>
  <cp:lastModifiedBy>levinvv</cp:lastModifiedBy>
  <cp:lastPrinted>2026-07-17T09:00:00Z</cp:lastPrinted>
  <dcterms:modified xsi:type="dcterms:W3CDTF">2026-09-07T16:55:16Z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