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left="567"/>
        <w:jc w:val="center"/>
        <w:rPr>
          <w:rFonts w:ascii="Times New Roman" w:hAnsi="Times New Roman"/>
        </w:rPr>
      </w:pPr>
      <w:r>
        <w:rPr>
          <w:rFonts w:eastAsia="Times New Roman" w:ascii="Times New Roman" w:hAnsi="Times New Roman"/>
          <w:b/>
          <w:bCs/>
          <w:sz w:val="24"/>
          <w:szCs w:val="24"/>
          <w:lang w:eastAsia="ru-RU"/>
        </w:rPr>
        <w:t xml:space="preserve">Сублицензионный договор № </w:t>
      </w:r>
      <w:bookmarkStart w:id="0" w:name="НомерДоговора"/>
      <w:bookmarkEnd w:id="0"/>
      <w:r>
        <w:rPr>
          <w:rFonts w:eastAsia="Times New Roman" w:ascii="Times New Roman" w:hAnsi="Times New Roman"/>
          <w:b/>
          <w:bCs/>
          <w:sz w:val="24"/>
          <w:szCs w:val="24"/>
          <w:lang w:eastAsia="ru-RU"/>
        </w:rPr>
        <w:t>_______________/</w:t>
      </w:r>
    </w:p>
    <w:p>
      <w:pPr>
        <w:pStyle w:val="Normal"/>
        <w:spacing w:lineRule="auto" w:line="240" w:before="0" w:after="0"/>
        <w:ind w:left="567"/>
        <w:jc w:val="both"/>
        <w:rPr>
          <w:rFonts w:ascii="Times New Roman" w:hAnsi="Times New Roman" w:eastAsia="Times New Roman"/>
          <w:b/>
          <w:bCs/>
          <w:sz w:val="24"/>
          <w:szCs w:val="24"/>
          <w:lang w:val="en-US" w:eastAsia="ru-RU"/>
        </w:rPr>
      </w:pPr>
      <w:r>
        <w:rPr>
          <w:rFonts w:eastAsia="Times New Roman" w:ascii="Times New Roman" w:hAnsi="Times New Roman"/>
          <w:b/>
          <w:bCs/>
          <w:sz w:val="24"/>
          <w:szCs w:val="24"/>
          <w:lang w:val="en-US" w:eastAsia="ru-RU"/>
        </w:rPr>
      </w:r>
    </w:p>
    <w:tbl>
      <w:tblPr>
        <w:tblW w:w="934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389"/>
        <w:gridCol w:w="3958"/>
      </w:tblGrid>
      <w:tr>
        <w:trPr>
          <w:trHeight w:val="399" w:hRule="atLeast"/>
        </w:trPr>
        <w:tc>
          <w:tcPr>
            <w:tcW w:w="5389" w:type="dxa"/>
            <w:tcBorders/>
          </w:tcPr>
          <w:p>
            <w:pPr>
              <w:pStyle w:val="Normal"/>
              <w:widowControl w:val="false"/>
              <w:spacing w:lineRule="auto" w:line="240" w:before="0" w:after="0"/>
              <w:ind w:left="-113"/>
              <w:rPr>
                <w:rFonts w:ascii="Times New Roman" w:hAnsi="Times New Roman"/>
              </w:rPr>
            </w:pPr>
            <w:r>
              <w:rPr>
                <w:rFonts w:eastAsia="Times New Roman" w:ascii="Times New Roman" w:hAnsi="Times New Roman"/>
                <w:sz w:val="24"/>
                <w:szCs w:val="24"/>
                <w:lang w:eastAsia="ru-RU"/>
              </w:rPr>
              <w:t xml:space="preserve">г. </w:t>
            </w:r>
            <w:bookmarkStart w:id="1" w:name="НаименованиеГорода"/>
            <w:bookmarkEnd w:id="1"/>
            <w:r>
              <w:rPr>
                <w:rFonts w:eastAsia="Times New Roman" w:ascii="Times New Roman" w:hAnsi="Times New Roman"/>
                <w:sz w:val="24"/>
                <w:szCs w:val="24"/>
                <w:lang w:eastAsia="ru-RU"/>
              </w:rPr>
              <w:t>Красноярск</w:t>
            </w:r>
          </w:p>
        </w:tc>
        <w:tc>
          <w:tcPr>
            <w:tcW w:w="3958" w:type="dxa"/>
            <w:tcBorders/>
          </w:tcPr>
          <w:p>
            <w:pPr>
              <w:pStyle w:val="Normal"/>
              <w:widowControl w:val="false"/>
              <w:spacing w:lineRule="auto" w:line="240" w:before="0" w:after="0"/>
              <w:ind w:left="-113"/>
              <w:jc w:val="right"/>
              <w:rPr>
                <w:rFonts w:ascii="Times New Roman" w:hAnsi="Times New Roman"/>
              </w:rPr>
            </w:pPr>
            <w:r>
              <w:rPr>
                <w:rFonts w:eastAsia="Times New Roman" w:ascii="Times New Roman" w:hAnsi="Times New Roman"/>
                <w:sz w:val="24"/>
                <w:szCs w:val="24"/>
                <w:lang w:eastAsia="ru-RU"/>
              </w:rPr>
              <w:t>«</w:t>
            </w:r>
            <w:r>
              <w:rPr>
                <w:rFonts w:eastAsia="Times New Roman" w:ascii="Times New Roman" w:hAnsi="Times New Roman"/>
                <w:sz w:val="24"/>
                <w:szCs w:val="24"/>
                <w:lang w:val="en-US" w:eastAsia="ru-RU"/>
              </w:rPr>
              <w:t>____</w:t>
            </w:r>
            <w:r>
              <w:rPr>
                <w:rFonts w:eastAsia="Times New Roman" w:ascii="Times New Roman" w:hAnsi="Times New Roman"/>
                <w:sz w:val="24"/>
                <w:szCs w:val="24"/>
                <w:lang w:eastAsia="ru-RU"/>
              </w:rPr>
              <w:t>»</w:t>
            </w:r>
            <w:r>
              <w:rPr>
                <w:rFonts w:eastAsia="Times New Roman" w:ascii="Times New Roman" w:hAnsi="Times New Roman"/>
                <w:sz w:val="24"/>
                <w:szCs w:val="24"/>
                <w:lang w:val="en-US" w:eastAsia="ru-RU"/>
              </w:rPr>
              <w:t xml:space="preserve"> </w:t>
            </w:r>
            <w:r>
              <w:rPr>
                <w:rFonts w:eastAsia="Times New Roman" w:ascii="Times New Roman" w:hAnsi="Times New Roman"/>
                <w:sz w:val="24"/>
                <w:szCs w:val="24"/>
                <w:lang w:eastAsia="ru-RU"/>
              </w:rPr>
              <w:t>___________</w:t>
            </w:r>
            <w:r>
              <w:rPr>
                <w:rFonts w:eastAsia="Times New Roman" w:ascii="Times New Roman" w:hAnsi="Times New Roman"/>
                <w:sz w:val="24"/>
                <w:szCs w:val="24"/>
                <w:lang w:val="en-US" w:eastAsia="ru-RU"/>
              </w:rPr>
              <w:t xml:space="preserve"> 202</w:t>
            </w:r>
            <w:r>
              <w:rPr>
                <w:rFonts w:eastAsia="Times New Roman" w:ascii="Times New Roman" w:hAnsi="Times New Roman"/>
                <w:sz w:val="24"/>
                <w:szCs w:val="24"/>
                <w:lang w:eastAsia="ru-RU"/>
              </w:rPr>
              <w:t>__</w:t>
            </w:r>
            <w:r>
              <w:rPr>
                <w:rFonts w:eastAsia="Times New Roman" w:ascii="Times New Roman" w:hAnsi="Times New Roman"/>
                <w:sz w:val="24"/>
                <w:szCs w:val="24"/>
                <w:lang w:val="en-US" w:eastAsia="ru-RU"/>
              </w:rPr>
              <w:t xml:space="preserve"> г.</w:t>
            </w:r>
          </w:p>
        </w:tc>
      </w:tr>
    </w:tbl>
    <w:p>
      <w:pPr>
        <w:pStyle w:val="Normal"/>
        <w:spacing w:lineRule="auto" w:line="240" w:before="0" w:after="0"/>
        <w:ind w:left="567"/>
        <w:jc w:val="both"/>
        <w:rPr>
          <w:rFonts w:ascii="Times New Roman" w:hAnsi="Times New Roman" w:eastAsia="Times New Roman"/>
          <w:b/>
          <w:bCs/>
          <w:sz w:val="24"/>
          <w:szCs w:val="24"/>
          <w:lang w:val="en-US" w:eastAsia="ru-RU"/>
        </w:rPr>
      </w:pPr>
      <w:r>
        <w:rPr>
          <w:rFonts w:eastAsia="Times New Roman" w:ascii="Times New Roman" w:hAnsi="Times New Roman"/>
          <w:b/>
          <w:bCs/>
          <w:sz w:val="24"/>
          <w:szCs w:val="24"/>
          <w:lang w:val="en-US" w:eastAsia="ru-RU"/>
        </w:rPr>
      </w:r>
    </w:p>
    <w:p>
      <w:pPr>
        <w:pStyle w:val="Normal"/>
        <w:spacing w:lineRule="auto" w:line="240" w:before="0" w:after="60"/>
        <w:ind w:firstLine="1020"/>
        <w:jc w:val="both"/>
        <w:rPr>
          <w:rFonts w:ascii="Times New Roman" w:hAnsi="Times New Roman"/>
        </w:rPr>
      </w:pPr>
      <w:r>
        <w:rPr>
          <w:rFonts w:eastAsia="Times New Roman" w:ascii="Times New Roman" w:hAnsi="Times New Roman"/>
          <w:sz w:val="24"/>
          <w:szCs w:val="24"/>
          <w:lang w:eastAsia="ru-RU"/>
        </w:rPr>
        <w:t xml:space="preserve">, именуемое в дальнейшем «Лицензиат», в лице </w:t>
      </w:r>
      <w:bookmarkStart w:id="2" w:name="ФИОРуководителяОрганизацииРП"/>
      <w:bookmarkEnd w:id="2"/>
      <w:r>
        <w:rPr>
          <w:rFonts w:eastAsia="Times New Roman" w:ascii="Times New Roman" w:hAnsi="Times New Roman"/>
          <w:sz w:val="24"/>
          <w:szCs w:val="24"/>
          <w:lang w:eastAsia="ru-RU"/>
        </w:rPr>
        <w:t xml:space="preserve">Д, действующего на основании Устава, с одной стороны, и </w:t>
      </w:r>
    </w:p>
    <w:p>
      <w:pPr>
        <w:pStyle w:val="Normal"/>
        <w:spacing w:lineRule="auto" w:line="240" w:before="0" w:after="60"/>
        <w:ind w:firstLine="1020"/>
        <w:jc w:val="both"/>
        <w:rPr>
          <w:rFonts w:ascii="Times New Roman" w:hAnsi="Times New Roman"/>
        </w:rPr>
      </w:pPr>
      <w:r>
        <w:rPr>
          <w:rFonts w:eastAsia="Times New Roman" w:ascii="Times New Roman" w:hAnsi="Times New Roman"/>
          <w:b/>
          <w:sz w:val="24"/>
          <w:szCs w:val="24"/>
          <w:lang w:eastAsia="ru-RU"/>
        </w:rPr>
        <w:t>Публичное акционерное общество «Федеральная гидрогенерирующая компания – РусГидро» (ПАО «РусГидро»)</w:t>
      </w:r>
      <w:r>
        <w:rPr>
          <w:rFonts w:eastAsia="Times New Roman" w:ascii="Times New Roman" w:hAnsi="Times New Roman"/>
          <w:sz w:val="24"/>
          <w:szCs w:val="24"/>
          <w:lang w:eastAsia="ru-RU"/>
        </w:rPr>
        <w:t xml:space="preserve">, именуемое в дальнейшем «Сублицензиат» (далее по договору «Пользователь»), </w:t>
      </w:r>
      <w:bookmarkStart w:id="3" w:name="ФИОРуководителяЮрЛицо"/>
      <w:r>
        <w:rPr>
          <w:rFonts w:eastAsia="Times New Roman" w:ascii="Times New Roman" w:hAnsi="Times New Roman"/>
          <w:sz w:val="24"/>
          <w:szCs w:val="24"/>
          <w:lang w:eastAsia="ru-RU"/>
        </w:rPr>
        <w:t xml:space="preserve">в лице директора Департамента информационных технологий и цифрового развития Хомякова Сергея Владимировича, действующего на основании машиночитаемой доверенности от 02.08.2024 № b0e47415-951b-43db-b9f0-166ddd3eb9d2, </w:t>
      </w:r>
      <w:bookmarkEnd w:id="3"/>
      <w:r>
        <w:rPr>
          <w:rFonts w:eastAsia="Times New Roman" w:ascii="Times New Roman" w:hAnsi="Times New Roman"/>
          <w:sz w:val="24"/>
          <w:szCs w:val="24"/>
          <w:lang w:eastAsia="ru-RU"/>
        </w:rPr>
        <w:t xml:space="preserve">с другой стороны, </w:t>
      </w:r>
    </w:p>
    <w:p>
      <w:pPr>
        <w:pStyle w:val="Normal"/>
        <w:spacing w:lineRule="auto" w:line="240" w:before="0" w:after="60"/>
        <w:ind w:firstLine="1020"/>
        <w:jc w:val="both"/>
        <w:rPr>
          <w:rFonts w:ascii="Times New Roman" w:hAnsi="Times New Roman"/>
        </w:rPr>
      </w:pPr>
      <w:r>
        <w:rPr>
          <w:rFonts w:eastAsia="Times New Roman" w:ascii="Times New Roman" w:hAnsi="Times New Roman"/>
          <w:sz w:val="24"/>
          <w:szCs w:val="24"/>
          <w:lang w:eastAsia="ru-RU"/>
        </w:rPr>
        <w:t xml:space="preserve">именуемые каждый в отдельности - «Сторона», а совместно именуемые «Стороны», </w:t>
      </w:r>
    </w:p>
    <w:p>
      <w:pPr>
        <w:pStyle w:val="Normal"/>
        <w:spacing w:lineRule="auto" w:line="240" w:before="0" w:after="60"/>
        <w:ind w:firstLine="1020"/>
        <w:jc w:val="both"/>
        <w:rPr>
          <w:rFonts w:ascii="Times New Roman" w:hAnsi="Times New Roman"/>
        </w:rPr>
      </w:pPr>
      <w:r>
        <w:rPr>
          <w:rFonts w:eastAsia="Times New Roman" w:ascii="Times New Roman" w:hAnsi="Times New Roman"/>
          <w:sz w:val="24"/>
          <w:szCs w:val="24"/>
          <w:lang w:eastAsia="ru-RU"/>
        </w:rPr>
        <w:t>заключили настоящий сублицензионный договор (далее - Договор) о нижеследующем:</w:t>
      </w:r>
    </w:p>
    <w:p>
      <w:pPr>
        <w:pStyle w:val="Normal"/>
        <w:keepNext w:val="true"/>
        <w:numPr>
          <w:ilvl w:val="0"/>
          <w:numId w:val="1"/>
        </w:numPr>
        <w:spacing w:lineRule="auto" w:line="240" w:before="0" w:after="60"/>
        <w:ind w:hanging="357" w:left="567"/>
        <w:jc w:val="center"/>
        <w:rPr>
          <w:rFonts w:ascii="Times New Roman" w:hAnsi="Times New Roman"/>
        </w:rPr>
      </w:pPr>
      <w:r>
        <w:rPr>
          <w:rFonts w:eastAsia="Times New Roman" w:ascii="Times New Roman" w:hAnsi="Times New Roman"/>
          <w:b/>
          <w:bCs/>
          <w:sz w:val="24"/>
          <w:szCs w:val="24"/>
          <w:lang w:eastAsia="ru-RU"/>
        </w:rPr>
        <w:t>Предмет Договора</w:t>
      </w:r>
    </w:p>
    <w:p>
      <w:pPr>
        <w:pStyle w:val="Normal"/>
        <w:numPr>
          <w:ilvl w:val="1"/>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По настоящему Договору Лицензиат обязуется предоставить Пользователю на условиях простой (неисключительной) лицензии права на использование программ для электронно-вычислительных машин (ЭВМ) и Баз данных в пределах и способами, указанными в пункте 1.2 настоящего Договора. Наименование и количество программ для ЭВМ и Баз данных, права на использование которых предоставляются Лицензиатом Пользователю, указываются в Приложении №1 к настоящему Договору, а также в Универсальном передаточном документе, составленном по форме, рекомендованной письмом ФНС России от 21.10.2013 № ММВ-20-3/96@, в актуальной редакции, подписываемом Сторонами в установленном настоящим Договором порядке (далее – УПД).</w:t>
      </w:r>
    </w:p>
    <w:p>
      <w:pPr>
        <w:pStyle w:val="Normal"/>
        <w:numPr>
          <w:ilvl w:val="1"/>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Право на использование программы для ЭВМ и Баз данных, предоставляемое Пользователю в соответствии с настоящим Договором, включает в себя право на воспроизведение и использование программы для ЭВМ и Баз данных в соответствии с их функциональным назначением, ограниченное правом инсталляции, копирования и запуска программы для ЭВМ и Баз данных.</w:t>
      </w:r>
    </w:p>
    <w:p>
      <w:pPr>
        <w:pStyle w:val="Normal"/>
        <w:numPr>
          <w:ilvl w:val="1"/>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Предоставляемые права не состоят в получении возможности распространять рекламную информацию в информационно-телекоммуникационной сети Интернет и (или) получать доступ к такой информации, размещать предложения о приобретении (реализации) товаров (работ, услуг), имущественных прав в информационно-телекоммуникационной сети Интернет, осуществлять поиск информации о потенциальных покупателях (продавцах) и (или) заключать сделки.</w:t>
      </w:r>
    </w:p>
    <w:p>
      <w:pPr>
        <w:pStyle w:val="Normal"/>
        <w:numPr>
          <w:ilvl w:val="1"/>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Пользователь не в праве передавать права на использование программ для ЭВМ и Баз данных, предоставляемые по настоящему Договору, третьим лицам, в том числе, в прокат, аренду, временное пользование.</w:t>
      </w:r>
    </w:p>
    <w:p>
      <w:pPr>
        <w:pStyle w:val="Normal"/>
        <w:numPr>
          <w:ilvl w:val="1"/>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Настоящим Лицензиат подтверждает, что он действует в пределах прав и полномочий, предоставленных ему правообладателем программ для ЭВМ и Баз данных, и на момент предоставления (передачи) Пользователю прав на использование программ для ЭВМ и Баз данных обладает ими в необходимом объеме.</w:t>
      </w:r>
    </w:p>
    <w:p>
      <w:pPr>
        <w:pStyle w:val="Normal"/>
        <w:keepNext w:val="true"/>
        <w:numPr>
          <w:ilvl w:val="0"/>
          <w:numId w:val="1"/>
        </w:numPr>
        <w:spacing w:lineRule="auto" w:line="240" w:before="0" w:after="60"/>
        <w:ind w:hanging="357" w:left="567"/>
        <w:jc w:val="center"/>
        <w:rPr>
          <w:rFonts w:ascii="Times New Roman" w:hAnsi="Times New Roman"/>
        </w:rPr>
      </w:pPr>
      <w:r>
        <w:rPr>
          <w:rFonts w:eastAsia="Times New Roman" w:ascii="Times New Roman" w:hAnsi="Times New Roman"/>
          <w:b/>
          <w:bCs/>
          <w:sz w:val="24"/>
          <w:szCs w:val="24"/>
          <w:lang w:eastAsia="ru-RU"/>
        </w:rPr>
        <w:t>Условия оплаты</w:t>
      </w:r>
    </w:p>
    <w:p>
      <w:pPr>
        <w:pStyle w:val="Normal"/>
        <w:numPr>
          <w:ilvl w:val="1"/>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За предоставляемые по настоящему Договору права Пользователь обязуется уплатить Лицензиату вознаграждение, размер которого определяется Лицензиатом и указывается в Приложении №1 к настоящему Договору.</w:t>
      </w:r>
    </w:p>
    <w:p>
      <w:pPr>
        <w:pStyle w:val="Normal"/>
        <w:numPr>
          <w:ilvl w:val="1"/>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 xml:space="preserve">Уплата вознаграждения по настоящему Договору осуществляется Пользователем в течение 10 (десяти) рабочих дней с момента получения счета на оплату от Лицензиата. </w:t>
      </w:r>
    </w:p>
    <w:p>
      <w:pPr>
        <w:pStyle w:val="Normal"/>
        <w:numPr>
          <w:ilvl w:val="1"/>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 xml:space="preserve">Если на момент передачи прав на использование  программ для ЭВМ и Баз данных Пользователю передача прав на программы для ЭВМ и Базы данных будет облагаться НДС, Лицензиат  имеет право в одностороннем порядке увеличить стоимость программ для ЭВМ и Баз данных на соответствующую сумму НДС сверх установленной Договором стоимости, уведомив Пользователя о повышении стоимости в порядке, установленном в разделе 11 настоящего Договора,  и направив счет на оплату. </w:t>
      </w:r>
    </w:p>
    <w:p>
      <w:pPr>
        <w:pStyle w:val="Normal"/>
        <w:numPr>
          <w:ilvl w:val="1"/>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 xml:space="preserve">Все платежи осуществляются в рублях Российской Федерации путем перечисления денежных средств на расчетный счет Лицензиата. Днем исполнения платежа считается день зачисления денежных средств на расчетный счет Лицензиата. </w:t>
      </w:r>
    </w:p>
    <w:p>
      <w:pPr>
        <w:pStyle w:val="Normal"/>
        <w:numPr>
          <w:ilvl w:val="1"/>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Стороны пришли к соглашению о том, что положения статьи 317.1. Гражданского кодекса Российской Федерации (ГК РФ) к правоотношениям Сторон по настоящему Договору не применяются.</w:t>
      </w:r>
    </w:p>
    <w:p>
      <w:pPr>
        <w:pStyle w:val="Normal"/>
        <w:keepNext w:val="true"/>
        <w:numPr>
          <w:ilvl w:val="0"/>
          <w:numId w:val="1"/>
        </w:numPr>
        <w:spacing w:lineRule="auto" w:line="240" w:before="0" w:after="60"/>
        <w:ind w:hanging="357" w:left="567"/>
        <w:jc w:val="center"/>
        <w:rPr>
          <w:rFonts w:ascii="Times New Roman" w:hAnsi="Times New Roman"/>
        </w:rPr>
      </w:pPr>
      <w:r>
        <w:rPr>
          <w:rFonts w:eastAsia="Times New Roman" w:ascii="Times New Roman" w:hAnsi="Times New Roman"/>
          <w:b/>
          <w:bCs/>
          <w:sz w:val="24"/>
          <w:szCs w:val="24"/>
          <w:lang w:eastAsia="ru-RU"/>
        </w:rPr>
        <w:t>Условия предоставления прав</w:t>
      </w:r>
    </w:p>
    <w:p>
      <w:pPr>
        <w:pStyle w:val="Normal"/>
        <w:numPr>
          <w:ilvl w:val="1"/>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Лицензиат обязан предоставить Пользователю право на использование программы для ЭВМ и Баз данных в течение 10 (десяти) рабочих дней с момента оплаты Пользователем 100% вознаграждения.</w:t>
      </w:r>
    </w:p>
    <w:p>
      <w:pPr>
        <w:pStyle w:val="Normal"/>
        <w:numPr>
          <w:ilvl w:val="1"/>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Порядок и место передачи прав на использование программы для ЭВМ и Баз данных устанавливаются Сторонами в Спецификации (Приложение № 1 к Договору).</w:t>
      </w:r>
    </w:p>
    <w:p>
      <w:pPr>
        <w:pStyle w:val="Normal"/>
        <w:numPr>
          <w:ilvl w:val="1"/>
          <w:numId w:val="1"/>
        </w:numPr>
        <w:spacing w:lineRule="auto" w:line="240" w:before="0" w:after="60"/>
        <w:ind w:hanging="0" w:left="0"/>
        <w:jc w:val="both"/>
        <w:rPr>
          <w:rFonts w:ascii="Times New Roman" w:hAnsi="Times New Roman"/>
        </w:rPr>
      </w:pPr>
      <w:r>
        <w:rPr>
          <w:rFonts w:ascii="Times New Roman" w:hAnsi="Times New Roman"/>
          <w:sz w:val="24"/>
          <w:szCs w:val="24"/>
        </w:rPr>
        <w:t>Факт предоставления Пользователю права на использование программы для ЭВМ и Баз данных подтверждается УПД.  УПД оформляется одним из трех способов:</w:t>
      </w:r>
    </w:p>
    <w:p>
      <w:pPr>
        <w:pStyle w:val="Normal"/>
        <w:numPr>
          <w:ilvl w:val="2"/>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Если Стороны используют электронный документооборот (ЭДО), Лицензиат формирует, подписывает и направляет УПД Пользователю через систему ЭДО (Контур.Диадок, СБИС). Пользователь подписывает УПД в системе ЭДО;</w:t>
      </w:r>
    </w:p>
    <w:p>
      <w:pPr>
        <w:pStyle w:val="Normal"/>
        <w:numPr>
          <w:ilvl w:val="2"/>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Лицензиат формирует и направляет УПД Пользователю в электронном виде на электронную почту Пользователя: MarusenkoKS@rushydro.ru</w:t>
      </w:r>
      <w:bookmarkStart w:id="4" w:name="ПочтаНаОтгрузку"/>
      <w:bookmarkEnd w:id="4"/>
      <w:r>
        <w:rPr>
          <w:rFonts w:eastAsia="Times New Roman" w:ascii="Times New Roman" w:hAnsi="Times New Roman"/>
          <w:sz w:val="24"/>
          <w:szCs w:val="24"/>
          <w:lang w:eastAsia="ru-RU"/>
        </w:rPr>
        <w:t xml:space="preserve">. Пользователь подписывает УПД усиленной квалифицированной электронной подписью (далее - Квалифицированная Электронная Подпись, КЭП) уполномоченного лица и направляет подписанный УПД на электронную почту Лицензиата: </w:t>
      </w:r>
      <w:bookmarkStart w:id="5" w:name="ПочтаОрганизации"/>
      <w:bookmarkEnd w:id="5"/>
      <w:r>
        <w:rPr>
          <w:rFonts w:eastAsia="Times New Roman" w:ascii="Times New Roman" w:hAnsi="Times New Roman"/>
          <w:sz w:val="24"/>
          <w:szCs w:val="24"/>
          <w:lang w:eastAsia="ru-RU"/>
        </w:rPr>
        <w:t>r24@grandsmeta.ru;</w:t>
      </w:r>
    </w:p>
    <w:p>
      <w:pPr>
        <w:pStyle w:val="Normal"/>
        <w:numPr>
          <w:ilvl w:val="2"/>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 xml:space="preserve">Лицензиат формирует и направляет УПД Пользователю в электронном виде на электронную почту Пользователя: MarusenkoKS@rushydro.ru </w:t>
      </w:r>
      <w:bookmarkStart w:id="6" w:name="ПочтаНаОтгрузку1"/>
      <w:bookmarkEnd w:id="6"/>
      <w:r>
        <w:rPr>
          <w:rFonts w:eastAsia="Times New Roman" w:ascii="Times New Roman" w:hAnsi="Times New Roman"/>
          <w:sz w:val="24"/>
          <w:szCs w:val="24"/>
          <w:lang w:eastAsia="ru-RU"/>
        </w:rPr>
        <w:t xml:space="preserve">. Пользователь распечатывает УПД в двух экземплярах, подписывает, направляет скан-копию подписанного со своей стороны УПД на электронную почту Лицензиата: </w:t>
      </w:r>
      <w:bookmarkStart w:id="7" w:name="ПочтаОрганизации1"/>
      <w:bookmarkEnd w:id="7"/>
      <w:r>
        <w:rPr>
          <w:rFonts w:eastAsia="Times New Roman" w:ascii="Times New Roman" w:hAnsi="Times New Roman"/>
          <w:sz w:val="24"/>
          <w:szCs w:val="24"/>
          <w:lang w:eastAsia="ru-RU"/>
        </w:rPr>
        <w:t xml:space="preserve">r24@grandsmeta.ru; Оригинал УПД в двух экземплярах Пользователь направляет Лицензиату «Почтой России» или иной службой доставки по адресу: </w:t>
      </w:r>
      <w:bookmarkStart w:id="8" w:name="ЮрАдрес"/>
      <w:bookmarkEnd w:id="8"/>
      <w:r>
        <w:rPr>
          <w:rFonts w:eastAsia="Times New Roman" w:ascii="Times New Roman" w:hAnsi="Times New Roman"/>
          <w:sz w:val="24"/>
          <w:szCs w:val="24"/>
          <w:lang w:eastAsia="ru-RU"/>
        </w:rPr>
        <w:t xml:space="preserve">660022, Красноярский край, г.о. город Красноярск, г. Красноярск, ул. Партизана Железняка, зд. 26Б, оф.4-01. </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После получения Лицензиатом подписанного Пользователем УПД Лицензиат подписывает УПД со своей стороны и направляет УПД Пользователю.</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В случае неподписания Пользователем УПД в течение 5 (пяти) рабочих дней, права пользования считаются предоставленными Пользователю в день направления УПД Лицензиатом.</w:t>
      </w:r>
    </w:p>
    <w:p>
      <w:pPr>
        <w:pStyle w:val="Normal"/>
        <w:numPr>
          <w:ilvl w:val="1"/>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Проверка наименования и иных данных, касающихся предоставляемых прав на использование программ для ЭВМ и Баз данных, осуществляется Пользователем в момент предоставления указанных прав. В случае выявления каких-либо несоответствий Стороны составляют соответствующий акт.</w:t>
      </w:r>
    </w:p>
    <w:p>
      <w:pPr>
        <w:pStyle w:val="Normal"/>
        <w:numPr>
          <w:ilvl w:val="1"/>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Предоставление прав по настоящему Договору на конкретные программы для ЭВМ и Базы данных может сопровождаться передачей Лицензиатом правомерно изготовленных и введенных в гражданский оборот сопроводительных материалов, носителей, документации и иных принадлежностей, необходимых для эффективного использования прав Пользователем.</w:t>
      </w:r>
    </w:p>
    <w:p>
      <w:pPr>
        <w:pStyle w:val="Normal"/>
        <w:numPr>
          <w:ilvl w:val="1"/>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 xml:space="preserve">Использование Баз данных и (или) их обновлений, права на которые передаются по настоящему Договору, невозможно без программы для ЭВМ «ГРАНД-Смета» (включая ее модификации) </w:t>
      </w:r>
      <w:r>
        <w:rPr>
          <w:rFonts w:ascii="Times New Roman" w:hAnsi="Times New Roman"/>
          <w:sz w:val="24"/>
          <w:szCs w:val="24"/>
        </w:rPr>
        <w:t>с электронными ключами защиты, номера которых указаны в Спецификации (Приложение № 1 к Договору)</w:t>
      </w:r>
      <w:r>
        <w:rPr>
          <w:rFonts w:eastAsia="Times New Roman" w:ascii="Times New Roman" w:hAnsi="Times New Roman"/>
          <w:sz w:val="24"/>
          <w:szCs w:val="24"/>
          <w:lang w:eastAsia="ru-RU"/>
        </w:rPr>
        <w:t>.</w:t>
      </w:r>
    </w:p>
    <w:p>
      <w:pPr>
        <w:pStyle w:val="Normal"/>
        <w:numPr>
          <w:ilvl w:val="1"/>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 xml:space="preserve">Использование дополнительных функциональных возможностей  и (или) обновлений программы для ЭВМ «ГРАНД-Смета» (включая ее модификации), Баз данных и (или) их обновлений не допускается при отсутствии у Пользователя законных оснований на использование программы для ЭВМ «ГРАНД-Смета» (включая ее модификации) </w:t>
      </w:r>
      <w:r>
        <w:rPr>
          <w:rFonts w:ascii="Times New Roman" w:hAnsi="Times New Roman"/>
          <w:sz w:val="24"/>
          <w:szCs w:val="24"/>
        </w:rPr>
        <w:t>с электронными ключами защиты, номера которых указаны в Приложении № 1 к настоящему  Договору</w:t>
      </w:r>
      <w:r>
        <w:rPr>
          <w:rFonts w:eastAsia="Times New Roman" w:ascii="Times New Roman" w:hAnsi="Times New Roman"/>
          <w:sz w:val="24"/>
          <w:szCs w:val="24"/>
          <w:lang w:eastAsia="ru-RU"/>
        </w:rPr>
        <w:t>.</w:t>
      </w:r>
    </w:p>
    <w:p>
      <w:pPr>
        <w:pStyle w:val="Normal"/>
        <w:keepNext w:val="true"/>
        <w:numPr>
          <w:ilvl w:val="0"/>
          <w:numId w:val="1"/>
        </w:numPr>
        <w:spacing w:lineRule="auto" w:line="240" w:before="0" w:after="60"/>
        <w:ind w:hanging="357" w:left="567"/>
        <w:jc w:val="center"/>
        <w:rPr>
          <w:rFonts w:ascii="Times New Roman" w:hAnsi="Times New Roman"/>
        </w:rPr>
      </w:pPr>
      <w:r>
        <w:rPr>
          <w:rFonts w:eastAsia="Times New Roman" w:ascii="Times New Roman" w:hAnsi="Times New Roman"/>
          <w:b/>
          <w:bCs/>
          <w:sz w:val="24"/>
          <w:szCs w:val="24"/>
          <w:lang w:eastAsia="ru-RU"/>
        </w:rPr>
        <w:t>Ответственность Сторон</w:t>
      </w:r>
    </w:p>
    <w:p>
      <w:pPr>
        <w:pStyle w:val="Normal"/>
        <w:numPr>
          <w:ilvl w:val="1"/>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w:t>
      </w:r>
    </w:p>
    <w:p>
      <w:pPr>
        <w:pStyle w:val="Normal"/>
        <w:numPr>
          <w:ilvl w:val="1"/>
          <w:numId w:val="1"/>
        </w:numPr>
        <w:spacing w:lineRule="auto" w:line="240" w:before="0" w:after="60"/>
        <w:ind w:hanging="0" w:left="0"/>
        <w:jc w:val="both"/>
        <w:rPr/>
      </w:pPr>
      <w:r>
        <w:rPr>
          <w:rFonts w:eastAsia="Times New Roman" w:ascii="Times New Roman" w:hAnsi="Times New Roman"/>
          <w:sz w:val="24"/>
          <w:szCs w:val="24"/>
          <w:lang w:eastAsia="ru-RU"/>
        </w:rPr>
        <w:t xml:space="preserve">Пользователь подтверждает, что ему известны важнейшие функциональные свойства и системные требования программ для ЭВМ и Баз данных, предусмотренных настоящим Договором, описание которых размещено на сайте https://www.grandsmeta.ru/. </w:t>
      </w:r>
      <w:r>
        <w:rPr>
          <w:rFonts w:ascii="Times New Roman" w:hAnsi="Times New Roman"/>
          <w:sz w:val="24"/>
          <w:szCs w:val="24"/>
        </w:rPr>
        <w:t xml:space="preserve">Использование программ для ЭВМ и Баз данных возможно только при соблюдении системных требований, описание которых размещено на сайте </w:t>
      </w:r>
      <w:hyperlink r:id="rId2" w:tgtFrame="https://mail.yandex.ru/re.jsx?h=a,nfa2eJL-XtjUlk-3nZvAHg&amp;l=aHR0cHM6Ly93d3cuZ3JhbmRzbWV0YS5ydS8">
        <w:r>
          <w:rPr>
            <w:rFonts w:ascii="Times New Roman" w:hAnsi="Times New Roman"/>
            <w:color w:val="0000FF"/>
            <w:sz w:val="24"/>
            <w:szCs w:val="24"/>
            <w:u w:val="single"/>
          </w:rPr>
          <w:t>https://www.grandsmeta.ru/</w:t>
        </w:r>
      </w:hyperlink>
      <w:r>
        <w:rPr>
          <w:rFonts w:eastAsia="Times New Roman" w:ascii="Times New Roman" w:hAnsi="Times New Roman"/>
          <w:sz w:val="24"/>
          <w:szCs w:val="24"/>
          <w:lang w:eastAsia="ru-RU"/>
        </w:rPr>
        <w:t>. Пользователь несет риск соответствия указанных программ для ЭВМ и Баз данных своим пожеланиям и потребностям. Лицензиат не несет ответственности за какие-либо убытки, возникшие вследствие ненадлежащего использования или невозможности использования программы для ЭВМ или Базы данных по вине Пользователя.</w:t>
      </w:r>
    </w:p>
    <w:p>
      <w:pPr>
        <w:pStyle w:val="Normal"/>
        <w:numPr>
          <w:ilvl w:val="1"/>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В случае нарушения Пользователем пунктов 1.2, 1.4 и 3.7 настоящего Договора Лицензиат не несет ответственности за возможные негативные последствия, которые могут возникнуть у Пользователя и/или третьих лиц в результате такого нарушения.</w:t>
      </w:r>
    </w:p>
    <w:p>
      <w:pPr>
        <w:pStyle w:val="Normal"/>
        <w:keepNext w:val="true"/>
        <w:numPr>
          <w:ilvl w:val="0"/>
          <w:numId w:val="1"/>
        </w:numPr>
        <w:spacing w:lineRule="auto" w:line="240" w:before="0" w:after="60"/>
        <w:ind w:hanging="357" w:left="567"/>
        <w:jc w:val="center"/>
        <w:rPr>
          <w:rFonts w:ascii="Times New Roman" w:hAnsi="Times New Roman"/>
        </w:rPr>
      </w:pPr>
      <w:r>
        <w:rPr>
          <w:rFonts w:eastAsia="Times New Roman" w:ascii="Times New Roman" w:hAnsi="Times New Roman"/>
          <w:b/>
          <w:bCs/>
          <w:sz w:val="24"/>
          <w:szCs w:val="24"/>
          <w:lang w:eastAsia="ru-RU"/>
        </w:rPr>
        <w:t>Обстоятельства непреодолимой силы</w:t>
      </w:r>
    </w:p>
    <w:p>
      <w:pPr>
        <w:pStyle w:val="Normal"/>
        <w:numPr>
          <w:ilvl w:val="1"/>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Стороны освобождаются от ответственности за частичное или полное неисполнение обязательств по настоящему Договору, если ненадлежащее исполнение Сторонами обязательств явилось следствием обстоятельств непреодолимой силы, а именно: пожар, наводнение, землетрясение, военные действия, изменения в законодательстве при условии, что данные обстоятельства непосредственно повлияли на выполнение условий по настоящему Договору, подтвержденных документами компетентных государственных органов. В этом случае срок выполнения договорных обязательств будет продлен на время действия указанных обстоятельств.</w:t>
      </w:r>
    </w:p>
    <w:p>
      <w:pPr>
        <w:pStyle w:val="Normal"/>
        <w:numPr>
          <w:ilvl w:val="1"/>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 xml:space="preserve">При наступлении и прекращении обстоятельств непреодолимой силы Сторона настоящего Договора, для которой создалась невозможность исполнения своих обязательств, должна немедленно письменно известить об этом другую Сторону, но в любом случае не позднее 5 (пяти) рабочих дней с даты начала и прекращения их действия. </w:t>
      </w:r>
    </w:p>
    <w:p>
      <w:pPr>
        <w:pStyle w:val="Normal"/>
        <w:numPr>
          <w:ilvl w:val="1"/>
          <w:numId w:val="1"/>
        </w:numPr>
        <w:spacing w:lineRule="auto" w:line="240" w:before="0" w:after="60"/>
        <w:ind w:hanging="0" w:left="0"/>
        <w:jc w:val="both"/>
        <w:rPr>
          <w:rFonts w:ascii="Times New Roman" w:hAnsi="Times New Roman"/>
        </w:rPr>
      </w:pPr>
      <w:r>
        <w:rPr>
          <w:rFonts w:eastAsia="Times New Roman" w:ascii="Times New Roman" w:hAnsi="Times New Roman"/>
          <w:sz w:val="24"/>
          <w:szCs w:val="24"/>
          <w:lang w:eastAsia="ru-RU"/>
        </w:rPr>
        <w:t>Если обстоятельства непреодолимой силы будут продолжаться свыше трех месяцев, Стороны имеют право по взаимному согласию расторгнуть настоящий Договор без каких-либо дальнейших обязательств по отношению друг к другу относительно Договора, кроме обязательств возвратить предоставленные права и/или уплаченные денежные средства, при условии предоставления заверенных полномочными государственными органами документов, подтверждающих вышеуказанные обстоятельства.</w:t>
      </w:r>
    </w:p>
    <w:p>
      <w:pPr>
        <w:pStyle w:val="Normal"/>
        <w:keepNext w:val="true"/>
        <w:numPr>
          <w:ilvl w:val="0"/>
          <w:numId w:val="1"/>
        </w:numPr>
        <w:spacing w:lineRule="auto" w:line="240" w:before="0" w:after="60"/>
        <w:ind w:hanging="357" w:left="567"/>
        <w:jc w:val="center"/>
        <w:rPr>
          <w:rFonts w:ascii="Times New Roman" w:hAnsi="Times New Roman"/>
        </w:rPr>
      </w:pPr>
      <w:r>
        <w:rPr>
          <w:rFonts w:eastAsia="Times New Roman" w:ascii="Times New Roman" w:hAnsi="Times New Roman"/>
          <w:b/>
          <w:bCs/>
          <w:sz w:val="24"/>
          <w:szCs w:val="24"/>
          <w:lang w:eastAsia="ru-RU"/>
        </w:rPr>
        <w:t>Порядок расторжения Договора</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6.1. Расторжение настоящего Договора по инициативе одной из Сторон допускается в случаях, предусмотренных настоящим Договором.</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6.2. В случае существенного нарушения Договора Лицензиатом Пользователь вправе в одностороннем внесудебном порядке отказаться от Договора и потребовать полного возмещения Лицензиатом фактически понесенных и документально подтвержденных убытков, причиненных отказом от Договора (исполнения Договора), и подтвержденных вступившим в законную силу решением суда.</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Пользователь одновременно с уведомлением об отказе от Договора (исполнения Договора) направляет Лицензиату письменное требование о возмещении фактически понесенных и документально подтвержденных убытков с приложением вступившего в законную силу решения суда. Лицензиат обязан оплатить Пользователю фактически понесенные и документально подтвержденные убытки не позднее 15 (пятнадцати) календарных дней с момента получения письменного требования и копии вступившего в законную силу решения суда.</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6.3. Стороны установили, что существенным нарушением Договора является:</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6.3.1. Установление Лицензиатом факта нарушения Пользователем пределов (объема) и способов использования программ для ЭВМ и баз данных, право использования которых передано по Договору;</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6.3.2. Неисполнение Пользователем обязательств по выплате Лицензиату вознаграждения за предоставленное право использования программ для ЭВМ и баз данных в срок, установленный пунктом 2.2 Договора.</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6.4.  Пользователь вправе в одностороннем внесудебном порядке отказаться от настоящего Договора (статья 450.1 Гражданского кодекса Российской Федерации) путем направления Уведомления об отказе от Договора (далее – Уведомление) Лицензиату, если Лицензиат в течение 30 (тридцати) календарных дней по своей вине не выполнил обязательства, предусмотренные пунктом 3.1. настоящего Договора.</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6.5.  Лицензиат вправе в одностороннем внесудебном порядке отказаться от настоящего Договора (статья 450.1 Гражданского кодекса Российской Федерации) путем направления Уведомления Пользователю, если Пользователь в течение 30 (тридцати) рабочих дней не выполнил обязательства, предусмотренные пунктами 2.2 и 2.3 настоящего Договора.</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6.6. Уведомление направляется заинтересованной Стороной в порядке, предусмотренном разделом 11 настоящего Договора.</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xml:space="preserve">6.7. Настоящий Договор считается расторгнутым с даты получения Стороной Уведомления. </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xml:space="preserve">6.8. В случаях, не предусмотренных настоящим Договором, он может быть расторгнут только по соглашению Сторон или в судебном порядке. </w:t>
      </w:r>
    </w:p>
    <w:p>
      <w:pPr>
        <w:pStyle w:val="Normal"/>
        <w:spacing w:lineRule="auto" w:line="240" w:before="0" w:after="6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60"/>
        <w:jc w:val="center"/>
        <w:rPr>
          <w:rFonts w:ascii="Times New Roman" w:hAnsi="Times New Roman"/>
        </w:rPr>
      </w:pPr>
      <w:r>
        <w:rPr>
          <w:rFonts w:eastAsia="Times New Roman" w:ascii="Times New Roman" w:hAnsi="Times New Roman"/>
          <w:sz w:val="24"/>
          <w:szCs w:val="24"/>
          <w:lang w:eastAsia="ru-RU"/>
        </w:rPr>
        <w:t>7.</w:t>
        <w:tab/>
      </w:r>
      <w:r>
        <w:rPr>
          <w:rFonts w:eastAsia="Times New Roman" w:ascii="Times New Roman" w:hAnsi="Times New Roman"/>
          <w:b/>
          <w:bCs/>
          <w:sz w:val="24"/>
          <w:szCs w:val="24"/>
          <w:lang w:eastAsia="ru-RU"/>
        </w:rPr>
        <w:t>Антикоррупционная оговорка</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7.1.</w:t>
        <w:tab/>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7.2.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7.3.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7.4.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xml:space="preserve">7.5.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xml:space="preserve">7.6.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xml:space="preserve">7.7.  Каналы связи Линия доверия Группы РусГидро: </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7.7.1. Электронная почта: ld@rushydro.ru.</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7.7.2.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7.7.3.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keepNext w:val="true"/>
        <w:spacing w:lineRule="auto" w:line="240" w:before="0" w:after="60"/>
        <w:ind w:left="-57"/>
        <w:jc w:val="center"/>
        <w:rPr>
          <w:rFonts w:ascii="Times New Roman" w:hAnsi="Times New Roman"/>
        </w:rPr>
      </w:pPr>
      <w:r>
        <w:rPr>
          <w:rFonts w:eastAsia="Times New Roman" w:ascii="Times New Roman" w:hAnsi="Times New Roman"/>
          <w:b/>
          <w:bCs/>
          <w:sz w:val="24"/>
          <w:szCs w:val="24"/>
          <w:lang w:eastAsia="ru-RU"/>
        </w:rPr>
        <w:t>8. Порядок разрешения споров</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xml:space="preserve">8.1. Споры и разногласия, возникающие из настоящего Договора или в связи с ним, будут решаться Сторонами в претензионном порядке, который является обязательным. </w:t>
        <w:br/>
        <w:t>Письменная претензия направляется Стороной посредством почтового отправления через отделение почтовой связи с описью вложения по месту нахождения другой Стороны. Срок ответа на претензию – 15 (пятнадцать) календарных дней с даты ее получения Стороной. В случае неполучения Стороной ответа на Претензию в указанный срок досудебный порядок урегулирования спора считается соблюденным.</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xml:space="preserve">8.2 Все споры между Сторонами, по которым не было достигнуто соглашения в претензионном порядке, разрешаются </w:t>
      </w:r>
      <w:bookmarkStart w:id="9" w:name="п7ЮрЛицо"/>
      <w:r>
        <w:rPr>
          <w:rFonts w:eastAsia="Times New Roman" w:ascii="Times New Roman" w:hAnsi="Times New Roman"/>
          <w:sz w:val="24"/>
          <w:szCs w:val="24"/>
          <w:lang w:eastAsia="ru-RU"/>
        </w:rPr>
        <w:t xml:space="preserve">в Арбитражном суде </w:t>
      </w:r>
      <w:bookmarkEnd w:id="9"/>
      <w:r>
        <w:rPr>
          <w:rFonts w:eastAsia="Times New Roman" w:ascii="Times New Roman" w:hAnsi="Times New Roman"/>
          <w:sz w:val="24"/>
          <w:szCs w:val="24"/>
          <w:lang w:eastAsia="ru-RU"/>
        </w:rPr>
        <w:t>Красноярского края в соответствии с законодательством Российской Федерации.</w:t>
      </w:r>
    </w:p>
    <w:p>
      <w:pPr>
        <w:pStyle w:val="Normal"/>
        <w:spacing w:lineRule="auto" w:line="240" w:before="0" w:after="60"/>
        <w:jc w:val="center"/>
        <w:rPr>
          <w:rFonts w:ascii="Times New Roman" w:hAnsi="Times New Roman"/>
        </w:rPr>
      </w:pPr>
      <w:r>
        <w:rPr>
          <w:rFonts w:eastAsia="Times New Roman" w:ascii="Times New Roman" w:hAnsi="Times New Roman"/>
          <w:b/>
          <w:bCs/>
          <w:sz w:val="24"/>
          <w:szCs w:val="24"/>
          <w:lang w:eastAsia="ru-RU"/>
        </w:rPr>
        <w:t>9.</w:t>
        <w:tab/>
        <w:t>Заверения Сторон</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xml:space="preserve">9.1 </w:t>
        <w:tab/>
        <w:t xml:space="preserve">Каждая из Сторон заявляет и подтверждает другой Стороне, что: </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лица, подписывающие от имени Сторон Договор, надлежащим образом уполномочены на его подписание;</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xml:space="preserve">-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9.2.</w:t>
        <w:tab/>
        <w:t xml:space="preserve">Лицензиат заявляет и заверяет Пользователя, что на момент заключения Договора: </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Лицензиат обладает всеми законными основаниями для предоставления Пользователю права использования программ для ЭВМ и баз данных на условиях настоящего Договора, действует в пределах прав и полномочий, предоставленных ему правообладателем(-ями), в том числе гарантирует, что между Лицензиатом и правообладателем(-ями) заключен(-ы) соответствующий(-ие) лицензионный(-ые) договор(-ы) в отношении программ для ЭВМ и баз данных, и/или у Лицензиата имеется письменное(-ые) согласие(-ия) правообладателя(-ей) на предоставление Исполнителем права использования программ для ЭВМ и баз данных другим лицам;</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программы для ЭВМ и базы данных включены в Единый реестр российских программ для электронных вычислительных машин и баз данных и/или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Лицензиат вправе предоставлять право использования программ для ЭВМ и баз данных на условиях Договора, и что ему ничего не известно о правах третьих лиц, которые могли бы быть нарушены предоставлением прав использования программ для ЭВМ и баз данных по настоящему Договору.</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9.3.</w:t>
        <w:tab/>
        <w:t>Лицензиат заявляет и заверяет Пользователя в том, что на момент заключения Договора:</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xml:space="preserve">- Лицензиат фактически находится по адресу, указанному в Едином государственном реестре юридических лиц; </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Лицензиат своевременно и в полном объеме уплачивает налоги и сборы в соответствии с законодательством Российской Федерации;</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Лицензиат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Лицензиата должным образом исполнять обязательства, возникающие из Договора или в связи с ним;</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xml:space="preserve">- Лицензиат тщательно изучил всю информацию, и принимает на себя все расходы, риски и трудности исполнения обязательств, возникающих из Договора или в связи с ним; </w:t>
      </w:r>
    </w:p>
    <w:p>
      <w:pPr>
        <w:pStyle w:val="Normal"/>
        <w:spacing w:lineRule="auto" w:line="240" w:before="0" w:after="6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Лицензиат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вся информация, предоставленная Пользователю, является достоверной, полной и точной.</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9.4.</w:t>
        <w:tab/>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9.5. В случае, если Сторона при заключении Договора предоставила другой Стороне недостоверные заверения о любом их указанных в настоящем разделе обстоятельств, имеющих существенное значение для заключения и исполнения Договора, Сторона, предоставившая недостоверные заверения, обязана по письменному требованию другой Стороны возместить фактически понесенные и документально подтвержденные убытки, причиненные недостоверностью таких заверений.</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9.6.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pacing w:lineRule="auto" w:line="240" w:before="0" w:after="60"/>
        <w:jc w:val="both"/>
        <w:rPr>
          <w:rFonts w:ascii="Times New Roman" w:hAnsi="Times New Roman"/>
          <w:sz w:val="24"/>
          <w:szCs w:val="24"/>
        </w:rPr>
      </w:pPr>
      <w:r>
        <w:rPr>
          <w:rFonts w:ascii="Times New Roman" w:hAnsi="Times New Roman"/>
          <w:sz w:val="24"/>
          <w:szCs w:val="24"/>
        </w:rPr>
      </w:r>
    </w:p>
    <w:p>
      <w:pPr>
        <w:pStyle w:val="Normal"/>
        <w:keepNext w:val="true"/>
        <w:spacing w:lineRule="auto" w:line="240" w:before="0" w:after="60"/>
        <w:ind w:left="567"/>
        <w:jc w:val="center"/>
        <w:rPr>
          <w:rFonts w:ascii="Times New Roman" w:hAnsi="Times New Roman"/>
        </w:rPr>
      </w:pPr>
      <w:r>
        <w:rPr>
          <w:rFonts w:eastAsia="Times New Roman" w:ascii="Times New Roman" w:hAnsi="Times New Roman"/>
          <w:b/>
          <w:bCs/>
          <w:sz w:val="24"/>
          <w:szCs w:val="24"/>
          <w:lang w:eastAsia="ru-RU"/>
        </w:rPr>
        <w:t>10. Прочие условия</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xml:space="preserve">10.1. Договор вступает в силу с момента подписания его обеими Сторонами и действует до </w:t>
      </w:r>
      <w:r>
        <w:rPr>
          <w:rFonts w:eastAsia="Times New Roman" w:ascii="Times New Roman" w:hAnsi="Times New Roman"/>
          <w:sz w:val="24"/>
          <w:szCs w:val="24"/>
          <w:highlight w:val="yellow"/>
          <w:lang w:eastAsia="ru-RU"/>
        </w:rPr>
        <w:t>_______________________</w:t>
      </w:r>
      <w:r>
        <w:rPr>
          <w:rFonts w:eastAsia="Times New Roman" w:ascii="Times New Roman" w:hAnsi="Times New Roman"/>
          <w:sz w:val="24"/>
          <w:szCs w:val="24"/>
          <w:lang w:eastAsia="ru-RU"/>
        </w:rPr>
        <w:t>.</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xml:space="preserve">10.2 </w:t>
      </w:r>
      <w:bookmarkStart w:id="10" w:name="_Hlk84508981"/>
      <w:r>
        <w:rPr>
          <w:rFonts w:eastAsia="Times New Roman" w:ascii="Times New Roman" w:hAnsi="Times New Roman"/>
          <w:sz w:val="24"/>
          <w:szCs w:val="24"/>
          <w:lang w:eastAsia="ru-RU"/>
        </w:rPr>
        <w:t>Прекращение Договора не влияет на объем прав, перечисленных в пункте 1.2 настоящего Договора, в отношении программ для ЭВМ и Баз данных, права на использование которых получены Пользователем от Лицензиата в период действия настоящего Договора</w:t>
      </w:r>
      <w:bookmarkEnd w:id="10"/>
      <w:r>
        <w:rPr>
          <w:rFonts w:eastAsia="Times New Roman" w:ascii="Times New Roman" w:hAnsi="Times New Roman"/>
          <w:sz w:val="24"/>
          <w:szCs w:val="24"/>
          <w:lang w:eastAsia="ru-RU"/>
        </w:rPr>
        <w:t>.</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10.3. Стороны договорились, что настоящий Договор и иные документы, которыми обмениваются Стороны настоящего Договора во исполнение настоящего Договора, за исключением претензии (пункт 8.1. Договора), могут быть подписаны Квалифицированной Электронной Подписью (КЭП). В случае выбора сторонами электронного документооборота (ЭДО), Стороны руководствуются порядком обмена электронными документами, установленным разделом 11 настоящего Договора.</w:t>
      </w:r>
    </w:p>
    <w:p>
      <w:pPr>
        <w:pStyle w:val="Normal"/>
        <w:spacing w:lineRule="auto" w:line="240" w:before="0" w:after="60"/>
        <w:jc w:val="both"/>
        <w:rPr>
          <w:rFonts w:ascii="Times New Roman" w:hAnsi="Times New Roman"/>
        </w:rPr>
      </w:pPr>
      <w:r>
        <w:rPr>
          <w:rFonts w:ascii="Times New Roman" w:hAnsi="Times New Roman"/>
          <w:sz w:val="24"/>
          <w:szCs w:val="24"/>
        </w:rPr>
        <w:t>10.4. Если Стороны не используют ЭДО, то признают действительность копий документов, полученных посредством электронных средств связи, при условии последующего направления оригинала.</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10.5. В части, не урегулированной настоящим Договором, отношения Сторон регулируются действующим законодательством Российской Федерации.</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10.6. Любая Сторона обязана в 10 (десяти) дневный срок уведомлять другую Сторону об изменении своего наименования, адреса и реквизитов, а также реорганизации, начале процедуры банкротства или ликвидации в соответствии с нормами ГК РФ.</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10.7. Стороны не вправе передавать третьим лицам права и обязанности по настоящему Договору.</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10.8. Стороны признают, что настоящий Договор, его содержание, а также все приложения к нему являются конфиденциальными документами и не подлежат разглашению Сторонами в каких-либо целях без письменного согласия другой Стороны кроме случаев, предусмотренных законодательством Российской Федерации.</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 xml:space="preserve">10.9. Пользователь дает Лицензиату свое согласие на получение от Лицензиата по каналам связи сообщений рекламного характера, касающихся программы для ЭВМ «ГРАНД-Смета», а также информационных сообщений (новостной рассылки) по вопросам ценообразования в строительной отрасли и сметного нормирования. Пользователь имеет право отказаться от получения рекламы и информационных сообщений в любой момент путем направления письменного уведомления Лицензиату. </w:t>
      </w:r>
    </w:p>
    <w:p>
      <w:pPr>
        <w:pStyle w:val="Normal"/>
        <w:keepNext w:val="true"/>
        <w:spacing w:lineRule="auto" w:line="240" w:before="0" w:after="60"/>
        <w:ind w:left="567"/>
        <w:jc w:val="center"/>
        <w:rPr>
          <w:rFonts w:ascii="Times New Roman" w:hAnsi="Times New Roman"/>
        </w:rPr>
      </w:pPr>
      <w:r>
        <w:rPr>
          <w:rFonts w:eastAsia="Times New Roman" w:ascii="Times New Roman" w:hAnsi="Times New Roman"/>
          <w:b/>
          <w:bCs/>
          <w:sz w:val="24"/>
          <w:szCs w:val="24"/>
          <w:lang w:eastAsia="ru-RU"/>
        </w:rPr>
        <w:t>11. Порядок обмена электронными документами</w:t>
      </w:r>
    </w:p>
    <w:p>
      <w:pPr>
        <w:pStyle w:val="ListParagraph"/>
        <w:tabs>
          <w:tab w:val="clear" w:pos="708"/>
          <w:tab w:val="left" w:pos="335" w:leader="none"/>
        </w:tabs>
        <w:spacing w:lineRule="auto" w:line="240"/>
        <w:ind w:left="0"/>
        <w:jc w:val="both"/>
        <w:rPr>
          <w:rFonts w:ascii="Times New Roman" w:hAnsi="Times New Roman"/>
        </w:rPr>
      </w:pPr>
      <w:r>
        <w:rPr>
          <w:rFonts w:ascii="Times New Roman" w:hAnsi="Times New Roman"/>
          <w:sz w:val="24"/>
          <w:szCs w:val="24"/>
        </w:rPr>
        <w:t xml:space="preserve">11.1. Настоящий Договор, электронные документы, которыми обмениваются Стороны настоящего Договора, подписываются Квалифицированной Электронной Подписью (КЭП).Электронный документооборот осуществляется в рамках заключения и подписания настоящего Договора, дополнительных соглашений к нему, равно как и любых сопутствующих документов, совершаемых при заключении, исполнении или прекращении настоящего Договора, включая, но не ограничиваясь, счета, акты сверки расчетов, протоколы, спецификации, акты, запросы, уведомления, требования, УПД (далее – Документы). </w:t>
      </w:r>
    </w:p>
    <w:p>
      <w:pPr>
        <w:pStyle w:val="Normal"/>
        <w:spacing w:lineRule="auto" w:line="240" w:before="0" w:after="60"/>
        <w:jc w:val="both"/>
        <w:rPr>
          <w:rFonts w:ascii="Times New Roman" w:hAnsi="Times New Roman"/>
        </w:rPr>
      </w:pPr>
      <w:r>
        <w:rPr>
          <w:rFonts w:ascii="Times New Roman" w:hAnsi="Times New Roman"/>
          <w:sz w:val="24"/>
          <w:szCs w:val="24"/>
        </w:rPr>
        <w:t>11.2. Стороны пришли к соглашению о том, что в данном разделе используются следующие понятия:</w:t>
      </w:r>
    </w:p>
    <w:p>
      <w:pPr>
        <w:pStyle w:val="Normal"/>
        <w:spacing w:lineRule="auto" w:line="240" w:before="0" w:after="60"/>
        <w:jc w:val="both"/>
        <w:rPr>
          <w:rFonts w:ascii="Times New Roman" w:hAnsi="Times New Roman"/>
        </w:rPr>
      </w:pPr>
      <w:r>
        <w:rPr>
          <w:rFonts w:ascii="Times New Roman" w:hAnsi="Times New Roman"/>
          <w:sz w:val="24"/>
          <w:szCs w:val="24"/>
        </w:rPr>
        <w:t>Направляющая Сторона – Лицензиат или Пользователь, направляющий документ в электронном виде по телекоммуникационным каналам связи другой Стороне.</w:t>
      </w:r>
    </w:p>
    <w:p>
      <w:pPr>
        <w:pStyle w:val="Normal"/>
        <w:spacing w:lineRule="auto" w:line="240" w:before="0" w:after="60"/>
        <w:jc w:val="both"/>
        <w:rPr>
          <w:rFonts w:ascii="Times New Roman" w:hAnsi="Times New Roman"/>
        </w:rPr>
      </w:pPr>
      <w:r>
        <w:rPr>
          <w:rFonts w:ascii="Times New Roman" w:hAnsi="Times New Roman"/>
          <w:sz w:val="24"/>
          <w:szCs w:val="24"/>
        </w:rPr>
        <w:t>Получающая Сторона – Лицензиат или Пользователь, получающий от Направляющей Стороны документ в электронном виде по телекоммуникационным каналам связи.</w:t>
      </w:r>
    </w:p>
    <w:p>
      <w:pPr>
        <w:pStyle w:val="Normal"/>
        <w:spacing w:lineRule="auto" w:line="240" w:before="0" w:after="60"/>
        <w:jc w:val="both"/>
        <w:rPr>
          <w:rFonts w:ascii="Times New Roman" w:hAnsi="Times New Roman"/>
        </w:rPr>
      </w:pPr>
      <w:r>
        <w:rPr>
          <w:rFonts w:ascii="Times New Roman" w:hAnsi="Times New Roman"/>
          <w:bCs/>
          <w:sz w:val="24"/>
          <w:szCs w:val="24"/>
        </w:rPr>
        <w:t>Удостоверяющий центр (УЦ)</w:t>
      </w:r>
      <w:r>
        <w:rPr>
          <w:rFonts w:ascii="Times New Roman" w:hAnsi="Times New Roman"/>
          <w:sz w:val="24"/>
          <w:szCs w:val="24"/>
        </w:rPr>
        <w:t xml:space="preserve"> - юридическое лицо, индивидуальный предприниматель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№63-ФЗ «Об электронной подписи». .</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11.3.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«О бухгалтерском учете», приказом Минфина России от 05.02.2021г. № 14н.</w:t>
      </w:r>
    </w:p>
    <w:p>
      <w:pPr>
        <w:pStyle w:val="Normal"/>
        <w:spacing w:lineRule="auto" w:line="240" w:before="0" w:after="60"/>
        <w:jc w:val="both"/>
        <w:rPr>
          <w:rFonts w:ascii="Times New Roman" w:hAnsi="Times New Roman"/>
        </w:rPr>
      </w:pPr>
      <w:r>
        <w:rPr>
          <w:rFonts w:ascii="Times New Roman" w:hAnsi="Times New Roman"/>
          <w:sz w:val="24"/>
          <w:szCs w:val="24"/>
        </w:rPr>
        <w:t>11.4. Электронный документ, подписанный КЭП, содержание которого соответствует требованиям нормативных правовых актов Российской Федерации,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pPr>
        <w:pStyle w:val="Normal"/>
        <w:spacing w:lineRule="auto" w:line="240" w:before="0" w:after="60"/>
        <w:jc w:val="both"/>
        <w:rPr>
          <w:rFonts w:ascii="Times New Roman" w:hAnsi="Times New Roman"/>
        </w:rPr>
      </w:pPr>
      <w:r>
        <w:rPr>
          <w:rFonts w:ascii="Times New Roman" w:hAnsi="Times New Roman"/>
          <w:sz w:val="24"/>
          <w:szCs w:val="24"/>
        </w:rPr>
        <w:t>11.5.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pPr>
        <w:pStyle w:val="Normal"/>
        <w:spacing w:lineRule="auto" w:line="240" w:before="0" w:after="60"/>
        <w:jc w:val="both"/>
        <w:rPr>
          <w:rFonts w:ascii="Times New Roman" w:hAnsi="Times New Roman"/>
        </w:rPr>
      </w:pPr>
      <w:r>
        <w:rPr>
          <w:rFonts w:ascii="Times New Roman" w:hAnsi="Times New Roman"/>
          <w:sz w:val="24"/>
          <w:szCs w:val="24"/>
        </w:rPr>
        <w:t>11.6.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pPr>
        <w:pStyle w:val="Normal"/>
        <w:spacing w:lineRule="auto" w:line="240" w:before="0" w:after="60"/>
        <w:jc w:val="both"/>
        <w:rPr>
          <w:rFonts w:ascii="Times New Roman" w:hAnsi="Times New Roman"/>
        </w:rPr>
      </w:pPr>
      <w:r>
        <w:rPr>
          <w:rFonts w:ascii="Times New Roman" w:hAnsi="Times New Roman"/>
          <w:sz w:val="24"/>
          <w:szCs w:val="24"/>
        </w:rPr>
        <w:t>11.7. 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Договором.</w:t>
      </w:r>
    </w:p>
    <w:p>
      <w:pPr>
        <w:pStyle w:val="Normal"/>
        <w:spacing w:lineRule="auto" w:line="240" w:before="0" w:after="60"/>
        <w:jc w:val="both"/>
        <w:rPr>
          <w:rFonts w:ascii="Times New Roman" w:hAnsi="Times New Roman"/>
        </w:rPr>
      </w:pPr>
      <w:r>
        <w:rPr>
          <w:rFonts w:ascii="Times New Roman" w:hAnsi="Times New Roman"/>
          <w:sz w:val="24"/>
          <w:szCs w:val="24"/>
        </w:rPr>
        <w:t>Получающая Сторона при получении от Направляющей Стороны файла документа в электронном виде по телекоммуникационным каналам связи не позднее следующего рабочего дня проверяет наличие электронной цифровой подписи Направляющей Стороны, формирует, подписывает собственной КЭП и направляет извещение о получении документа в адрес Направляющей стороны через Оператора. При этом Получающая Сторона сохраняет документ, подписанный КЭП Направляющей Стороны и подписанное собой извещение о получении документа в электронном виде.</w:t>
      </w:r>
    </w:p>
    <w:p>
      <w:pPr>
        <w:pStyle w:val="Normal"/>
        <w:spacing w:lineRule="auto" w:line="240" w:before="0" w:after="60"/>
        <w:jc w:val="both"/>
        <w:rPr>
          <w:rFonts w:ascii="Times New Roman" w:hAnsi="Times New Roman"/>
        </w:rPr>
      </w:pPr>
      <w:r>
        <w:rPr>
          <w:rFonts w:ascii="Times New Roman" w:hAnsi="Times New Roman"/>
          <w:sz w:val="24"/>
          <w:szCs w:val="24"/>
        </w:rPr>
        <w:t>11.8. Направляющая Сторона, при получении от Получающей Стороны извещения о получении документа в электронном виде, подписанного КЭП Получающей Стороны, не позднее следующего рабочего дня проверяет наличие электронной цифровой подписи Получающей Стороны и сохраняет подписанное Получающей Стороной извещение в электронном виде.</w:t>
      </w:r>
    </w:p>
    <w:p>
      <w:pPr>
        <w:pStyle w:val="Normal"/>
        <w:spacing w:lineRule="auto" w:line="240" w:before="0" w:after="60"/>
        <w:jc w:val="both"/>
        <w:rPr>
          <w:rFonts w:ascii="Times New Roman" w:hAnsi="Times New Roman"/>
        </w:rPr>
      </w:pPr>
      <w:r>
        <w:rPr>
          <w:rFonts w:ascii="Times New Roman" w:hAnsi="Times New Roman"/>
          <w:sz w:val="24"/>
          <w:szCs w:val="24"/>
        </w:rPr>
        <w:t>11.9. Если Направляющая и/или Получающая Сторона не получила любое из положенных подтверждений Оператором или файл документов в течение 2 (двух) рабочих дней, Сторона сообщает о данном факте Оператору.</w:t>
      </w:r>
    </w:p>
    <w:p>
      <w:pPr>
        <w:pStyle w:val="Normal"/>
        <w:spacing w:lineRule="auto" w:line="240" w:before="0" w:after="60"/>
        <w:jc w:val="both"/>
        <w:rPr>
          <w:rFonts w:ascii="Times New Roman" w:hAnsi="Times New Roman"/>
        </w:rPr>
      </w:pPr>
      <w:r>
        <w:rPr>
          <w:rFonts w:ascii="Times New Roman" w:hAnsi="Times New Roman"/>
          <w:sz w:val="24"/>
          <w:szCs w:val="24"/>
        </w:rPr>
        <w:t>11.10. В случае необходимости внесения корректировок в направленных посредством ЭДО документ, Направляющая Сторона составляет соответствующее информационное письмо и направляет откорректированный документ и информационное письмо Получающей Стороне.</w:t>
      </w:r>
    </w:p>
    <w:p>
      <w:pPr>
        <w:pStyle w:val="Normal"/>
        <w:spacing w:lineRule="auto" w:line="240" w:before="0" w:after="60"/>
        <w:jc w:val="both"/>
        <w:rPr>
          <w:rFonts w:ascii="Times New Roman" w:hAnsi="Times New Roman"/>
        </w:rPr>
      </w:pPr>
      <w:r>
        <w:rPr>
          <w:rFonts w:ascii="Times New Roman" w:hAnsi="Times New Roman"/>
          <w:sz w:val="24"/>
          <w:szCs w:val="24"/>
        </w:rPr>
        <w:t>11.11. Квалифицированная ЭП, которой подписан документ, признается действительной до тех пор, пока решением суда не установлено иное.</w:t>
      </w:r>
    </w:p>
    <w:p>
      <w:pPr>
        <w:pStyle w:val="Normal"/>
        <w:spacing w:lineRule="auto" w:line="240" w:before="0" w:after="60"/>
        <w:jc w:val="both"/>
        <w:rPr>
          <w:rFonts w:ascii="Times New Roman" w:hAnsi="Times New Roman"/>
        </w:rPr>
      </w:pPr>
      <w:r>
        <w:rPr>
          <w:rFonts w:ascii="Times New Roman" w:hAnsi="Times New Roman"/>
          <w:sz w:val="24"/>
          <w:szCs w:val="24"/>
        </w:rPr>
        <w:t>11.12. Условия использования средств ЭП, порядок проверки ЭП, правила обращения с ключами и сертификатами квалифицированной ЭП устанавливаются нормативными документами (регламентами) УЦ; по данным вопросам Стороны руководствуются нормативными документами УЦ.</w:t>
      </w:r>
    </w:p>
    <w:p>
      <w:pPr>
        <w:pStyle w:val="Normal"/>
        <w:keepNext w:val="true"/>
        <w:spacing w:lineRule="auto" w:line="240" w:before="0" w:after="60"/>
        <w:ind w:left="567"/>
        <w:jc w:val="center"/>
        <w:rPr>
          <w:rFonts w:ascii="Times New Roman" w:hAnsi="Times New Roman"/>
        </w:rPr>
      </w:pPr>
      <w:r>
        <w:rPr>
          <w:rFonts w:eastAsia="Times New Roman" w:ascii="Times New Roman" w:hAnsi="Times New Roman"/>
          <w:sz w:val="24"/>
          <w:szCs w:val="24"/>
          <w:lang w:eastAsia="ru-RU"/>
        </w:rPr>
        <w:t>12. Список приложений, являющихся неотъемлемой частью Договора:</w:t>
      </w:r>
    </w:p>
    <w:p>
      <w:pPr>
        <w:pStyle w:val="Normal"/>
        <w:spacing w:lineRule="auto" w:line="240" w:before="0" w:after="60"/>
        <w:jc w:val="both"/>
        <w:rPr>
          <w:rFonts w:ascii="Times New Roman" w:hAnsi="Times New Roman"/>
        </w:rPr>
      </w:pPr>
      <w:r>
        <w:rPr>
          <w:rFonts w:eastAsia="Times New Roman" w:ascii="Times New Roman" w:hAnsi="Times New Roman"/>
          <w:sz w:val="24"/>
          <w:szCs w:val="24"/>
          <w:lang w:eastAsia="ru-RU"/>
        </w:rPr>
        <w:t>12.1.</w:t>
        <w:tab/>
        <w:t>Приложение № 1 — Спецификация.</w:t>
      </w:r>
    </w:p>
    <w:p>
      <w:pPr>
        <w:pStyle w:val="Normal"/>
        <w:spacing w:lineRule="auto" w:line="240" w:before="0" w:after="60"/>
        <w:ind w:left="567"/>
        <w:jc w:val="center"/>
        <w:rPr>
          <w:rFonts w:ascii="Times New Roman" w:hAnsi="Times New Roman"/>
        </w:rPr>
      </w:pPr>
      <w:r>
        <w:rPr>
          <w:rFonts w:eastAsia="Times New Roman" w:ascii="Times New Roman" w:hAnsi="Times New Roman"/>
          <w:b/>
          <w:bCs/>
          <w:sz w:val="24"/>
          <w:szCs w:val="24"/>
          <w:lang w:eastAsia="ru-RU"/>
        </w:rPr>
        <w:t>13. Адреса и реквизиты Сторон</w:t>
      </w:r>
    </w:p>
    <w:tbl>
      <w:tblPr>
        <w:tblW w:w="11179"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401"/>
        <w:gridCol w:w="2523"/>
        <w:gridCol w:w="5994"/>
        <w:gridCol w:w="261"/>
      </w:tblGrid>
      <w:tr>
        <w:trPr>
          <w:trHeight w:val="241" w:hRule="atLeast"/>
        </w:trPr>
        <w:tc>
          <w:tcPr>
            <w:tcW w:w="4924" w:type="dxa"/>
            <w:gridSpan w:val="2"/>
            <w:tcBorders/>
          </w:tcPr>
          <w:p>
            <w:pPr>
              <w:pStyle w:val="Normal"/>
              <w:widowControl w:val="false"/>
              <w:spacing w:lineRule="auto" w:line="240" w:before="0" w:after="0"/>
              <w:ind w:left="567"/>
              <w:jc w:val="center"/>
              <w:rPr>
                <w:rFonts w:ascii="Times New Roman" w:hAnsi="Times New Roman"/>
              </w:rPr>
            </w:pPr>
            <w:r>
              <w:rPr>
                <w:rFonts w:eastAsia="Times New Roman" w:ascii="Times New Roman" w:hAnsi="Times New Roman"/>
                <w:b/>
                <w:bCs/>
                <w:sz w:val="24"/>
                <w:szCs w:val="24"/>
                <w:lang w:eastAsia="ru-RU"/>
              </w:rPr>
              <w:t>Лицензиат:</w:t>
            </w:r>
          </w:p>
        </w:tc>
        <w:tc>
          <w:tcPr>
            <w:tcW w:w="6255" w:type="dxa"/>
            <w:gridSpan w:val="2"/>
            <w:tcBorders/>
          </w:tcPr>
          <w:p>
            <w:pPr>
              <w:pStyle w:val="Normal"/>
              <w:widowControl w:val="false"/>
              <w:spacing w:lineRule="auto" w:line="240" w:before="0" w:after="0"/>
              <w:ind w:left="57" w:right="227"/>
              <w:jc w:val="center"/>
              <w:rPr>
                <w:rFonts w:ascii="Times New Roman" w:hAnsi="Times New Roman"/>
              </w:rPr>
            </w:pPr>
            <w:r>
              <w:rPr>
                <w:rFonts w:eastAsia="Times New Roman" w:ascii="Times New Roman" w:hAnsi="Times New Roman"/>
                <w:b/>
                <w:bCs/>
                <w:sz w:val="24"/>
                <w:szCs w:val="24"/>
                <w:lang w:eastAsia="ru-RU"/>
              </w:rPr>
              <w:t>Пользователь:</w:t>
            </w:r>
          </w:p>
        </w:tc>
      </w:tr>
      <w:tr>
        <w:trPr>
          <w:trHeight w:val="482" w:hRule="atLeast"/>
        </w:trPr>
        <w:tc>
          <w:tcPr>
            <w:tcW w:w="4924" w:type="dxa"/>
            <w:gridSpan w:val="2"/>
            <w:tcBorders/>
          </w:tcPr>
          <w:p>
            <w:pPr>
              <w:pStyle w:val="Normal"/>
              <w:widowControl w:val="false"/>
              <w:spacing w:lineRule="auto" w:line="240" w:before="0" w:after="0"/>
              <w:ind w:left="-113"/>
              <w:rPr>
                <w:rFonts w:ascii="Times New Roman" w:hAnsi="Times New Roman"/>
              </w:rPr>
            </w:pPr>
            <w:r>
              <w:rPr/>
            </w:r>
          </w:p>
        </w:tc>
        <w:tc>
          <w:tcPr>
            <w:tcW w:w="5994" w:type="dxa"/>
            <w:tcBorders/>
          </w:tcPr>
          <w:p>
            <w:pPr>
              <w:pStyle w:val="Normal"/>
              <w:widowControl w:val="false"/>
              <w:tabs>
                <w:tab w:val="clear" w:pos="708"/>
                <w:tab w:val="left" w:pos="3621" w:leader="none"/>
              </w:tabs>
              <w:spacing w:lineRule="auto" w:line="240" w:before="0" w:after="0"/>
              <w:rPr>
                <w:rFonts w:ascii="Times New Roman" w:hAnsi="Times New Roman"/>
              </w:rPr>
            </w:pPr>
            <w:bookmarkStart w:id="11" w:name="НаименованиеКонтрагентаПодпись"/>
            <w:bookmarkEnd w:id="11"/>
            <w:r>
              <w:rPr>
                <w:rFonts w:eastAsia="Times New Roman" w:ascii="Times New Roman" w:hAnsi="Times New Roman"/>
                <w:sz w:val="24"/>
                <w:szCs w:val="24"/>
                <w:lang w:eastAsia="ru-RU"/>
              </w:rPr>
              <w:t>ПАО «РусГидро»</w:t>
            </w:r>
          </w:p>
          <w:p>
            <w:pPr>
              <w:pStyle w:val="Normal"/>
              <w:widowControl w:val="false"/>
              <w:spacing w:lineRule="auto" w:line="240" w:before="0" w:after="0"/>
              <w:rPr>
                <w:rFonts w:ascii="Times New Roman" w:hAnsi="Times New Roman"/>
              </w:rPr>
            </w:pPr>
            <w:bookmarkStart w:id="12" w:name="АдресКонтрагента"/>
            <w:bookmarkEnd w:id="12"/>
            <w:r>
              <w:rPr>
                <w:rFonts w:eastAsia="Times New Roman" w:ascii="Times New Roman" w:hAnsi="Times New Roman"/>
                <w:sz w:val="24"/>
                <w:szCs w:val="24"/>
                <w:lang w:eastAsia="ru-RU"/>
              </w:rPr>
              <w:t>ИНН 2460066195</w:t>
            </w:r>
          </w:p>
          <w:p>
            <w:pPr>
              <w:pStyle w:val="Normal"/>
              <w:widowControl w:val="false"/>
              <w:spacing w:lineRule="auto" w:line="240" w:before="0" w:after="0"/>
              <w:rPr>
                <w:rFonts w:ascii="Times New Roman" w:hAnsi="Times New Roman"/>
              </w:rPr>
            </w:pPr>
            <w:r>
              <w:rPr>
                <w:rFonts w:eastAsia="Times New Roman" w:ascii="Times New Roman" w:hAnsi="Times New Roman"/>
                <w:sz w:val="24"/>
                <w:szCs w:val="24"/>
                <w:lang w:eastAsia="ru-RU"/>
              </w:rPr>
              <w:t>КПП 997650001</w:t>
            </w:r>
          </w:p>
          <w:p>
            <w:pPr>
              <w:pStyle w:val="Normal"/>
              <w:widowControl w:val="false"/>
              <w:spacing w:lineRule="auto" w:line="240" w:before="0" w:after="0"/>
              <w:rPr>
                <w:rFonts w:ascii="Times New Roman" w:hAnsi="Times New Roman"/>
              </w:rPr>
            </w:pPr>
            <w:r>
              <w:rPr>
                <w:rFonts w:eastAsia="Times New Roman" w:ascii="Times New Roman" w:hAnsi="Times New Roman"/>
                <w:sz w:val="24"/>
                <w:szCs w:val="24"/>
                <w:lang w:eastAsia="ru-RU"/>
              </w:rPr>
              <w:t>Юр. адрес: 660049, Россия,</w:t>
            </w:r>
          </w:p>
          <w:p>
            <w:pPr>
              <w:pStyle w:val="Normal"/>
              <w:widowControl w:val="false"/>
              <w:spacing w:lineRule="auto" w:line="240" w:before="0" w:after="0"/>
              <w:rPr>
                <w:rFonts w:ascii="Times New Roman" w:hAnsi="Times New Roman"/>
              </w:rPr>
            </w:pPr>
            <w:r>
              <w:rPr>
                <w:rFonts w:eastAsia="Times New Roman" w:ascii="Times New Roman" w:hAnsi="Times New Roman"/>
                <w:sz w:val="24"/>
                <w:szCs w:val="24"/>
                <w:lang w:eastAsia="ru-RU"/>
              </w:rPr>
              <w:t>Красноярский край, Красноярск г.,</w:t>
            </w:r>
          </w:p>
          <w:p>
            <w:pPr>
              <w:pStyle w:val="Normal"/>
              <w:widowControl w:val="false"/>
              <w:spacing w:lineRule="auto" w:line="240" w:before="0" w:after="0"/>
              <w:rPr>
                <w:rFonts w:ascii="Times New Roman" w:hAnsi="Times New Roman"/>
              </w:rPr>
            </w:pPr>
            <w:r>
              <w:rPr>
                <w:rFonts w:eastAsia="Times New Roman" w:ascii="Times New Roman" w:hAnsi="Times New Roman"/>
                <w:sz w:val="24"/>
                <w:szCs w:val="24"/>
                <w:lang w:eastAsia="ru-RU"/>
              </w:rPr>
              <w:t>Перенсона ул, дом № 2а, помещ. 1</w:t>
            </w:r>
          </w:p>
          <w:p>
            <w:pPr>
              <w:pStyle w:val="Normal"/>
              <w:widowControl w:val="false"/>
              <w:spacing w:lineRule="auto" w:line="240" w:before="0" w:after="0"/>
              <w:rPr>
                <w:rFonts w:ascii="Times New Roman" w:hAnsi="Times New Roman"/>
              </w:rPr>
            </w:pPr>
            <w:r>
              <w:rPr>
                <w:rFonts w:eastAsia="Times New Roman" w:ascii="Times New Roman" w:hAnsi="Times New Roman"/>
                <w:sz w:val="24"/>
                <w:szCs w:val="24"/>
                <w:lang w:eastAsia="ru-RU"/>
              </w:rPr>
              <w:t>Факт. адрес: 660049, Россия,</w:t>
            </w:r>
          </w:p>
          <w:p>
            <w:pPr>
              <w:pStyle w:val="Normal"/>
              <w:widowControl w:val="false"/>
              <w:spacing w:lineRule="auto" w:line="240" w:before="0" w:after="0"/>
              <w:rPr>
                <w:rFonts w:ascii="Times New Roman" w:hAnsi="Times New Roman"/>
              </w:rPr>
            </w:pPr>
            <w:r>
              <w:rPr>
                <w:rFonts w:eastAsia="Times New Roman" w:ascii="Times New Roman" w:hAnsi="Times New Roman"/>
                <w:sz w:val="24"/>
                <w:szCs w:val="24"/>
                <w:lang w:eastAsia="ru-RU"/>
              </w:rPr>
              <w:t>Красноярский край, Красноярск г.,</w:t>
            </w:r>
          </w:p>
          <w:p>
            <w:pPr>
              <w:pStyle w:val="Normal"/>
              <w:widowControl w:val="false"/>
              <w:spacing w:lineRule="auto" w:line="240" w:before="0" w:after="0"/>
              <w:rPr>
                <w:rFonts w:ascii="Times New Roman" w:hAnsi="Times New Roman"/>
              </w:rPr>
            </w:pPr>
            <w:r>
              <w:rPr>
                <w:rFonts w:eastAsia="Times New Roman" w:ascii="Times New Roman" w:hAnsi="Times New Roman"/>
                <w:sz w:val="24"/>
                <w:szCs w:val="24"/>
                <w:lang w:eastAsia="ru-RU"/>
              </w:rPr>
              <w:t>Перенсона ул, дом № 2а, помещ. 1</w:t>
            </w:r>
          </w:p>
          <w:p>
            <w:pPr>
              <w:pStyle w:val="Normal"/>
              <w:widowControl w:val="false"/>
              <w:spacing w:lineRule="auto" w:line="240" w:before="0" w:after="0"/>
              <w:rPr>
                <w:rFonts w:ascii="Times New Roman" w:hAnsi="Times New Roman"/>
              </w:rPr>
            </w:pPr>
            <w:r>
              <w:rPr>
                <w:rFonts w:eastAsia="Times New Roman" w:ascii="Times New Roman" w:hAnsi="Times New Roman"/>
                <w:sz w:val="24"/>
                <w:szCs w:val="24"/>
                <w:lang w:eastAsia="ru-RU"/>
              </w:rPr>
              <w:t>р/с 40702810438090001390</w:t>
            </w:r>
          </w:p>
          <w:p>
            <w:pPr>
              <w:pStyle w:val="Normal"/>
              <w:widowControl w:val="false"/>
              <w:spacing w:lineRule="auto" w:line="240" w:before="0" w:after="0"/>
              <w:rPr>
                <w:rFonts w:ascii="Times New Roman" w:hAnsi="Times New Roman"/>
              </w:rPr>
            </w:pPr>
            <w:r>
              <w:rPr>
                <w:rFonts w:eastAsia="Times New Roman" w:ascii="Times New Roman" w:hAnsi="Times New Roman"/>
                <w:sz w:val="24"/>
                <w:szCs w:val="24"/>
                <w:lang w:eastAsia="ru-RU"/>
              </w:rPr>
              <w:t>в ПАО Сбербанк г. Москва</w:t>
            </w:r>
          </w:p>
          <w:p>
            <w:pPr>
              <w:pStyle w:val="Normal"/>
              <w:widowControl w:val="false"/>
              <w:spacing w:lineRule="auto" w:line="240" w:before="0" w:after="0"/>
              <w:rPr>
                <w:rFonts w:ascii="Times New Roman" w:hAnsi="Times New Roman"/>
              </w:rPr>
            </w:pPr>
            <w:r>
              <w:rPr>
                <w:rFonts w:eastAsia="Times New Roman" w:ascii="Times New Roman" w:hAnsi="Times New Roman"/>
                <w:sz w:val="24"/>
                <w:szCs w:val="24"/>
                <w:lang w:eastAsia="ru-RU"/>
              </w:rPr>
              <w:t>БИК 044525225</w:t>
            </w:r>
          </w:p>
          <w:p>
            <w:pPr>
              <w:pStyle w:val="Normal"/>
              <w:widowControl w:val="false"/>
              <w:spacing w:lineRule="auto" w:line="240" w:before="0" w:after="0"/>
              <w:rPr>
                <w:rFonts w:ascii="Times New Roman" w:hAnsi="Times New Roman"/>
              </w:rPr>
            </w:pPr>
            <w:r>
              <w:rPr>
                <w:rFonts w:eastAsia="Times New Roman" w:ascii="Times New Roman" w:hAnsi="Times New Roman"/>
                <w:sz w:val="24"/>
                <w:szCs w:val="24"/>
                <w:lang w:eastAsia="ru-RU"/>
              </w:rPr>
              <w:t>к/с 30101810400000000225</w:t>
            </w:r>
          </w:p>
          <w:p>
            <w:pPr>
              <w:pStyle w:val="Normal"/>
              <w:widowControl w:val="false"/>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261" w:type="dxa"/>
            <w:tcBorders/>
          </w:tcPr>
          <w:p>
            <w:pPr>
              <w:pStyle w:val="Normal"/>
              <w:widowControl w:val="false"/>
              <w:spacing w:lineRule="auto" w:line="240" w:before="0" w:after="200"/>
              <w:rPr>
                <w:rFonts w:ascii="Times New Roman" w:hAnsi="Times New Roman"/>
                <w:sz w:val="24"/>
                <w:szCs w:val="24"/>
              </w:rPr>
            </w:pPr>
            <w:r>
              <w:rPr>
                <w:rFonts w:ascii="Times New Roman" w:hAnsi="Times New Roman"/>
                <w:sz w:val="24"/>
                <w:szCs w:val="24"/>
              </w:rPr>
            </w:r>
          </w:p>
        </w:tc>
      </w:tr>
      <w:tr>
        <w:trPr>
          <w:trHeight w:val="241" w:hRule="atLeast"/>
        </w:trPr>
        <w:tc>
          <w:tcPr>
            <w:tcW w:w="2401" w:type="dxa"/>
            <w:tcBorders/>
          </w:tcPr>
          <w:p>
            <w:pPr>
              <w:pStyle w:val="Normal"/>
              <w:widowControl w:val="false"/>
              <w:spacing w:lineRule="auto" w:line="240" w:before="0" w:after="0"/>
              <w:ind w:left="567"/>
              <w:rPr>
                <w:rFonts w:ascii="Times New Roman" w:hAnsi="Times New Roman" w:eastAsia="Times New Roman"/>
                <w:sz w:val="24"/>
                <w:szCs w:val="24"/>
                <w:lang w:eastAsia="ru-RU"/>
              </w:rPr>
            </w:pPr>
            <w:r>
              <w:rPr>
                <w:rFonts w:eastAsia="Times New Roman" w:ascii="Times New Roman" w:hAnsi="Times New Roman"/>
                <w:sz w:val="24"/>
                <w:szCs w:val="24"/>
                <w:lang w:eastAsia="ru-RU"/>
              </w:rPr>
            </w:r>
            <w:bookmarkStart w:id="13" w:name="МестоПечати"/>
            <w:bookmarkStart w:id="14" w:name="МестоПечати"/>
            <w:bookmarkEnd w:id="14"/>
          </w:p>
        </w:tc>
        <w:tc>
          <w:tcPr>
            <w:tcW w:w="2523" w:type="dxa"/>
            <w:tcBorders/>
          </w:tcPr>
          <w:p>
            <w:pPr>
              <w:pStyle w:val="Normal"/>
              <w:widowControl w:val="false"/>
              <w:spacing w:lineRule="auto" w:line="240" w:before="0" w:after="0"/>
              <w:ind w:left="567"/>
              <w:rPr>
                <w:rFonts w:ascii="Times New Roman" w:hAnsi="Times New Roman" w:eastAsia="Times New Roman"/>
                <w:sz w:val="24"/>
                <w:szCs w:val="24"/>
                <w:lang w:eastAsia="ru-RU"/>
              </w:rPr>
            </w:pPr>
            <w:r>
              <w:rPr>
                <w:rFonts w:eastAsia="Times New Roman" w:ascii="Times New Roman" w:hAnsi="Times New Roman"/>
                <w:sz w:val="24"/>
                <w:szCs w:val="24"/>
                <w:lang w:eastAsia="ru-RU"/>
              </w:rPr>
            </w:r>
            <w:bookmarkStart w:id="15" w:name="МестоПодписи"/>
            <w:bookmarkStart w:id="16" w:name="МестоПодписи"/>
            <w:bookmarkEnd w:id="16"/>
          </w:p>
        </w:tc>
        <w:tc>
          <w:tcPr>
            <w:tcW w:w="6255" w:type="dxa"/>
            <w:gridSpan w:val="2"/>
            <w:tcBorders/>
          </w:tcPr>
          <w:p>
            <w:pPr>
              <w:pStyle w:val="Normal"/>
              <w:widowControl w:val="false"/>
              <w:spacing w:lineRule="auto" w:line="240" w:before="0" w:after="0"/>
              <w:ind w:left="567"/>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r>
      <w:tr>
        <w:trPr>
          <w:trHeight w:val="241" w:hRule="atLeast"/>
        </w:trPr>
        <w:tc>
          <w:tcPr>
            <w:tcW w:w="4924" w:type="dxa"/>
            <w:gridSpan w:val="2"/>
            <w:tcBorders/>
          </w:tcPr>
          <w:p>
            <w:pPr>
              <w:pStyle w:val="Normal"/>
              <w:widowControl w:val="false"/>
              <w:spacing w:lineRule="auto" w:line="240" w:before="0" w:after="0"/>
              <w:rPr>
                <w:rFonts w:ascii="Times New Roman" w:hAnsi="Times New Roman"/>
              </w:rPr>
            </w:pPr>
            <w:r>
              <w:rPr/>
            </w:r>
            <w:bookmarkStart w:id="17" w:name="ФИОРуководителяОрганизации"/>
            <w:bookmarkStart w:id="18" w:name="ФИОРуководителяОрганизации"/>
            <w:bookmarkEnd w:id="18"/>
          </w:p>
        </w:tc>
        <w:tc>
          <w:tcPr>
            <w:tcW w:w="6255" w:type="dxa"/>
            <w:gridSpan w:val="2"/>
            <w:tcBorders/>
          </w:tcPr>
          <w:p>
            <w:pPr>
              <w:pStyle w:val="Normal"/>
              <w:widowControl w:val="false"/>
              <w:spacing w:lineRule="auto" w:line="240" w:before="0" w:after="0"/>
              <w:ind w:right="113"/>
              <w:rPr>
                <w:rFonts w:ascii="Times New Roman" w:hAnsi="Times New Roman"/>
              </w:rPr>
            </w:pPr>
            <w:bookmarkStart w:id="19" w:name="ФИОРуководителяКонтрагента"/>
            <w:bookmarkEnd w:id="19"/>
            <w:r>
              <w:rPr>
                <w:rFonts w:eastAsia="Times New Roman" w:ascii="Times New Roman" w:hAnsi="Times New Roman"/>
                <w:sz w:val="24"/>
                <w:szCs w:val="24"/>
                <w:lang w:eastAsia="ru-RU"/>
              </w:rPr>
              <w:t>Директор департамента информационных</w:t>
            </w:r>
          </w:p>
          <w:p>
            <w:pPr>
              <w:pStyle w:val="Normal"/>
              <w:widowControl w:val="false"/>
              <w:spacing w:lineRule="auto" w:line="240" w:before="0" w:after="0"/>
              <w:ind w:right="113"/>
              <w:rPr>
                <w:rFonts w:ascii="Times New Roman" w:hAnsi="Times New Roman"/>
              </w:rPr>
            </w:pPr>
            <w:r>
              <w:rPr>
                <w:rFonts w:eastAsia="Times New Roman" w:ascii="Times New Roman" w:hAnsi="Times New Roman"/>
                <w:sz w:val="24"/>
                <w:szCs w:val="24"/>
                <w:lang w:eastAsia="ru-RU"/>
              </w:rPr>
              <w:t>технологий и цифрового развития</w:t>
            </w:r>
          </w:p>
          <w:p>
            <w:pPr>
              <w:pStyle w:val="Normal"/>
              <w:widowControl w:val="false"/>
              <w:spacing w:lineRule="auto" w:line="240" w:before="0" w:after="0"/>
              <w:ind w:right="113"/>
              <w:rPr>
                <w:rFonts w:ascii="Times New Roman" w:hAnsi="Times New Roman"/>
              </w:rPr>
            </w:pPr>
            <w:r>
              <w:rPr>
                <w:rFonts w:eastAsia="Times New Roman" w:ascii="Times New Roman" w:hAnsi="Times New Roman"/>
                <w:sz w:val="24"/>
                <w:szCs w:val="24"/>
                <w:lang w:val="en-US" w:eastAsia="ru-RU"/>
              </w:rPr>
              <w:t>ПАО «РусГидро»</w:t>
            </w:r>
          </w:p>
        </w:tc>
      </w:tr>
      <w:tr>
        <w:trPr>
          <w:trHeight w:val="256" w:hRule="atLeast"/>
        </w:trPr>
        <w:tc>
          <w:tcPr>
            <w:tcW w:w="4924" w:type="dxa"/>
            <w:gridSpan w:val="2"/>
            <w:tcBorders/>
          </w:tcPr>
          <w:p>
            <w:pPr>
              <w:pStyle w:val="Normal"/>
              <w:widowControl w:val="false"/>
              <w:spacing w:lineRule="auto" w:line="240" w:before="0" w:after="0"/>
              <w:ind w:left="57"/>
              <w:rPr>
                <w:rFonts w:ascii="Times New Roman" w:hAnsi="Times New Roman" w:eastAsia="Times New Roman"/>
                <w:sz w:val="24"/>
                <w:szCs w:val="24"/>
                <w:lang w:eastAsia="ru-RU"/>
              </w:rPr>
            </w:pPr>
            <w:r>
              <w:rPr/>
            </w:r>
          </w:p>
        </w:tc>
        <w:tc>
          <w:tcPr>
            <w:tcW w:w="6255" w:type="dxa"/>
            <w:gridSpan w:val="2"/>
            <w:tcBorders/>
          </w:tcPr>
          <w:p>
            <w:pPr>
              <w:pStyle w:val="Normal"/>
              <w:widowControl w:val="false"/>
              <w:spacing w:lineRule="auto" w:line="240" w:before="0" w:after="0"/>
              <w:ind w:left="113" w:right="113"/>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widowControl w:val="false"/>
              <w:spacing w:lineRule="auto" w:line="240" w:before="0" w:after="0"/>
              <w:ind w:right="1757"/>
              <w:jc w:val="both"/>
              <w:rPr>
                <w:rFonts w:ascii="Times New Roman" w:hAnsi="Times New Roman"/>
              </w:rPr>
            </w:pPr>
            <w:r>
              <w:rPr>
                <w:rFonts w:eastAsia="Times New Roman" w:ascii="Times New Roman" w:hAnsi="Times New Roman"/>
                <w:sz w:val="24"/>
                <w:szCs w:val="24"/>
                <w:lang w:val="en-US" w:eastAsia="ru-RU"/>
              </w:rPr>
              <w:t>___________________/С.В. Хомяков/</w:t>
            </w:r>
          </w:p>
        </w:tc>
      </w:tr>
    </w:tbl>
    <w:p>
      <w:pPr>
        <w:sectPr>
          <w:headerReference w:type="default" r:id="rId3"/>
          <w:type w:val="nextPage"/>
          <w:pgSz w:w="11906" w:h="16838"/>
          <w:pgMar w:left="1418" w:right="1134" w:gutter="0" w:header="680" w:top="737" w:footer="0" w:bottom="851"/>
          <w:pgNumType w:fmt="decimal"/>
          <w:formProt w:val="false"/>
          <w:textDirection w:val="lrTb"/>
          <w:docGrid w:type="default" w:linePitch="100" w:charSpace="0"/>
        </w:sectPr>
        <w:pStyle w:val="Normal"/>
        <w:tabs>
          <w:tab w:val="clear" w:pos="708"/>
          <w:tab w:val="left" w:pos="4775" w:leader="none"/>
        </w:tabs>
        <w:spacing w:lineRule="auto" w:line="240" w:before="0" w:after="0"/>
        <w:jc w:val="center"/>
        <w:rPr>
          <w:rFonts w:ascii="Times New Roman" w:hAnsi="Times New Roman"/>
        </w:rPr>
      </w:pPr>
      <w:r>
        <w:rPr>
          <w:rFonts w:eastAsia="Times New Roman" w:cs="Arial" w:ascii="Times New Roman" w:hAnsi="Times New Roman"/>
          <w:sz w:val="24"/>
          <w:szCs w:val="24"/>
          <w:lang w:eastAsia="ru-RU"/>
        </w:rPr>
        <w:t xml:space="preserve">                                </w:t>
      </w:r>
    </w:p>
    <w:p>
      <w:pPr>
        <w:pStyle w:val="Normal"/>
        <w:tabs>
          <w:tab w:val="clear" w:pos="708"/>
          <w:tab w:val="left" w:pos="4775" w:leader="none"/>
          <w:tab w:val="left" w:pos="10915" w:leader="none"/>
        </w:tabs>
        <w:spacing w:lineRule="auto" w:line="240" w:before="0" w:after="0"/>
        <w:ind w:right="340"/>
        <w:jc w:val="right"/>
        <w:rPr>
          <w:rFonts w:ascii="Times New Roman" w:hAnsi="Times New Roman"/>
        </w:rPr>
      </w:pPr>
      <w:r>
        <w:rPr>
          <w:rFonts w:eastAsia="Times New Roman" w:ascii="Times New Roman" w:hAnsi="Times New Roman"/>
          <w:sz w:val="24"/>
          <w:szCs w:val="24"/>
          <w:lang w:eastAsia="ru-RU"/>
        </w:rPr>
        <w:t>Приложение № 1</w:t>
      </w:r>
    </w:p>
    <w:p>
      <w:pPr>
        <w:pStyle w:val="Normal"/>
        <w:tabs>
          <w:tab w:val="clear" w:pos="708"/>
          <w:tab w:val="left" w:pos="4775" w:leader="none"/>
        </w:tabs>
        <w:spacing w:lineRule="auto" w:line="240" w:before="0" w:after="0"/>
        <w:ind w:right="340"/>
        <w:jc w:val="right"/>
        <w:rPr>
          <w:rFonts w:ascii="Times New Roman" w:hAnsi="Times New Roman"/>
        </w:rPr>
      </w:pPr>
      <w:r>
        <w:rPr>
          <w:rFonts w:eastAsia="Times New Roman" w:ascii="Times New Roman" w:hAnsi="Times New Roman"/>
          <w:sz w:val="24"/>
          <w:szCs w:val="24"/>
          <w:lang w:eastAsia="ru-RU"/>
        </w:rPr>
        <w:t>к Сублицензионному договору №______________/  </w:t>
      </w:r>
    </w:p>
    <w:p>
      <w:pPr>
        <w:pStyle w:val="Normal"/>
        <w:tabs>
          <w:tab w:val="clear" w:pos="708"/>
          <w:tab w:val="left" w:pos="4775" w:leader="none"/>
        </w:tabs>
        <w:spacing w:lineRule="auto" w:line="240" w:before="0" w:after="0"/>
        <w:ind w:right="340"/>
        <w:jc w:val="right"/>
        <w:rPr>
          <w:rFonts w:ascii="Times New Roman" w:hAnsi="Times New Roman"/>
        </w:rPr>
      </w:pPr>
      <w:r>
        <w:rPr>
          <w:rFonts w:eastAsia="Times New Roman" w:ascii="Times New Roman" w:hAnsi="Times New Roman"/>
          <w:sz w:val="24"/>
          <w:szCs w:val="24"/>
          <w:lang w:eastAsia="ru-RU"/>
        </w:rPr>
        <w:t>от «____» _________ 202__ г.</w:t>
      </w:r>
    </w:p>
    <w:p>
      <w:pPr>
        <w:pStyle w:val="Normal"/>
        <w:tabs>
          <w:tab w:val="clear" w:pos="708"/>
          <w:tab w:val="left" w:pos="4775" w:leader="none"/>
        </w:tabs>
        <w:spacing w:lineRule="auto" w:line="240" w:before="0" w:after="0"/>
        <w:ind w:right="-286"/>
        <w:jc w:val="center"/>
        <w:rPr>
          <w:rFonts w:ascii="Times New Roman" w:hAnsi="Times New Roman" w:eastAsia="Times New Roman"/>
          <w:b/>
          <w:bCs/>
          <w:lang w:eastAsia="ru-RU"/>
        </w:rPr>
      </w:pPr>
      <w:r>
        <w:rPr>
          <w:rFonts w:eastAsia="Times New Roman" w:ascii="Times New Roman" w:hAnsi="Times New Roman"/>
          <w:b/>
          <w:bCs/>
          <w:lang w:eastAsia="ru-RU"/>
        </w:rPr>
      </w:r>
    </w:p>
    <w:p>
      <w:pPr>
        <w:pStyle w:val="Normal"/>
        <w:tabs>
          <w:tab w:val="clear" w:pos="708"/>
          <w:tab w:val="left" w:pos="4775" w:leader="none"/>
        </w:tabs>
        <w:spacing w:lineRule="auto" w:line="240" w:before="0" w:after="0"/>
        <w:ind w:right="-286"/>
        <w:jc w:val="center"/>
        <w:rPr>
          <w:rFonts w:ascii="Times New Roman" w:hAnsi="Times New Roman"/>
        </w:rPr>
      </w:pPr>
      <w:r>
        <w:rPr>
          <w:rFonts w:eastAsia="Times New Roman" w:ascii="Times New Roman" w:hAnsi="Times New Roman"/>
          <w:b/>
          <w:bCs/>
          <w:lang w:eastAsia="ru-RU"/>
        </w:rPr>
        <w:t>Спецификация</w:t>
      </w:r>
    </w:p>
    <w:p>
      <w:pPr>
        <w:pStyle w:val="Normal"/>
        <w:tabs>
          <w:tab w:val="clear" w:pos="708"/>
          <w:tab w:val="left" w:pos="4775" w:leader="none"/>
        </w:tabs>
        <w:spacing w:lineRule="auto" w:line="240" w:before="0" w:after="0"/>
        <w:ind w:left="-284" w:right="-286"/>
        <w:jc w:val="both"/>
        <w:rPr>
          <w:rFonts w:ascii="Times New Roman" w:hAnsi="Times New Roman"/>
        </w:rPr>
      </w:pPr>
      <w:r>
        <w:rPr>
          <w:rFonts w:ascii="Times New Roman" w:hAnsi="Times New Roman"/>
        </w:rPr>
      </w:r>
    </w:p>
    <w:tbl>
      <w:tblPr>
        <w:tblW w:w="10376" w:type="dxa"/>
        <w:jc w:val="left"/>
        <w:tblInd w:w="676" w:type="dxa"/>
        <w:tblLayout w:type="fixed"/>
        <w:tblCellMar>
          <w:top w:w="0" w:type="dxa"/>
          <w:left w:w="108" w:type="dxa"/>
          <w:bottom w:w="0" w:type="dxa"/>
          <w:right w:w="108" w:type="dxa"/>
        </w:tblCellMar>
        <w:tblLook w:val="04a0" w:noHBand="0" w:noVBand="1" w:firstColumn="1" w:lastRow="0" w:lastColumn="0" w:firstRow="1"/>
      </w:tblPr>
      <w:tblGrid>
        <w:gridCol w:w="406"/>
        <w:gridCol w:w="2322"/>
        <w:gridCol w:w="495"/>
        <w:gridCol w:w="495"/>
        <w:gridCol w:w="1035"/>
        <w:gridCol w:w="1148"/>
        <w:gridCol w:w="7"/>
        <w:gridCol w:w="865"/>
        <w:gridCol w:w="864"/>
        <w:gridCol w:w="1258"/>
        <w:gridCol w:w="34"/>
        <w:gridCol w:w="1446"/>
      </w:tblGrid>
      <w:tr>
        <w:trPr>
          <w:trHeight w:val="809"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lang w:val="en-US"/>
              </w:rPr>
            </w:pPr>
            <w:r>
              <w:rPr>
                <w:rFonts w:eastAsia="Times New Roman" w:ascii="Times New Roman" w:hAnsi="Times New Roman"/>
                <w:b/>
                <w:bCs/>
                <w:lang w:eastAsia="ru-RU"/>
              </w:rPr>
              <w:t>№</w:t>
            </w:r>
          </w:p>
        </w:tc>
        <w:tc>
          <w:tcPr>
            <w:tcW w:w="2322"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
                <w:bCs/>
                <w:lang w:eastAsia="ru-RU"/>
              </w:rPr>
            </w:pPr>
            <w:r>
              <w:rPr>
                <w:rFonts w:eastAsia="Times New Roman" w:ascii="Times New Roman" w:hAnsi="Times New Roman"/>
                <w:b/>
                <w:bCs/>
                <w:lang w:eastAsia="ru-RU"/>
              </w:rPr>
              <w:t>Наименование</w:t>
            </w:r>
          </w:p>
          <w:p>
            <w:pPr>
              <w:pStyle w:val="Normal"/>
              <w:tabs>
                <w:tab w:val="clear" w:pos="708"/>
                <w:tab w:val="left" w:pos="4775" w:leader="none"/>
              </w:tabs>
              <w:spacing w:lineRule="auto" w:line="240" w:before="0" w:after="0"/>
              <w:ind w:right="-286"/>
              <w:rPr>
                <w:lang w:val="en-US"/>
              </w:rPr>
            </w:pPr>
            <w:r>
              <w:rPr>
                <w:rFonts w:eastAsia="Times New Roman" w:ascii="Times New Roman" w:hAnsi="Times New Roman"/>
                <w:b/>
                <w:bCs/>
                <w:lang w:eastAsia="ru-RU"/>
              </w:rPr>
              <w:t>передаваемых прав</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59" w:right="-286"/>
              <w:rPr>
                <w:rFonts w:ascii="Times New Roman" w:hAnsi="Times New Roman" w:eastAsia="Times New Roman"/>
                <w:b/>
                <w:bCs/>
                <w:lang w:eastAsia="ru-RU"/>
              </w:rPr>
            </w:pPr>
            <w:r>
              <w:rPr>
                <w:rFonts w:eastAsia="Times New Roman" w:ascii="Times New Roman" w:hAnsi="Times New Roman"/>
                <w:b/>
                <w:bCs/>
                <w:lang w:eastAsia="ru-RU"/>
              </w:rPr>
              <w:t>Ед. изм.</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29" w:right="-286"/>
              <w:rPr>
                <w:rFonts w:ascii="Times New Roman" w:hAnsi="Times New Roman" w:eastAsia="Times New Roman"/>
                <w:b/>
                <w:bCs/>
                <w:lang w:eastAsia="ru-RU"/>
              </w:rPr>
            </w:pPr>
            <w:r>
              <w:rPr>
                <w:rFonts w:eastAsia="Times New Roman" w:ascii="Times New Roman" w:hAnsi="Times New Roman"/>
                <w:b/>
                <w:bCs/>
                <w:lang w:eastAsia="ru-RU"/>
              </w:rPr>
              <w:t>Кол-во</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jc w:val="center"/>
              <w:rPr>
                <w:rFonts w:ascii="Times New Roman" w:hAnsi="Times New Roman" w:eastAsia="Times New Roman"/>
                <w:b/>
                <w:bCs/>
                <w:lang w:eastAsia="ru-RU"/>
              </w:rPr>
            </w:pPr>
            <w:r>
              <w:rPr>
                <w:rFonts w:eastAsia="Times New Roman" w:ascii="Times New Roman" w:hAnsi="Times New Roman"/>
                <w:b/>
                <w:bCs/>
                <w:lang w:eastAsia="ru-RU"/>
              </w:rPr>
              <w:t>Цена</w:t>
            </w:r>
          </w:p>
          <w:p>
            <w:pPr>
              <w:pStyle w:val="Normal"/>
              <w:tabs>
                <w:tab w:val="clear" w:pos="708"/>
                <w:tab w:val="left" w:pos="4775" w:leader="none"/>
              </w:tabs>
              <w:spacing w:lineRule="auto" w:line="240" w:before="0" w:after="0"/>
              <w:ind w:left="-101" w:right="-110"/>
              <w:jc w:val="center"/>
              <w:rPr>
                <w:rFonts w:ascii="Times New Roman" w:hAnsi="Times New Roman" w:eastAsia="Times New Roman"/>
                <w:b/>
                <w:bCs/>
                <w:lang w:eastAsia="ru-RU"/>
              </w:rPr>
            </w:pPr>
            <w:r>
              <w:rPr>
                <w:rFonts w:eastAsia="Times New Roman" w:ascii="Times New Roman" w:hAnsi="Times New Roman"/>
                <w:b/>
                <w:bCs/>
                <w:lang w:eastAsia="ru-RU"/>
              </w:rPr>
              <w:t>(без НДС), руб.</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2" w:right="-74"/>
              <w:rPr>
                <w:rFonts w:ascii="Times New Roman" w:hAnsi="Times New Roman" w:eastAsia="Times New Roman"/>
                <w:b/>
                <w:bCs/>
                <w:lang w:eastAsia="ru-RU"/>
              </w:rPr>
            </w:pPr>
            <w:r>
              <w:rPr>
                <w:rFonts w:eastAsia="Times New Roman" w:ascii="Times New Roman" w:hAnsi="Times New Roman"/>
                <w:b/>
                <w:bCs/>
                <w:lang w:eastAsia="ru-RU"/>
              </w:rPr>
              <w:t>Стоимость (без НДС), руб.</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113" w:right="-136"/>
              <w:jc w:val="center"/>
              <w:rPr>
                <w:rFonts w:ascii="Times New Roman" w:hAnsi="Times New Roman" w:eastAsia="Times New Roman"/>
                <w:b/>
                <w:bCs/>
                <w:lang w:eastAsia="ru-RU"/>
              </w:rPr>
            </w:pPr>
            <w:r>
              <w:rPr>
                <w:rFonts w:eastAsia="Times New Roman" w:ascii="Times New Roman" w:hAnsi="Times New Roman"/>
                <w:b/>
                <w:bCs/>
                <w:lang w:eastAsia="ru-RU"/>
              </w:rPr>
              <w:t>Ставка НДС</w:t>
            </w:r>
          </w:p>
          <w:p>
            <w:pPr>
              <w:pStyle w:val="Normal"/>
              <w:tabs>
                <w:tab w:val="clear" w:pos="708"/>
                <w:tab w:val="left" w:pos="4775" w:leader="none"/>
              </w:tabs>
              <w:spacing w:lineRule="auto" w:line="240" w:before="0" w:after="0"/>
              <w:ind w:right="-286"/>
              <w:jc w:val="center"/>
              <w:rPr>
                <w:lang w:val="en-US"/>
              </w:rPr>
            </w:pPr>
            <w:r>
              <w:rPr>
                <w:lang w:val="en-US"/>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104" w:right="-130"/>
              <w:jc w:val="center"/>
              <w:rPr>
                <w:lang w:val="en-US"/>
              </w:rPr>
            </w:pPr>
            <w:r>
              <w:rPr>
                <w:rFonts w:eastAsia="Times New Roman" w:ascii="Times New Roman" w:hAnsi="Times New Roman"/>
                <w:b/>
                <w:bCs/>
                <w:lang w:eastAsia="ru-RU"/>
              </w:rPr>
              <w:t>НДС, руб.</w:t>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eastAsia="Times New Roman"/>
                <w:b/>
                <w:bCs/>
                <w:lang w:eastAsia="ru-RU"/>
              </w:rPr>
            </w:pPr>
            <w:r>
              <w:rPr>
                <w:rFonts w:eastAsia="Times New Roman" w:ascii="Times New Roman" w:hAnsi="Times New Roman"/>
                <w:b/>
                <w:bCs/>
                <w:lang w:eastAsia="ru-RU"/>
              </w:rPr>
              <w:t>Итоговая стоимость, руб.</w:t>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76"/>
              <w:rPr/>
            </w:pPr>
            <w:r>
              <w:rPr>
                <w:rFonts w:eastAsia="Times New Roman" w:ascii="Times New Roman" w:hAnsi="Times New Roman"/>
                <w:b/>
                <w:bCs/>
                <w:lang w:eastAsia="ru-RU"/>
              </w:rPr>
              <w:t>Примечание</w:t>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1</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программы для ЭВМ «ГРАНД-Смета», выпущенных в течение года (№ 08290 255, Одно рабочее место, 14.05.2027, артикул О4771, Запись в Реестре Российского ПО №11163)</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2</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БД «ФСНБ-2022 в формате программы для ЭВМ «ГРАНД-Смета»», выпущенных в течение года (№ 08290 255, актуализация, Одно рабочее место, 14.05.2027, артикул О4636, Запись в Реестре Российского ПО №16408)</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3</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БД «Справочники базовых цен на проектные работы для строительства в формате программы для ЭВМ «Программный комплекс «ГРАНД-Смета»», выпущенных в течение года (поставщик информации: ОАО "ЦЕНТРИНВЕСТпроект") (№ 08290 255, Одно рабочее место, 14.05.2027, артикул О4783, Запись в Реестре Российского ПО №20152)</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4</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БД «Укрупненные нормативы» в формате программы для ЭВМ «ГРАНД-Смета» (НЦС-2026) (№ 08290 255, Одно рабочее место, артикул О5113, Запись в Реестре Российского ПО №17625)</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5</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программы для ЭВМ «ГРАНД-Смета», выпущенных в течение года (№ 08291 255, Одно рабочее место, 14.05.2027, артикул О4771, Запись в Реестре Российского ПО №11163)</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6</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БД «ФСНБ-2022 в формате программы для ЭВМ «ГРАНД-Смета»», выпущенных в течение года (№ 08291 255, актуализация, Одно рабочее место, 14.05.2027, артикул О4636, Запись в Реестре Российского ПО №16408)</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7</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БД «Справочники базовых цен на проектные работы для строительства в формате программы для ЭВМ «Программный комплекс «ГРАНД-Смета»», выпущенных в течение года (поставщик информации: ОАО "ЦЕНТРИНВЕСТпроект") (№ 08291 255, Одно рабочее место, 14.05.2027, артикул О4783, Запись в Реестре Российского ПО №20152)</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8</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программы для ЭВМ «ГРАНД-Смета», выпущенных в течение года (№ 02864 254, Одно рабочее место, 14.05.2027, артикул О4771, Запись в Реестре Российского ПО №11163)</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9</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БД «ФСНБ-2022 в формате программы для ЭВМ «ГРАНД-Смета»», выпущенных в течение года (№ 02864 254, актуализация, Одно рабочее место, 14.05.2027, артикул О4636, Запись в Реестре Российского ПО №16408)</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10</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БД «Справочники базовых цен на проектные работы для строительства в формате программы для ЭВМ «Программный комплекс «ГРАНД-Смета»», выпущенных в течение года (поставщик информации: ОАО "ЦЕНТРИНВЕСТпроект") (№ 02864 254, Одно рабочее место, 14.05.2027, артикул О4783, Запись в Реестре Российского ПО №20152)</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11</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программы для ЭВМ «ГРАНД-Смета», выпущенных в течение года (№ 02865 254, Одно рабочее место, 14.05.2027, артикул О4771, Запись в Реестре Российского ПО №11163)</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12</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БД «ФСНБ-2022 в формате программы для ЭВМ «ГРАНД-Смета»», выпущенных в течение года (№ 02865 254, актуализация, Одно рабочее место, 14.05.2027, артикул О4636, Запись в Реестре Российского ПО №16408)</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13</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БД «Справочники базовых цен на проектные работы для строительства в формате программы для ЭВМ «Программный комплекс «ГРАНД-Смета»», выпущенных в течение года (поставщик информации: ОАО "ЦЕНТРИНВЕСТпроект") (№ 02865 254, Одно рабочее место, 14.05.2027, артикул О4783, Запись в Реестре Российского ПО №20152)</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14</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программы для ЭВМ «ГРАНД-Смета», версия 2026.1 (Одно рабочее место, артикул О5104, Запись в Реестре Российского ПО №11163)</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15</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дополнительных функциональных возможностей программы для ЭВМ «ГРАНД-Смета»: работа в совместимых с программой «ГРАНД-Смета» операционных системах Linux (Одно рабочее место, артикул О4770, Запись в Реестре Российского ПО №11163)</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16</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программы для ЭВМ «ГРАНД-Смета», выпущенных в течение года (Одно рабочее место, артикул О4771, Запись в Реестре Российского ПО №11163)</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17</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БД «ФСНБ-2022 в формате программы для ЭВМ «ГРАНД-Смета»» (с Изм.1-17, Одно рабочее место, артикул О5101, Запись в Реестре Российского ПО №16408)</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18</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БД «ФСНБ-2022 в формате программы для ЭВМ «ГРАНД-Смета»», выпущенных в течение года (актуализация, Одно рабочее место, артикул О4636, Запись в Реестре Российского ПО №16408)</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19</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БД «Справочники базовых цен на проектные работы для строительства в формате программы для ЭВМ «Программный комплекс «ГРАНД-Смета»» (поставщик информации: ОАО "ЦЕНТРИНВЕСТпроект") (Одно рабочее место, артикул О1934, Запись в Реестре Российского ПО №20152)</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20</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БД «Справочники базовых цен на проектные работы для строительства в формате программы для ЭВМ «Программный комплекс «ГРАНД-Смета»», выпущенных в течение года (поставщик информации: ОАО "ЦЕНТРИНВЕСТпроект") (Одно рабочее место, артикул О4783, Запись в Реестре Российского ПО №20152)</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21</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БД «Ведомственные и отраслевые нормативы» в формате программы для ЭВМ «ГРАНД-Смета». Раздел «Базовые цены на работы по ремонту энергетического оборудования» Части 1-22 с Доп. 1-14 с систематизированным обзором разъяснений по вопросам применения за 2004-2018 гг. (Одно рабочее место, артикул О4684, Запись в Реестре Российского ПО №17666)</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22</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программы для ЭВМ «ГРАНД-Смета», выпущенных в течение года (№ 00113 256, Одно рабочее место, 14.05.2027, артикул О4771, Запись в Реестре Российского ПО №11163)</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23</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БД «ФСНБ-2022 в формате программы для ЭВМ «ГРАНД-Смета»», выпущенных в течение года (№ 00113 256, актуализация, Одно рабочее место, 14.05.2027, артикул О4636, Запись в Реестре Российского ПО №16408)</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24</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БД «Справочники базовых цен на проектные работы для строительства в формате программы для ЭВМ «Программный комплекс «ГРАНД-Смета»», выпущенных в течение года (поставщик информации: ОАО "ЦЕНТРИНВЕСТпроект") (№ 00113 256, Одно рабочее место, 14.05.2027, артикул О4783, Запись в Реестре Российского ПО №20152)</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25</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программы для ЭВМ «ГРАНД-Смета», выпущенных в течение года (№ 08288 255, Одно рабочее место, 14.05.2027, артикул О4771, Запись в Реестре Российского ПО №11163)</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26</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БД «ФСНБ-2022 в формате программы для ЭВМ «ГРАНД-Смета»», выпущенных в течение года (№ 08288 255, актуализация, Одно рабочее место, 14.05.2027, артикул О4636, Запись в Реестре Российского ПО №16408)</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27</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БД «Справочники базовых цен на проектные работы для строительства в формате программы для ЭВМ «Программный комплекс «ГРАНД-Смета»», выпущенных в течение года (поставщик информации: ОАО "ЦЕНТРИНВЕСТпроект") (№ 08288 255, Одно рабочее место, 14.05.2027, артикул О4783, Запись в Реестре Российского ПО №20152)</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28</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БД «Укрупненные нормативы» в формате программы для ЭВМ «ГРАНД-Смета» (НЦС-2026) (№ 08288 255, Одно рабочее место, артикул О5113, Запись в Реестре Российского ПО №17625)</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29</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программы для ЭВМ «ГРАНД-Смета», выпущенных в течение года (№ 02863 254, Одно рабочее место, 14.05.2027, артикул О4771, Запись в Реестре Российского ПО №11163)</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30</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БД «ФСНБ-2022 в формате программы для ЭВМ «ГРАНД-Смета»», выпущенных в течение года (№ 02863 254, актуализация, Одно рабочее место, 14.05.2027, артикул О4636, Запись в Реестре Российского ПО №16408)</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31</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БД «Справочники базовых цен на проектные работы для строительства в формате программы для ЭВМ «Программный комплекс «ГРАНД-Смета»», выпущенных в течение года (поставщик информации: ОАО "ЦЕНТРИНВЕСТпроект") (№ 02863 254, Одно рабочее место, 14.05.2027, артикул О4783, Запись в Реестре Российского ПО №20152)</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32</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программы для ЭВМ «ГРАНД-Смета», выпущенных в течение года (№ 08289 255, Одно рабочее место, 14.05.2027, артикул О4771, Запись в Реестре Российского ПО №11163)</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33</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БД «ФСНБ-2022 в формате программы для ЭВМ «ГРАНД-Смета»», выпущенных в течение года (№ 08289 255, актуализация, Одно рабочее место, 14.05.2027, артикул О4636, Запись в Реестре Российского ПО №16408)</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34</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БД «Справочники базовых цен на проектные работы для строительства в формате программы для ЭВМ «Программный комплекс «ГРАНД-Смета»», выпущенных в течение года (поставщик информации: ОАО "ЦЕНТРИНВЕСТпроект") (№ 08289 255, Одно рабочее место, 14.05.2027, артикул О4783, Запись в Реестре Российского ПО №20152)</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35</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программы для ЭВМ «ГРАНД-Смета», выпущенных в течение года (№ 08292 255, Одно рабочее место, 14.05.2027, артикул О4771, Запись в Реестре Российского ПО №11163)</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36</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БД «ФСНБ-2022 в формате программы для ЭВМ «ГРАНД-Смета»», выпущенных в течение года (№ 08292 255, актуализация, Одно рабочее место, 14.05.2027, артикул О4636, Запись в Реестре Российского ПО №16408)</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37</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новых версий БД «Справочники базовых цен на проектные работы для строительства в формате программы для ЭВМ «Программный комплекс «ГРАНД-Смета»», выпущенных в течение года (поставщик информации: ОАО "ЦЕНТРИНВЕСТпроект") (№ 08292 255, Одно рабочее место, 14.05.2027, артикул О4783, Запись в Реестре Российского ПО №20152)</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253" w:hRule="atLeast"/>
        </w:trPr>
        <w:tc>
          <w:tcPr>
            <w:tcW w:w="40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38</w:t>
            </w:r>
          </w:p>
        </w:tc>
        <w:tc>
          <w:tcPr>
            <w:tcW w:w="232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39"/>
              <w:rPr>
                <w:rFonts w:ascii="Times New Roman" w:hAnsi="Times New Roman"/>
                <w:sz w:val="18"/>
                <w:szCs w:val="18"/>
              </w:rPr>
            </w:pPr>
            <w:r>
              <w:rPr>
                <w:rFonts w:ascii="Times New Roman" w:hAnsi="Times New Roman"/>
                <w:sz w:val="18"/>
                <w:szCs w:val="18"/>
              </w:rPr>
              <w:t>Право на использование БД «Укрупненные нормативы» в формате программы для ЭВМ «ГРАНД-Смета» (НЦС-2026) (№ 08292 255, Одно рабочее место, артикул О5113, Запись в Реестре Российского ПО №17625)</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шт</w:t>
            </w:r>
          </w:p>
        </w:tc>
        <w:tc>
          <w:tcPr>
            <w:tcW w:w="49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jc w:val="both"/>
              <w:rPr>
                <w:rFonts w:ascii="Times New Roman" w:hAnsi="Times New Roman"/>
                <w:sz w:val="18"/>
                <w:szCs w:val="18"/>
              </w:rPr>
            </w:pPr>
            <w:r>
              <w:rPr>
                <w:rFonts w:ascii="Times New Roman" w:hAnsi="Times New Roman"/>
                <w:sz w:val="18"/>
                <w:szCs w:val="18"/>
              </w:rPr>
              <w:t>1</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left="-33" w:right="-286"/>
              <w:rPr>
                <w:rFonts w:ascii="Times New Roman" w:hAnsi="Times New Roman"/>
                <w:sz w:val="18"/>
                <w:szCs w:val="18"/>
              </w:rPr>
            </w:pPr>
            <w:r>
              <w:rPr/>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sz w:val="18"/>
                <w:szCs w:val="18"/>
              </w:rPr>
            </w:pPr>
            <w:r>
              <w:rPr/>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ind w:right="-286"/>
              <w:rPr>
                <w:rFonts w:ascii="Times New Roman" w:hAnsi="Times New Roman" w:eastAsia="Times New Roman"/>
                <w:bCs/>
                <w:sz w:val="18"/>
                <w:szCs w:val="18"/>
                <w:lang w:eastAsia="ru-RU"/>
              </w:rPr>
            </w:pPr>
            <w:r>
              <w:rPr/>
            </w:r>
          </w:p>
        </w:tc>
        <w:tc>
          <w:tcPr>
            <w:tcW w:w="14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775" w:leader="none"/>
              </w:tabs>
              <w:spacing w:lineRule="auto" w:line="240" w:before="0" w:after="0"/>
              <w:rPr>
                <w:rFonts w:ascii="Times New Roman" w:hAnsi="Times New Roman"/>
                <w:bCs/>
                <w:sz w:val="18"/>
                <w:szCs w:val="18"/>
              </w:rPr>
            </w:pPr>
            <w:r>
              <w:rPr/>
            </w:r>
          </w:p>
        </w:tc>
      </w:tr>
      <w:tr>
        <w:trPr>
          <w:trHeight w:val="134" w:hRule="atLeast"/>
        </w:trPr>
        <w:tc>
          <w:tcPr>
            <w:tcW w:w="5908" w:type="dxa"/>
            <w:gridSpan w:val="7"/>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r>
          </w:p>
        </w:tc>
        <w:tc>
          <w:tcPr>
            <w:tcW w:w="86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ИТОГО:</w:t>
            </w:r>
          </w:p>
        </w:tc>
        <w:tc>
          <w:tcPr>
            <w:tcW w:w="864"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286"/>
              <w:rPr>
                <w:rFonts w:ascii="Times New Roman" w:hAnsi="Times New Roman"/>
                <w:sz w:val="18"/>
                <w:szCs w:val="18"/>
              </w:rPr>
            </w:pPr>
            <w:r>
              <w:rPr>
                <w:rFonts w:ascii="Times New Roman" w:hAnsi="Times New Roman"/>
                <w:sz w:val="18"/>
                <w:szCs w:val="18"/>
              </w:rPr>
              <w:t>-</w:t>
            </w:r>
          </w:p>
        </w:tc>
        <w:tc>
          <w:tcPr>
            <w:tcW w:w="1292" w:type="dxa"/>
            <w:gridSpan w:val="2"/>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right="-284"/>
              <w:rPr>
                <w:rFonts w:ascii="Times New Roman" w:hAnsi="Times New Roman"/>
                <w:sz w:val="18"/>
                <w:szCs w:val="18"/>
              </w:rPr>
            </w:pPr>
            <w:r>
              <w:rPr/>
            </w:r>
          </w:p>
        </w:tc>
        <w:tc>
          <w:tcPr>
            <w:tcW w:w="144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4775" w:leader="none"/>
              </w:tabs>
              <w:spacing w:lineRule="auto" w:line="240" w:before="0" w:after="0"/>
              <w:ind w:left="31"/>
              <w:rPr>
                <w:rFonts w:ascii="Times New Roman" w:hAnsi="Times New Roman"/>
                <w:sz w:val="18"/>
                <w:szCs w:val="18"/>
              </w:rPr>
            </w:pPr>
            <w:r>
              <w:rPr>
                <w:rFonts w:ascii="Times New Roman" w:hAnsi="Times New Roman"/>
                <w:sz w:val="18"/>
                <w:szCs w:val="18"/>
              </w:rPr>
            </w:r>
          </w:p>
        </w:tc>
      </w:tr>
    </w:tbl>
    <w:p>
      <w:pPr>
        <w:pStyle w:val="Normal"/>
        <w:tabs>
          <w:tab w:val="clear" w:pos="708"/>
          <w:tab w:val="left" w:pos="4775" w:leader="none"/>
        </w:tabs>
        <w:spacing w:lineRule="auto" w:line="240" w:before="0" w:after="0"/>
        <w:ind w:left="567" w:right="-286"/>
        <w:jc w:val="both"/>
        <w:rPr>
          <w:rFonts w:ascii="Times New Roman" w:hAnsi="Times New Roman"/>
          <w:sz w:val="24"/>
          <w:szCs w:val="24"/>
        </w:rPr>
      </w:pPr>
      <w:r>
        <w:rPr>
          <w:rFonts w:ascii="Times New Roman" w:hAnsi="Times New Roman"/>
          <w:sz w:val="24"/>
          <w:szCs w:val="24"/>
        </w:rPr>
      </w:r>
    </w:p>
    <w:p>
      <w:pPr>
        <w:pStyle w:val="Normal"/>
        <w:numPr>
          <w:ilvl w:val="0"/>
          <w:numId w:val="2"/>
        </w:numPr>
        <w:spacing w:lineRule="auto" w:line="240" w:before="0" w:after="60"/>
        <w:ind w:hanging="0" w:left="567" w:right="227"/>
        <w:jc w:val="both"/>
        <w:rPr>
          <w:rFonts w:ascii="Times New Roman" w:hAnsi="Times New Roman"/>
        </w:rPr>
      </w:pPr>
      <w:r>
        <w:rPr>
          <w:rFonts w:eastAsia="Times New Roman" w:ascii="Times New Roman" w:hAnsi="Times New Roman"/>
          <w:sz w:val="24"/>
          <w:szCs w:val="24"/>
          <w:lang w:eastAsia="ru-RU"/>
        </w:rPr>
        <w:t xml:space="preserve">Итого сумма, подлежащая уплате по договору: </w:t>
      </w:r>
    </w:p>
    <w:p>
      <w:pPr>
        <w:pStyle w:val="Normal"/>
        <w:numPr>
          <w:ilvl w:val="0"/>
          <w:numId w:val="2"/>
        </w:numPr>
        <w:spacing w:lineRule="auto" w:line="240" w:before="0" w:after="60"/>
        <w:ind w:hanging="0" w:left="567" w:right="227"/>
        <w:jc w:val="both"/>
        <w:rPr>
          <w:rFonts w:ascii="Times New Roman" w:hAnsi="Times New Roman"/>
        </w:rPr>
      </w:pPr>
      <w:r>
        <w:rPr>
          <w:rFonts w:eastAsia="Times New Roman" w:ascii="Times New Roman" w:hAnsi="Times New Roman"/>
          <w:sz w:val="24"/>
          <w:szCs w:val="24"/>
          <w:lang w:eastAsia="ru-RU"/>
        </w:rPr>
        <w:t>Порядок предоставления прав:</w:t>
      </w:r>
    </w:p>
    <w:p>
      <w:pPr>
        <w:pStyle w:val="Normal"/>
        <w:spacing w:lineRule="auto" w:line="240" w:before="0" w:after="60"/>
        <w:ind w:left="567" w:right="227"/>
        <w:jc w:val="both"/>
        <w:rPr>
          <w:rFonts w:ascii="Times New Roman" w:hAnsi="Times New Roman"/>
        </w:rPr>
      </w:pPr>
      <w:r>
        <w:rPr>
          <w:rFonts w:ascii="Times New Roman" w:hAnsi="Times New Roman"/>
          <w:sz w:val="24"/>
          <w:szCs w:val="24"/>
        </w:rPr>
        <w:t>- Предоставление права использования программ для ЭВМ и баз данных сопровождается передачей Лицензиатом Пользователю правомерно введенных в гражданский оборот сопроводительных материалов, обеспечивающих возможность использования программ для ЭВМ и баз данных (DVD-дисков, USB-ключей), и/или ссылок на интернет-ресурс для загрузки файлов с дистрибутивами программ для ЭВМ и баз данных, и/или инструкций, и/или эксплуатационной документации, и/или файлов-лицензий, и/или активационных электронных/электронно-цифровых паролей/ключей доступа и/или иной информации).</w:t>
      </w:r>
    </w:p>
    <w:p>
      <w:pPr>
        <w:pStyle w:val="ListParagraph"/>
        <w:spacing w:lineRule="auto" w:line="240" w:before="0" w:after="60"/>
        <w:ind w:left="567" w:right="227"/>
        <w:contextualSpacing w:val="false"/>
        <w:jc w:val="both"/>
        <w:rPr>
          <w:rFonts w:ascii="Times New Roman" w:hAnsi="Times New Roman"/>
        </w:rPr>
      </w:pPr>
      <w:r>
        <w:rPr>
          <w:rFonts w:ascii="Times New Roman" w:hAnsi="Times New Roman"/>
          <w:sz w:val="24"/>
          <w:szCs w:val="24"/>
        </w:rPr>
        <w:t xml:space="preserve">- Передача сопроводительных материалов на материальном носителе (если применимо) осуществляется по адресу места нахождения Лицензиата: 660022, Красноярский край, г.о. город Красноярск, г. Красноярск, ул. Партизана Железняка, зд. 26Б, оф.4-01.                                                  </w:t>
      </w:r>
    </w:p>
    <w:p>
      <w:pPr>
        <w:pStyle w:val="ListParagraph"/>
        <w:spacing w:lineRule="auto" w:line="240" w:before="0" w:after="60"/>
        <w:ind w:left="567" w:right="227"/>
        <w:contextualSpacing w:val="false"/>
        <w:jc w:val="both"/>
        <w:rPr>
          <w:rFonts w:ascii="Times New Roman" w:hAnsi="Times New Roman"/>
        </w:rPr>
      </w:pPr>
      <w:r>
        <w:rPr>
          <w:rFonts w:ascii="Times New Roman" w:hAnsi="Times New Roman"/>
          <w:sz w:val="24"/>
          <w:szCs w:val="24"/>
        </w:rPr>
        <w:t xml:space="preserve">- Передача сопроводительных материалов в электронном виде (если применимо) осуществляется по электронным каналам связи (по сети Интернет, и/или посредством адреса электронной почты Пользователя: </w:t>
      </w:r>
      <w:r>
        <w:rPr>
          <w:rFonts w:eastAsia="Times New Roman" w:ascii="Times New Roman" w:hAnsi="Times New Roman"/>
          <w:sz w:val="24"/>
          <w:szCs w:val="24"/>
          <w:lang w:eastAsia="ru-RU"/>
        </w:rPr>
        <w:t>MarusenkoKS@rushydro.ru</w:t>
      </w:r>
      <w:r>
        <w:rPr>
          <w:rFonts w:ascii="Times New Roman" w:hAnsi="Times New Roman"/>
          <w:sz w:val="24"/>
          <w:szCs w:val="24"/>
        </w:rPr>
        <w:t xml:space="preserve">. </w:t>
      </w:r>
    </w:p>
    <w:p>
      <w:pPr>
        <w:pStyle w:val="ListParagraph"/>
        <w:spacing w:lineRule="auto" w:line="240" w:before="0" w:after="60"/>
        <w:ind w:left="567" w:right="284"/>
        <w:contextualSpacing w:val="false"/>
        <w:jc w:val="both"/>
        <w:rPr>
          <w:rFonts w:ascii="Times New Roman" w:hAnsi="Times New Roman"/>
          <w:sz w:val="24"/>
          <w:szCs w:val="24"/>
        </w:rPr>
      </w:pPr>
      <w:r>
        <w:rPr>
          <w:rFonts w:ascii="Times New Roman" w:hAnsi="Times New Roman"/>
          <w:sz w:val="24"/>
          <w:szCs w:val="24"/>
        </w:rPr>
      </w:r>
      <w:bookmarkStart w:id="22" w:name="МестоПредоставления"/>
      <w:bookmarkStart w:id="23" w:name="ПорядокПредоставленияПрав2_Копия_1"/>
      <w:bookmarkStart w:id="24" w:name="МестоПредоставления"/>
      <w:bookmarkStart w:id="25" w:name="ПорядокПредоставленияПрав2_Копия_1"/>
      <w:bookmarkEnd w:id="24"/>
      <w:bookmarkEnd w:id="25"/>
    </w:p>
    <w:p>
      <w:pPr>
        <w:pStyle w:val="ListParagraph"/>
        <w:spacing w:lineRule="auto" w:line="240" w:before="0" w:after="60"/>
        <w:ind w:left="567" w:right="284"/>
        <w:contextualSpacing w:val="false"/>
        <w:jc w:val="both"/>
        <w:rPr>
          <w:rFonts w:ascii="Times New Roman" w:hAnsi="Times New Roman"/>
          <w:sz w:val="24"/>
          <w:szCs w:val="24"/>
        </w:rPr>
      </w:pPr>
      <w:r>
        <w:rPr>
          <w:rFonts w:ascii="Times New Roman" w:hAnsi="Times New Roman"/>
          <w:sz w:val="24"/>
          <w:szCs w:val="24"/>
        </w:rPr>
      </w:r>
    </w:p>
    <w:tbl>
      <w:tblPr>
        <w:tblpPr w:vertAnchor="text" w:horzAnchor="margin" w:leftFromText="180" w:rightFromText="180" w:tblpX="0" w:tblpY="32"/>
        <w:tblW w:w="1116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400"/>
        <w:gridCol w:w="2405"/>
        <w:gridCol w:w="467"/>
        <w:gridCol w:w="5892"/>
      </w:tblGrid>
      <w:tr>
        <w:trPr>
          <w:trHeight w:val="261" w:hRule="atLeast"/>
        </w:trPr>
        <w:tc>
          <w:tcPr>
            <w:tcW w:w="4805" w:type="dxa"/>
            <w:gridSpan w:val="2"/>
            <w:tcBorders/>
          </w:tcPr>
          <w:p>
            <w:pPr>
              <w:pStyle w:val="Normal"/>
              <w:widowControl w:val="false"/>
              <w:spacing w:lineRule="auto" w:line="240" w:before="0" w:after="0"/>
              <w:ind w:left="567"/>
              <w:jc w:val="center"/>
              <w:rPr>
                <w:rFonts w:ascii="Times New Roman" w:hAnsi="Times New Roman"/>
              </w:rPr>
            </w:pPr>
            <w:r>
              <w:rPr>
                <w:rFonts w:eastAsia="Times New Roman" w:ascii="Times New Roman" w:hAnsi="Times New Roman"/>
                <w:b/>
                <w:bCs/>
                <w:sz w:val="24"/>
                <w:szCs w:val="24"/>
                <w:lang w:eastAsia="ru-RU"/>
              </w:rPr>
              <w:t>Лицензиат:</w:t>
            </w:r>
          </w:p>
        </w:tc>
        <w:tc>
          <w:tcPr>
            <w:tcW w:w="467" w:type="dxa"/>
            <w:tcBorders/>
          </w:tcPr>
          <w:p>
            <w:pPr>
              <w:pStyle w:val="Normal"/>
              <w:widowControl w:val="false"/>
              <w:spacing w:lineRule="auto" w:line="240" w:before="0" w:after="0"/>
              <w:ind w:left="567"/>
              <w:jc w:val="center"/>
              <w:rPr>
                <w:rFonts w:ascii="Times New Roman" w:hAnsi="Times New Roman" w:eastAsia="Times New Roman"/>
                <w:b/>
                <w:bCs/>
                <w:sz w:val="24"/>
                <w:szCs w:val="24"/>
                <w:lang w:eastAsia="ru-RU"/>
              </w:rPr>
            </w:pPr>
            <w:r>
              <w:rPr>
                <w:rFonts w:eastAsia="Times New Roman" w:ascii="Times New Roman" w:hAnsi="Times New Roman"/>
                <w:b/>
                <w:bCs/>
                <w:sz w:val="24"/>
                <w:szCs w:val="24"/>
                <w:lang w:eastAsia="ru-RU"/>
              </w:rPr>
            </w:r>
          </w:p>
        </w:tc>
        <w:tc>
          <w:tcPr>
            <w:tcW w:w="5892" w:type="dxa"/>
            <w:tcBorders/>
          </w:tcPr>
          <w:p>
            <w:pPr>
              <w:pStyle w:val="Normal"/>
              <w:widowControl w:val="false"/>
              <w:spacing w:lineRule="auto" w:line="240" w:before="0" w:after="0"/>
              <w:ind w:left="567"/>
              <w:jc w:val="center"/>
              <w:rPr>
                <w:rFonts w:ascii="Times New Roman" w:hAnsi="Times New Roman"/>
              </w:rPr>
            </w:pPr>
            <w:r>
              <w:rPr>
                <w:rFonts w:eastAsia="Times New Roman" w:ascii="Times New Roman" w:hAnsi="Times New Roman"/>
                <w:b/>
                <w:bCs/>
                <w:sz w:val="24"/>
                <w:szCs w:val="24"/>
                <w:lang w:eastAsia="ru-RU"/>
              </w:rPr>
              <w:t>Пользователь:</w:t>
            </w:r>
          </w:p>
        </w:tc>
      </w:tr>
      <w:tr>
        <w:trPr>
          <w:trHeight w:val="523" w:hRule="atLeast"/>
        </w:trPr>
        <w:tc>
          <w:tcPr>
            <w:tcW w:w="4805" w:type="dxa"/>
            <w:gridSpan w:val="2"/>
            <w:tcBorders/>
          </w:tcPr>
          <w:p>
            <w:pPr>
              <w:pStyle w:val="Normal"/>
              <w:widowControl w:val="false"/>
              <w:spacing w:lineRule="auto" w:line="240" w:before="0" w:after="0"/>
              <w:ind w:left="567"/>
              <w:jc w:val="both"/>
              <w:rPr>
                <w:rFonts w:ascii="Times New Roman" w:hAnsi="Times New Roman"/>
              </w:rPr>
            </w:pPr>
            <w:r>
              <w:rPr>
                <w:rFonts w:eastAsia="Times New Roman" w:ascii="Times New Roman" w:hAnsi="Times New Roman"/>
                <w:sz w:val="24"/>
                <w:szCs w:val="24"/>
                <w:lang w:val="en-US" w:eastAsia="ru-RU"/>
              </w:rPr>
            </w:r>
            <w:bookmarkStart w:id="26" w:name="АдресОрганизацииПриложение"/>
            <w:bookmarkStart w:id="27" w:name="АдресОрганизацииПриложение"/>
            <w:bookmarkEnd w:id="27"/>
          </w:p>
        </w:tc>
        <w:tc>
          <w:tcPr>
            <w:tcW w:w="467" w:type="dxa"/>
            <w:tcBorders/>
          </w:tcPr>
          <w:p>
            <w:pPr>
              <w:pStyle w:val="Normal"/>
              <w:widowControl w:val="false"/>
              <w:spacing w:lineRule="auto" w:line="240" w:before="0" w:after="0"/>
              <w:ind w:left="567"/>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5892" w:type="dxa"/>
            <w:tcBorders/>
          </w:tcPr>
          <w:p>
            <w:pPr>
              <w:pStyle w:val="Normal"/>
              <w:widowControl w:val="false"/>
              <w:spacing w:lineRule="auto" w:line="240" w:before="0" w:after="0"/>
              <w:ind w:left="567"/>
              <w:jc w:val="both"/>
              <w:rPr>
                <w:rFonts w:ascii="Times New Roman" w:hAnsi="Times New Roman"/>
              </w:rPr>
            </w:pPr>
            <w:bookmarkStart w:id="28" w:name="НаименованиеКонтрагентаПриложение"/>
            <w:bookmarkEnd w:id="28"/>
            <w:r>
              <w:rPr>
                <w:rFonts w:eastAsia="Times New Roman" w:ascii="Times New Roman" w:hAnsi="Times New Roman"/>
                <w:sz w:val="24"/>
                <w:szCs w:val="24"/>
                <w:lang w:val="en-US" w:eastAsia="ru-RU"/>
              </w:rPr>
              <w:t xml:space="preserve">ПАО </w:t>
            </w:r>
            <w:r>
              <w:rPr>
                <w:rFonts w:eastAsia="Times New Roman" w:ascii="Times New Roman" w:hAnsi="Times New Roman"/>
                <w:sz w:val="24"/>
                <w:szCs w:val="24"/>
                <w:lang w:eastAsia="ru-RU"/>
              </w:rPr>
              <w:t>«</w:t>
            </w:r>
            <w:r>
              <w:rPr>
                <w:rFonts w:eastAsia="Times New Roman" w:ascii="Times New Roman" w:hAnsi="Times New Roman"/>
                <w:sz w:val="24"/>
                <w:szCs w:val="24"/>
                <w:lang w:val="en-US" w:eastAsia="ru-RU"/>
              </w:rPr>
              <w:t>РусГидро»</w:t>
            </w:r>
          </w:p>
          <w:p>
            <w:pPr>
              <w:pStyle w:val="Normal"/>
              <w:widowControl w:val="false"/>
              <w:spacing w:lineRule="auto" w:line="240" w:before="0" w:after="0"/>
              <w:ind w:left="567"/>
              <w:jc w:val="both"/>
              <w:rPr>
                <w:rFonts w:ascii="Times New Roman" w:hAnsi="Times New Roman" w:eastAsia="Times New Roman"/>
                <w:sz w:val="24"/>
                <w:szCs w:val="24"/>
                <w:lang w:val="en-US" w:eastAsia="ru-RU"/>
              </w:rPr>
            </w:pPr>
            <w:r>
              <w:rPr>
                <w:rFonts w:eastAsia="Times New Roman" w:ascii="Times New Roman" w:hAnsi="Times New Roman"/>
                <w:sz w:val="24"/>
                <w:szCs w:val="24"/>
                <w:lang w:val="en-US" w:eastAsia="ru-RU"/>
              </w:rPr>
            </w:r>
            <w:bookmarkStart w:id="29" w:name="АдресКонтрагентаПриложение"/>
            <w:bookmarkStart w:id="30" w:name="АдресКонтрагентаПриложение"/>
            <w:bookmarkEnd w:id="30"/>
          </w:p>
        </w:tc>
      </w:tr>
      <w:tr>
        <w:trPr>
          <w:trHeight w:val="246" w:hRule="atLeast"/>
        </w:trPr>
        <w:tc>
          <w:tcPr>
            <w:tcW w:w="2400" w:type="dxa"/>
            <w:tcBorders/>
          </w:tcPr>
          <w:p>
            <w:pPr>
              <w:pStyle w:val="Normal"/>
              <w:widowControl w:val="false"/>
              <w:spacing w:lineRule="auto" w:line="240" w:before="0" w:after="0"/>
              <w:ind w:left="567"/>
              <w:jc w:val="both"/>
              <w:rPr>
                <w:rFonts w:ascii="Times New Roman" w:hAnsi="Times New Roman" w:eastAsia="Times New Roman"/>
                <w:sz w:val="24"/>
                <w:szCs w:val="24"/>
                <w:lang w:val="en-US" w:eastAsia="ru-RU"/>
              </w:rPr>
            </w:pPr>
            <w:r>
              <w:rPr>
                <w:rFonts w:eastAsia="Times New Roman" w:ascii="Times New Roman" w:hAnsi="Times New Roman"/>
                <w:sz w:val="24"/>
                <w:szCs w:val="24"/>
                <w:lang w:val="en-US" w:eastAsia="ru-RU"/>
              </w:rPr>
            </w:r>
            <w:bookmarkStart w:id="31" w:name="МестоПечатиПриложение"/>
            <w:bookmarkStart w:id="32" w:name="МестоПечатиПриложение"/>
            <w:bookmarkEnd w:id="32"/>
          </w:p>
        </w:tc>
        <w:tc>
          <w:tcPr>
            <w:tcW w:w="2405" w:type="dxa"/>
            <w:tcBorders/>
          </w:tcPr>
          <w:p>
            <w:pPr>
              <w:pStyle w:val="Normal"/>
              <w:widowControl w:val="false"/>
              <w:spacing w:lineRule="auto" w:line="240" w:before="0" w:after="0"/>
              <w:ind w:left="567"/>
              <w:jc w:val="both"/>
              <w:rPr>
                <w:rFonts w:ascii="Times New Roman" w:hAnsi="Times New Roman" w:eastAsia="Times New Roman"/>
                <w:sz w:val="24"/>
                <w:szCs w:val="24"/>
                <w:lang w:val="en-US" w:eastAsia="ru-RU"/>
              </w:rPr>
            </w:pPr>
            <w:r>
              <w:rPr>
                <w:rFonts w:eastAsia="Times New Roman" w:ascii="Times New Roman" w:hAnsi="Times New Roman"/>
                <w:sz w:val="24"/>
                <w:szCs w:val="24"/>
                <w:lang w:val="en-US" w:eastAsia="ru-RU"/>
              </w:rPr>
            </w:r>
            <w:bookmarkStart w:id="33" w:name="МестоПодписиПриложение2"/>
            <w:bookmarkStart w:id="34" w:name="МестоПодписиПриложение2"/>
            <w:bookmarkEnd w:id="34"/>
          </w:p>
        </w:tc>
        <w:tc>
          <w:tcPr>
            <w:tcW w:w="467" w:type="dxa"/>
            <w:tcBorders/>
          </w:tcPr>
          <w:p>
            <w:pPr>
              <w:pStyle w:val="Normal"/>
              <w:widowControl w:val="false"/>
              <w:spacing w:lineRule="auto" w:line="240" w:before="0" w:after="0"/>
              <w:ind w:left="567"/>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5892" w:type="dxa"/>
            <w:tcBorders/>
          </w:tcPr>
          <w:p>
            <w:pPr>
              <w:pStyle w:val="Normal"/>
              <w:widowControl w:val="false"/>
              <w:spacing w:lineRule="auto" w:line="240" w:before="0" w:after="0"/>
              <w:ind w:left="567"/>
              <w:jc w:val="both"/>
              <w:rPr>
                <w:rFonts w:ascii="Times New Roman" w:hAnsi="Times New Roman" w:eastAsia="Times New Roman"/>
                <w:sz w:val="24"/>
                <w:szCs w:val="24"/>
                <w:lang w:val="en-US" w:eastAsia="ru-RU"/>
              </w:rPr>
            </w:pPr>
            <w:r>
              <w:rPr>
                <w:rFonts w:eastAsia="Times New Roman" w:ascii="Times New Roman" w:hAnsi="Times New Roman"/>
                <w:sz w:val="24"/>
                <w:szCs w:val="24"/>
                <w:lang w:val="en-US" w:eastAsia="ru-RU"/>
              </w:rPr>
            </w:r>
          </w:p>
        </w:tc>
      </w:tr>
      <w:tr>
        <w:trPr>
          <w:trHeight w:val="261" w:hRule="atLeast"/>
        </w:trPr>
        <w:tc>
          <w:tcPr>
            <w:tcW w:w="4805" w:type="dxa"/>
            <w:gridSpan w:val="2"/>
            <w:tcBorders/>
          </w:tcPr>
          <w:p>
            <w:pPr>
              <w:pStyle w:val="Normal"/>
              <w:widowControl w:val="false"/>
              <w:spacing w:lineRule="auto" w:line="240" w:before="0" w:after="0"/>
              <w:ind w:left="567"/>
              <w:jc w:val="both"/>
              <w:rPr>
                <w:rFonts w:ascii="Times New Roman" w:hAnsi="Times New Roman"/>
              </w:rPr>
            </w:pPr>
            <w:r>
              <w:rPr>
                <w:rFonts w:eastAsia="Times New Roman" w:ascii="Times New Roman" w:hAnsi="Times New Roman"/>
                <w:sz w:val="24"/>
                <w:szCs w:val="24"/>
                <w:lang w:val="en-US" w:eastAsia="ru-RU"/>
              </w:rPr>
            </w:r>
          </w:p>
        </w:tc>
        <w:tc>
          <w:tcPr>
            <w:tcW w:w="467" w:type="dxa"/>
            <w:tcBorders/>
          </w:tcPr>
          <w:p>
            <w:pPr>
              <w:pStyle w:val="Normal"/>
              <w:widowControl w:val="false"/>
              <w:spacing w:lineRule="auto" w:line="240" w:before="0" w:after="0"/>
              <w:ind w:left="567"/>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5892" w:type="dxa"/>
            <w:tcBorders/>
          </w:tcPr>
          <w:p>
            <w:pPr>
              <w:pStyle w:val="Normal"/>
              <w:widowControl w:val="false"/>
              <w:spacing w:lineRule="auto" w:line="240" w:before="0" w:after="0"/>
              <w:ind w:left="567"/>
              <w:rPr>
                <w:rFonts w:ascii="Times New Roman" w:hAnsi="Times New Roman"/>
              </w:rPr>
            </w:pPr>
            <w:bookmarkStart w:id="35" w:name="ФИОРуководителяКонтрагентаПриложение"/>
            <w:bookmarkEnd w:id="35"/>
            <w:r>
              <w:rPr>
                <w:rFonts w:eastAsia="Times New Roman" w:ascii="Times New Roman" w:hAnsi="Times New Roman"/>
                <w:sz w:val="24"/>
                <w:szCs w:val="24"/>
                <w:lang w:eastAsia="ru-RU"/>
              </w:rPr>
              <w:t>Директор департамента информационных технологий и цифрового развития</w:t>
            </w:r>
          </w:p>
          <w:p>
            <w:pPr>
              <w:pStyle w:val="Normal"/>
              <w:widowControl w:val="false"/>
              <w:spacing w:lineRule="auto" w:line="240" w:before="0" w:after="0"/>
              <w:ind w:left="567"/>
              <w:jc w:val="both"/>
              <w:rPr>
                <w:rFonts w:ascii="Times New Roman" w:hAnsi="Times New Roman"/>
              </w:rPr>
            </w:pPr>
            <w:r>
              <w:rPr>
                <w:rFonts w:eastAsia="Times New Roman" w:ascii="Times New Roman" w:hAnsi="Times New Roman"/>
                <w:sz w:val="24"/>
                <w:szCs w:val="24"/>
                <w:lang w:val="en-US" w:eastAsia="ru-RU"/>
              </w:rPr>
              <w:t>ПАО «РусГидро»</w:t>
            </w:r>
          </w:p>
        </w:tc>
      </w:tr>
      <w:tr>
        <w:trPr>
          <w:trHeight w:val="261" w:hRule="atLeast"/>
        </w:trPr>
        <w:tc>
          <w:tcPr>
            <w:tcW w:w="4805" w:type="dxa"/>
            <w:gridSpan w:val="2"/>
            <w:tcBorders/>
          </w:tcPr>
          <w:p>
            <w:pPr>
              <w:pStyle w:val="Normal"/>
              <w:widowControl w:val="false"/>
              <w:spacing w:lineRule="auto" w:line="240" w:before="0" w:after="0"/>
              <w:ind w:left="567"/>
              <w:jc w:val="both"/>
              <w:rPr>
                <w:rFonts w:ascii="Times New Roman" w:hAnsi="Times New Roman" w:eastAsia="Times New Roman"/>
                <w:sz w:val="24"/>
                <w:szCs w:val="24"/>
                <w:lang w:eastAsia="ru-RU"/>
              </w:rPr>
            </w:pPr>
            <w:r>
              <w:rPr/>
            </w:r>
          </w:p>
        </w:tc>
        <w:tc>
          <w:tcPr>
            <w:tcW w:w="467" w:type="dxa"/>
            <w:tcBorders/>
          </w:tcPr>
          <w:p>
            <w:pPr>
              <w:pStyle w:val="Normal"/>
              <w:widowControl w:val="false"/>
              <w:spacing w:lineRule="auto" w:line="240" w:before="0" w:after="0"/>
              <w:ind w:left="567"/>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5892" w:type="dxa"/>
            <w:tcBorders/>
          </w:tcPr>
          <w:p>
            <w:pPr>
              <w:pStyle w:val="Normal"/>
              <w:widowControl w:val="false"/>
              <w:spacing w:lineRule="auto" w:line="240" w:before="0" w:after="0"/>
              <w:ind w:left="567"/>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widowControl w:val="false"/>
              <w:spacing w:lineRule="auto" w:line="240" w:before="0" w:after="0"/>
              <w:ind w:left="567"/>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widowControl w:val="false"/>
              <w:spacing w:lineRule="auto" w:line="240" w:before="0" w:after="0"/>
              <w:ind w:left="567"/>
              <w:jc w:val="both"/>
              <w:rPr>
                <w:rFonts w:ascii="Times New Roman" w:hAnsi="Times New Roman"/>
              </w:rPr>
            </w:pPr>
            <w:r>
              <w:rPr>
                <w:rFonts w:eastAsia="Times New Roman" w:ascii="Times New Roman" w:hAnsi="Times New Roman"/>
                <w:sz w:val="24"/>
                <w:szCs w:val="24"/>
                <w:lang w:val="en-US" w:eastAsia="ru-RU"/>
              </w:rPr>
              <w:t>__________________ /С.В. Хомяков /</w:t>
            </w:r>
          </w:p>
        </w:tc>
      </w:tr>
      <w:tr>
        <w:trPr>
          <w:trHeight w:val="261" w:hRule="atLeast"/>
        </w:trPr>
        <w:tc>
          <w:tcPr>
            <w:tcW w:w="4805" w:type="dxa"/>
            <w:gridSpan w:val="2"/>
            <w:tcBorders/>
          </w:tcPr>
          <w:p>
            <w:pPr>
              <w:pStyle w:val="Normal"/>
              <w:widowControl w:val="false"/>
              <w:spacing w:lineRule="auto" w:line="240" w:before="0" w:after="0"/>
              <w:ind w:left="567"/>
              <w:jc w:val="both"/>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c>
          <w:tcPr>
            <w:tcW w:w="467" w:type="dxa"/>
            <w:tcBorders/>
          </w:tcPr>
          <w:p>
            <w:pPr>
              <w:pStyle w:val="Normal"/>
              <w:widowControl w:val="false"/>
              <w:spacing w:lineRule="auto" w:line="240" w:before="0" w:after="0"/>
              <w:ind w:left="567"/>
              <w:jc w:val="both"/>
              <w:rPr>
                <w:rFonts w:ascii="Times New Roman" w:hAnsi="Times New Roman" w:eastAsia="Times New Roman"/>
                <w:lang w:eastAsia="ru-RU"/>
              </w:rPr>
            </w:pPr>
            <w:r>
              <w:rPr>
                <w:rFonts w:eastAsia="Times New Roman" w:ascii="Times New Roman" w:hAnsi="Times New Roman"/>
                <w:lang w:eastAsia="ru-RU"/>
              </w:rPr>
            </w:r>
          </w:p>
        </w:tc>
        <w:tc>
          <w:tcPr>
            <w:tcW w:w="5892" w:type="dxa"/>
            <w:tcBorders/>
          </w:tcPr>
          <w:p>
            <w:pPr>
              <w:pStyle w:val="Normal"/>
              <w:widowControl w:val="false"/>
              <w:spacing w:lineRule="auto" w:line="240" w:before="0" w:after="0"/>
              <w:ind w:left="567"/>
              <w:jc w:val="both"/>
              <w:rPr>
                <w:rFonts w:ascii="Times New Roman" w:hAnsi="Times New Roman" w:eastAsia="Times New Roman"/>
                <w:sz w:val="20"/>
                <w:szCs w:val="20"/>
                <w:lang w:eastAsia="ru-RU"/>
              </w:rPr>
            </w:pPr>
            <w:r>
              <w:rPr>
                <w:rFonts w:eastAsia="Times New Roman" w:ascii="Times New Roman" w:hAnsi="Times New Roman"/>
                <w:sz w:val="20"/>
                <w:szCs w:val="20"/>
                <w:lang w:eastAsia="ru-RU"/>
              </w:rPr>
            </w:r>
          </w:p>
        </w:tc>
      </w:tr>
    </w:tbl>
    <w:p>
      <w:pPr>
        <w:pStyle w:val="ListParagraph"/>
        <w:spacing w:lineRule="auto" w:line="240" w:before="0" w:after="60"/>
        <w:ind w:left="567" w:right="284"/>
        <w:contextualSpacing w:val="false"/>
        <w:jc w:val="both"/>
        <w:rPr>
          <w:rFonts w:ascii="Times New Roman" w:hAnsi="Times New Roman"/>
          <w:sz w:val="24"/>
          <w:szCs w:val="24"/>
        </w:rPr>
      </w:pPr>
      <w:r>
        <w:rPr>
          <w:rFonts w:ascii="Times New Roman" w:hAnsi="Times New Roman"/>
          <w:sz w:val="24"/>
          <w:szCs w:val="24"/>
        </w:rPr>
      </w:r>
    </w:p>
    <w:p>
      <w:pPr>
        <w:pStyle w:val="ListParagraph"/>
        <w:spacing w:lineRule="auto" w:line="240" w:before="0" w:after="60"/>
        <w:ind w:left="567" w:right="284"/>
        <w:contextualSpacing w:val="false"/>
        <w:jc w:val="both"/>
        <w:rPr>
          <w:rFonts w:ascii="Times New Roman" w:hAnsi="Times New Roman"/>
          <w:sz w:val="24"/>
          <w:szCs w:val="24"/>
        </w:rPr>
      </w:pPr>
      <w:r>
        <w:rPr>
          <w:rFonts w:ascii="Times New Roman" w:hAnsi="Times New Roman"/>
          <w:sz w:val="24"/>
          <w:szCs w:val="24"/>
        </w:rPr>
      </w:r>
    </w:p>
    <w:p>
      <w:pPr>
        <w:pStyle w:val="ListParagraph"/>
        <w:spacing w:lineRule="auto" w:line="240" w:before="0" w:after="60"/>
        <w:ind w:left="567" w:right="284"/>
        <w:contextualSpacing w:val="false"/>
        <w:jc w:val="both"/>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rPr>
      </w:pPr>
      <w:r>
        <w:rPr>
          <w:rFonts w:ascii="Times New Roman" w:hAnsi="Times New Roman"/>
        </w:rPr>
      </w:r>
    </w:p>
    <w:sectPr>
      <w:headerReference w:type="default" r:id="rId4"/>
      <w:headerReference w:type="first" r:id="rId5"/>
      <w:type w:val="nextPage"/>
      <w:pgSz w:w="11906" w:h="16838"/>
      <w:pgMar w:left="284" w:right="282" w:gutter="0" w:header="0" w:top="851"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Calibri">
    <w:charset w:val="01"/>
    <w:family w:val="roman"/>
    <w:pitch w:val="variable"/>
  </w:font>
  <w:font w:name="Liberation Sans">
    <w:altName w:val="Arial"/>
    <w:charset w:val="01"/>
    <w:family w:val="roman"/>
    <w:pitch w:val="variable"/>
  </w:font>
  <w:font w:name="Tahoma">
    <w:charset w:val="01"/>
    <w:family w:val="roman"/>
    <w:pitch w:val="variable"/>
  </w:font>
  <w:font w:name="OpenSymbol">
    <w:altName w:val="Arial Unicode MS"/>
    <w:charset w:val="01"/>
    <w:family w:val="roman"/>
    <w:pitch w:val="variable"/>
  </w:font>
  <w:font w:name="PT Sans">
    <w:charset w:val="01"/>
    <w:family w:val="swiss"/>
    <w:pitch w:val="variable"/>
  </w:font>
  <w:font w:name="Barcode">
    <w:charset w:val="01"/>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6"/>
      <w:rPr/>
    </w:pPr>
    <w:r>
      <w:rPr/>
    </w:r>
    <w:bookmarkStart w:id="20" w:name="ШтрихКод"/>
    <w:bookmarkStart w:id="21" w:name="ШтрихКод"/>
    <w:bookmarkEnd w:id="21"/>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sz w:val="24"/>
        <w:szCs w:val="24"/>
        <w:rFonts w:ascii="Times New Roman" w:hAnsi="Times New Roman"/>
      </w:rPr>
    </w:lvl>
    <w:lvl w:ilvl="1">
      <w:start w:val="1"/>
      <w:numFmt w:val="decimal"/>
      <w:suff w:val="nothing"/>
      <w:lvlText w:val="%1.%2."/>
      <w:lvlJc w:val="left"/>
      <w:pPr>
        <w:tabs>
          <w:tab w:val="num" w:pos="0"/>
        </w:tabs>
        <w:ind w:left="719" w:hanging="435"/>
      </w:pPr>
      <w:rPr>
        <w:sz w:val="24"/>
        <w:szCs w:val="24"/>
        <w:rFonts w:ascii="Times New Roman" w:hAnsi="Times New Roman"/>
      </w:rPr>
    </w:lvl>
    <w:lvl w:ilvl="2">
      <w:start w:val="1"/>
      <w:numFmt w:val="decimal"/>
      <w:lvlText w:val="%1.%2.%3."/>
      <w:lvlJc w:val="left"/>
      <w:pPr>
        <w:tabs>
          <w:tab w:val="num" w:pos="0"/>
        </w:tabs>
        <w:ind w:left="1428"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2">
    <w:lvl w:ilvl="0">
      <w:start w:val="1"/>
      <w:numFmt w:val="decimal"/>
      <w:lvlText w:val="%1."/>
      <w:lvlJc w:val="left"/>
      <w:pPr>
        <w:tabs>
          <w:tab w:val="num" w:pos="0"/>
        </w:tabs>
        <w:ind w:left="720" w:hanging="360"/>
      </w:pPr>
      <w:rPr/>
    </w:lvl>
    <w:lvl w:ilvl="1">
      <w:start w:val="1"/>
      <w:numFmt w:val="decimal"/>
      <w:lvlText w:val="%1.%2."/>
      <w:lvlJc w:val="left"/>
      <w:pPr>
        <w:tabs>
          <w:tab w:val="num" w:pos="0"/>
        </w:tabs>
        <w:ind w:left="795" w:hanging="435"/>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lineRule="auto" w:line="276" w:before="0" w:after="200"/>
      <w:jc w:val="left"/>
    </w:pPr>
    <w:rPr>
      <w:rFonts w:ascii="Calibri" w:hAnsi="Calibri" w:eastAsia="Calibri" w:cs="Times New Roman"/>
      <w:color w:val="auto"/>
      <w:kern w:val="0"/>
      <w:sz w:val="22"/>
      <w:szCs w:val="22"/>
      <w:lang w:eastAsia="en-US" w:val="ru-RU" w:bidi="ar-SA"/>
    </w:rPr>
  </w:style>
  <w:style w:type="paragraph" w:styleId="Heading1">
    <w:name w:val="Heading 1"/>
    <w:basedOn w:val="Normal"/>
    <w:next w:val="Normal"/>
    <w:link w:val="1"/>
    <w:uiPriority w:val="9"/>
    <w:qFormat/>
    <w:pPr>
      <w:keepNext w:val="true"/>
      <w:keepLines/>
      <w:spacing w:before="480" w:after="200"/>
      <w:outlineLvl w:val="0"/>
    </w:pPr>
    <w:rPr>
      <w:rFonts w:ascii="Liberation Sans" w:hAnsi="Liberation Sans" w:eastAsia="Liberation Sans" w:cs="Liberation Sans"/>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Liberation Sans" w:hAnsi="Liberation Sans" w:eastAsia="Liberation Sans" w:cs="Liberation Sans"/>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Liberation Sans" w:hAnsi="Liberation Sans" w:eastAsia="Liberation Sans" w:cs="Liberation Sans"/>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Liberation Sans" w:hAnsi="Liberation Sans" w:eastAsia="Liberation Sans" w:cs="Liberation Sans"/>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Liberation Sans" w:hAnsi="Liberation Sans" w:eastAsia="Liberation Sans" w:cs="Liberation Sans"/>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Liberation Sans" w:hAnsi="Liberation Sans" w:eastAsia="Liberation Sans" w:cs="Liberation Sans"/>
      <w:b/>
      <w:bCs/>
    </w:rPr>
  </w:style>
  <w:style w:type="paragraph" w:styleId="Heading7">
    <w:name w:val="Heading 7"/>
    <w:basedOn w:val="Normal"/>
    <w:next w:val="Normal"/>
    <w:link w:val="7"/>
    <w:uiPriority w:val="9"/>
    <w:unhideWhenUsed/>
    <w:qFormat/>
    <w:pPr>
      <w:keepNext w:val="true"/>
      <w:keepLines/>
      <w:spacing w:before="320" w:after="200"/>
      <w:outlineLvl w:val="6"/>
    </w:pPr>
    <w:rPr>
      <w:rFonts w:ascii="Liberation Sans" w:hAnsi="Liberation Sans" w:eastAsia="Liberation Sans" w:cs="Liberation Sans"/>
      <w:b/>
      <w:bCs/>
      <w:i/>
      <w:iCs/>
    </w:rPr>
  </w:style>
  <w:style w:type="paragraph" w:styleId="Heading8">
    <w:name w:val="Heading 8"/>
    <w:basedOn w:val="Normal"/>
    <w:next w:val="Normal"/>
    <w:link w:val="8"/>
    <w:uiPriority w:val="9"/>
    <w:unhideWhenUsed/>
    <w:qFormat/>
    <w:pPr>
      <w:keepNext w:val="true"/>
      <w:keepLines/>
      <w:spacing w:before="320" w:after="200"/>
      <w:outlineLvl w:val="7"/>
    </w:pPr>
    <w:rPr>
      <w:rFonts w:ascii="Liberation Sans" w:hAnsi="Liberation Sans" w:eastAsia="Liberation Sans" w:cs="Liberation Sans"/>
      <w:i/>
      <w:iCs/>
    </w:rPr>
  </w:style>
  <w:style w:type="paragraph" w:styleId="Heading9">
    <w:name w:val="Heading 9"/>
    <w:basedOn w:val="Normal"/>
    <w:next w:val="Normal"/>
    <w:link w:val="9"/>
    <w:uiPriority w:val="9"/>
    <w:unhideWhenUsed/>
    <w:qFormat/>
    <w:pPr>
      <w:keepNext w:val="true"/>
      <w:keepLines/>
      <w:spacing w:before="320" w:after="200"/>
      <w:outlineLvl w:val="8"/>
    </w:pPr>
    <w:rPr>
      <w:rFonts w:ascii="Liberation Sans" w:hAnsi="Liberation Sans" w:eastAsia="Liberation Sans" w:cs="Liberation Sans"/>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Liberation Sans" w:hAnsi="Liberation Sans" w:eastAsia="Liberation Sans" w:cs="Liberation Sans"/>
      <w:sz w:val="40"/>
      <w:szCs w:val="40"/>
    </w:rPr>
  </w:style>
  <w:style w:type="character" w:styleId="2" w:customStyle="1">
    <w:name w:val="Заголовок 2 Знак"/>
    <w:basedOn w:val="DefaultParagraphFont"/>
    <w:uiPriority w:val="9"/>
    <w:qFormat/>
    <w:rPr>
      <w:rFonts w:ascii="Liberation Sans" w:hAnsi="Liberation Sans" w:eastAsia="Liberation Sans" w:cs="Liberation Sans"/>
      <w:sz w:val="34"/>
    </w:rPr>
  </w:style>
  <w:style w:type="character" w:styleId="3" w:customStyle="1">
    <w:name w:val="Заголовок 3 Знак"/>
    <w:basedOn w:val="DefaultParagraphFont"/>
    <w:uiPriority w:val="9"/>
    <w:qFormat/>
    <w:rPr>
      <w:rFonts w:ascii="Liberation Sans" w:hAnsi="Liberation Sans" w:eastAsia="Liberation Sans" w:cs="Liberation Sans"/>
      <w:sz w:val="30"/>
      <w:szCs w:val="30"/>
    </w:rPr>
  </w:style>
  <w:style w:type="character" w:styleId="4" w:customStyle="1">
    <w:name w:val="Заголовок 4 Знак"/>
    <w:basedOn w:val="DefaultParagraphFont"/>
    <w:uiPriority w:val="9"/>
    <w:qFormat/>
    <w:rPr>
      <w:rFonts w:ascii="Liberation Sans" w:hAnsi="Liberation Sans" w:eastAsia="Liberation Sans" w:cs="Liberation Sans"/>
      <w:b/>
      <w:bCs/>
      <w:sz w:val="26"/>
      <w:szCs w:val="26"/>
    </w:rPr>
  </w:style>
  <w:style w:type="character" w:styleId="5" w:customStyle="1">
    <w:name w:val="Заголовок 5 Знак"/>
    <w:basedOn w:val="DefaultParagraphFont"/>
    <w:uiPriority w:val="9"/>
    <w:qFormat/>
    <w:rPr>
      <w:rFonts w:ascii="Liberation Sans" w:hAnsi="Liberation Sans" w:eastAsia="Liberation Sans" w:cs="Liberation Sans"/>
      <w:b/>
      <w:bCs/>
      <w:sz w:val="24"/>
      <w:szCs w:val="24"/>
    </w:rPr>
  </w:style>
  <w:style w:type="character" w:styleId="6" w:customStyle="1">
    <w:name w:val="Заголовок 6 Знак"/>
    <w:basedOn w:val="DefaultParagraphFont"/>
    <w:uiPriority w:val="9"/>
    <w:qFormat/>
    <w:rPr>
      <w:rFonts w:ascii="Liberation Sans" w:hAnsi="Liberation Sans" w:eastAsia="Liberation Sans" w:cs="Liberation Sans"/>
      <w:b/>
      <w:bCs/>
      <w:sz w:val="22"/>
      <w:szCs w:val="22"/>
    </w:rPr>
  </w:style>
  <w:style w:type="character" w:styleId="7" w:customStyle="1">
    <w:name w:val="Заголовок 7 Знак"/>
    <w:basedOn w:val="DefaultParagraphFont"/>
    <w:uiPriority w:val="9"/>
    <w:qFormat/>
    <w:rPr>
      <w:rFonts w:ascii="Liberation Sans" w:hAnsi="Liberation Sans" w:eastAsia="Liberation Sans" w:cs="Liberation Sans"/>
      <w:b/>
      <w:bCs/>
      <w:i/>
      <w:iCs/>
      <w:sz w:val="22"/>
      <w:szCs w:val="22"/>
    </w:rPr>
  </w:style>
  <w:style w:type="character" w:styleId="8" w:customStyle="1">
    <w:name w:val="Заголовок 8 Знак"/>
    <w:basedOn w:val="DefaultParagraphFont"/>
    <w:uiPriority w:val="9"/>
    <w:qFormat/>
    <w:rPr>
      <w:rFonts w:ascii="Liberation Sans" w:hAnsi="Liberation Sans" w:eastAsia="Liberation Sans" w:cs="Liberation Sans"/>
      <w:i/>
      <w:iCs/>
      <w:sz w:val="22"/>
      <w:szCs w:val="22"/>
    </w:rPr>
  </w:style>
  <w:style w:type="character" w:styleId="9" w:customStyle="1">
    <w:name w:val="Заголовок 9 Знак"/>
    <w:basedOn w:val="DefaultParagraphFont"/>
    <w:uiPriority w:val="9"/>
    <w:qFormat/>
    <w:rPr>
      <w:rFonts w:ascii="Liberation Sans" w:hAnsi="Liberation Sans" w:eastAsia="Liberation Sans" w:cs="Liberation Sans"/>
      <w:i/>
      <w:iCs/>
      <w:sz w:val="21"/>
      <w:szCs w:val="21"/>
    </w:rPr>
  </w:style>
  <w:style w:type="character" w:styleId="Style" w:customStyle="1">
    <w:name w:val="Заголовок Знак"/>
    <w:basedOn w:val="DefaultParagraphFont"/>
    <w:uiPriority w:val="10"/>
    <w:qFormat/>
    <w:rPr>
      <w:sz w:val="48"/>
      <w:szCs w:val="48"/>
    </w:rPr>
  </w:style>
  <w:style w:type="character" w:styleId="Style1"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2" w:customStyle="1">
    <w:name w:val="Выделенная цитата Знак"/>
    <w:link w:val="IntenseQuote"/>
    <w:uiPriority w:val="30"/>
    <w:qFormat/>
    <w:rPr>
      <w:i/>
    </w:rPr>
  </w:style>
  <w:style w:type="character" w:styleId="11" w:customStyle="1">
    <w:name w:val="Верхний колонтитул Знак1"/>
    <w:basedOn w:val="DefaultParagraphFont"/>
    <w:uiPriority w:val="99"/>
    <w:qFormat/>
    <w:rPr/>
  </w:style>
  <w:style w:type="character" w:styleId="12" w:customStyle="1">
    <w:name w:val="Нижний колонтитул Знак1"/>
    <w:basedOn w:val="DefaultParagraphFont"/>
    <w:uiPriority w:val="99"/>
    <w:qFormat/>
    <w:rPr/>
  </w:style>
  <w:style w:type="character" w:styleId="Style3" w:customStyle="1">
    <w:name w:val="Название объекта Знак"/>
    <w:basedOn w:val="DefaultParagraphFont"/>
    <w:link w:val="Caption11"/>
    <w:uiPriority w:val="35"/>
    <w:qFormat/>
    <w:rPr>
      <w:b/>
      <w:bCs/>
      <w:color w:val="4472C4" w:themeColor="accent1"/>
      <w:sz w:val="18"/>
      <w:szCs w:val="18"/>
    </w:rPr>
  </w:style>
  <w:style w:type="character" w:styleId="Style4" w:customStyle="1">
    <w:name w:val="Текст сноски Знак"/>
    <w:uiPriority w:val="99"/>
    <w:qFormat/>
    <w:rPr>
      <w:sz w:val="18"/>
    </w:rPr>
  </w:style>
  <w:style w:type="character" w:styleId="Style5" w:customStyle="1">
    <w:name w:val="Символ сноски"/>
    <w:uiPriority w:val="99"/>
    <w:unhideWhenUsed/>
    <w:qFormat/>
    <w:rPr>
      <w:vertAlign w:val="superscript"/>
    </w:rPr>
  </w:style>
  <w:style w:type="character" w:styleId="FootnoteReference">
    <w:name w:val="Footnote Reference"/>
    <w:rPr>
      <w:vertAlign w:val="superscript"/>
    </w:rPr>
  </w:style>
  <w:style w:type="character" w:styleId="Style6" w:customStyle="1">
    <w:name w:val="Текст концевой сноски Знак"/>
    <w:uiPriority w:val="99"/>
    <w:qFormat/>
    <w:rPr>
      <w:sz w:val="20"/>
    </w:rPr>
  </w:style>
  <w:style w:type="character" w:styleId="Style7" w:customStyle="1">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Style8" w:customStyle="1">
    <w:name w:val="Верхний колонтитул Знак"/>
    <w:uiPriority w:val="99"/>
    <w:qFormat/>
    <w:rPr>
      <w:sz w:val="22"/>
      <w:szCs w:val="22"/>
      <w:lang w:eastAsia="en-US"/>
    </w:rPr>
  </w:style>
  <w:style w:type="character" w:styleId="Style9" w:customStyle="1">
    <w:name w:val="Нижний колонтитул Знак"/>
    <w:uiPriority w:val="99"/>
    <w:qFormat/>
    <w:rPr>
      <w:sz w:val="22"/>
      <w:szCs w:val="22"/>
      <w:lang w:eastAsia="en-US"/>
    </w:rPr>
  </w:style>
  <w:style w:type="character" w:styleId="Style10" w:customStyle="1">
    <w:name w:val="Текст выноски Знак"/>
    <w:link w:val="BalloonText"/>
    <w:uiPriority w:val="99"/>
    <w:semiHidden/>
    <w:qFormat/>
    <w:rPr>
      <w:rFonts w:ascii="Tahoma" w:hAnsi="Tahoma" w:cs="Tahoma"/>
      <w:sz w:val="16"/>
      <w:szCs w:val="16"/>
      <w:lang w:eastAsia="en-US"/>
    </w:rPr>
  </w:style>
  <w:style w:type="character" w:styleId="Hyperlink">
    <w:name w:val="Hyperlink"/>
    <w:uiPriority w:val="99"/>
    <w:unhideWhenUsed/>
    <w:rPr>
      <w:color w:val="0000FF"/>
      <w:u w:val="single"/>
    </w:rPr>
  </w:style>
  <w:style w:type="character" w:styleId="Annotationreference">
    <w:name w:val="annotation reference"/>
    <w:uiPriority w:val="99"/>
    <w:semiHidden/>
    <w:unhideWhenUsed/>
    <w:qFormat/>
    <w:rPr>
      <w:sz w:val="16"/>
      <w:szCs w:val="16"/>
    </w:rPr>
  </w:style>
  <w:style w:type="character" w:styleId="Style11" w:customStyle="1">
    <w:name w:val="Текст примечания Знак"/>
    <w:link w:val="Annotationtext"/>
    <w:uiPriority w:val="99"/>
    <w:semiHidden/>
    <w:qFormat/>
    <w:rPr>
      <w:lang w:eastAsia="en-US"/>
    </w:rPr>
  </w:style>
  <w:style w:type="character" w:styleId="Style12" w:customStyle="1">
    <w:name w:val="Тема примечания Знак"/>
    <w:link w:val="Annotationsubject"/>
    <w:uiPriority w:val="99"/>
    <w:semiHidden/>
    <w:qFormat/>
    <w:rPr>
      <w:b/>
      <w:bCs/>
      <w:lang w:eastAsia="en-US"/>
    </w:rPr>
  </w:style>
  <w:style w:type="character" w:styleId="Linenumber1" w:customStyle="1">
    <w:name w:val="line number1"/>
    <w:qFormat/>
    <w:rPr/>
  </w:style>
  <w:style w:type="character" w:styleId="Style13" w:customStyle="1">
    <w:name w:val="Маркеры"/>
    <w:qFormat/>
    <w:rPr>
      <w:rFonts w:ascii="OpenSymbol" w:hAnsi="OpenSymbol" w:eastAsia="OpenSymbol" w:cs="OpenSymbol"/>
    </w:rPr>
  </w:style>
  <w:style w:type="character" w:styleId="Linenumber">
    <w:name w:val="line number"/>
    <w:qFormat/>
    <w:rPr/>
  </w:style>
  <w:style w:type="paragraph" w:styleId="Style14">
    <w:name w:val="Заголовок"/>
    <w:basedOn w:val="Normal"/>
    <w:next w:val="BodyText"/>
    <w:qFormat/>
    <w:pPr>
      <w:keepNext w:val="true"/>
      <w:spacing w:before="240" w:after="120"/>
    </w:pPr>
    <w:rPr>
      <w:rFonts w:ascii="PT Sans" w:hAnsi="PT Sans" w:eastAsia="Noto Sans CJK SC" w:cs="Arial Unicode MS"/>
      <w:sz w:val="28"/>
      <w:szCs w:val="28"/>
    </w:rPr>
  </w:style>
  <w:style w:type="paragraph" w:styleId="BodyText">
    <w:name w:val="Body Text"/>
    <w:basedOn w:val="Normal"/>
    <w:pPr>
      <w:spacing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5">
    <w:name w:val="Указатель"/>
    <w:basedOn w:val="Normal"/>
    <w:qFormat/>
    <w:pPr>
      <w:suppressLineNumbers/>
    </w:pPr>
    <w:rPr>
      <w:rFonts w:cs="Arial Unicode MS"/>
    </w:rPr>
  </w:style>
  <w:style w:type="paragraph" w:styleId="Title">
    <w:name w:val="Title"/>
    <w:basedOn w:val="Normal"/>
    <w:next w:val="BodyText"/>
    <w:link w:val="Style"/>
    <w:qFormat/>
    <w:pPr>
      <w:keepNext w:val="true"/>
      <w:spacing w:before="240" w:after="120"/>
    </w:pPr>
    <w:rPr>
      <w:rFonts w:ascii="Liberation Sans" w:hAnsi="Liberation Sans" w:eastAsia="Noto Sans CJK SC" w:cs="Arial Unicode MS"/>
      <w:sz w:val="28"/>
      <w:szCs w:val="28"/>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1">
    <w:name w:val="index heading1"/>
    <w:basedOn w:val="Title"/>
    <w:qFormat/>
    <w:pPr/>
    <w:rPr/>
  </w:style>
  <w:style w:type="paragraph" w:styleId="Subtitle">
    <w:name w:val="Subtitle"/>
    <w:basedOn w:val="Normal"/>
    <w:next w:val="Normal"/>
    <w:link w:val="Style1"/>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2"/>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link w:val="Style4"/>
    <w:uiPriority w:val="99"/>
    <w:semiHidden/>
    <w:unhideWhenUsed/>
    <w:pPr>
      <w:spacing w:lineRule="auto" w:line="240" w:before="0" w:after="40"/>
    </w:pPr>
    <w:rPr>
      <w:sz w:val="18"/>
    </w:rPr>
  </w:style>
  <w:style w:type="paragraph" w:styleId="EndnoteText">
    <w:name w:val="Endnote Text"/>
    <w:basedOn w:val="Normal"/>
    <w:link w:val="Style6"/>
    <w:uiPriority w:val="99"/>
    <w:semiHidden/>
    <w:unhideWhenUsed/>
    <w:pPr>
      <w:spacing w:lineRule="auto" w:line="240" w:before="0" w:after="0"/>
    </w:pPr>
    <w:rPr>
      <w:sz w:val="20"/>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Style14"/>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qFormat/>
    <w:pPr>
      <w:spacing w:before="0" w:after="0"/>
    </w:pPr>
    <w:rPr/>
  </w:style>
  <w:style w:type="paragraph" w:styleId="Caption11" w:customStyle="1">
    <w:name w:val="caption11"/>
    <w:basedOn w:val="Normal"/>
    <w:link w:val="Style3"/>
    <w:qFormat/>
    <w:pPr>
      <w:suppressLineNumbers/>
      <w:spacing w:before="120" w:after="120"/>
    </w:pPr>
    <w:rPr>
      <w:rFonts w:cs="Arial Unicode MS"/>
      <w:i/>
      <w:iCs/>
      <w:sz w:val="24"/>
      <w:szCs w:val="24"/>
    </w:rPr>
  </w:style>
  <w:style w:type="paragraph" w:styleId="Indexheading11" w:customStyle="1">
    <w:name w:val="index heading11"/>
    <w:basedOn w:val="Normal"/>
    <w:qFormat/>
    <w:pPr>
      <w:suppressLineNumbers/>
    </w:pPr>
    <w:rPr>
      <w:rFonts w:cs="Arial Unicode MS"/>
    </w:rPr>
  </w:style>
  <w:style w:type="paragraph" w:styleId="Caption111" w:customStyle="1">
    <w:name w:val="caption111"/>
    <w:basedOn w:val="Normal"/>
    <w:qFormat/>
    <w:pPr>
      <w:suppressLineNumbers/>
      <w:spacing w:before="120" w:after="120"/>
    </w:pPr>
    <w:rPr>
      <w:rFonts w:cs="Arial Unicode MS"/>
      <w:i/>
      <w:iCs/>
      <w:sz w:val="24"/>
      <w:szCs w:val="24"/>
    </w:rPr>
  </w:style>
  <w:style w:type="paragraph" w:styleId="Style16" w:customStyle="1">
    <w:name w:val="ШтрихКод"/>
    <w:basedOn w:val="Normal"/>
    <w:qFormat/>
    <w:pPr>
      <w:spacing w:lineRule="auto" w:line="240" w:before="0" w:after="0"/>
    </w:pPr>
    <w:rPr>
      <w:rFonts w:ascii="Barcode" w:hAnsi="Barcode"/>
      <w:sz w:val="40"/>
      <w:szCs w:val="40"/>
      <w:lang w:val="en-US"/>
    </w:rPr>
  </w:style>
  <w:style w:type="paragraph" w:styleId="NoSpacing">
    <w:name w:val="No Spacing"/>
    <w:uiPriority w:val="1"/>
    <w:qFormat/>
    <w:pPr>
      <w:widowControl/>
      <w:suppressAutoHyphens w:val="true"/>
      <w:bidi w:val="0"/>
      <w:spacing w:before="0" w:after="0"/>
      <w:jc w:val="left"/>
    </w:pPr>
    <w:rPr>
      <w:rFonts w:ascii="Calibri" w:hAnsi="Calibri" w:eastAsia="Calibri" w:cs="Times New Roman"/>
      <w:color w:val="auto"/>
      <w:kern w:val="0"/>
      <w:sz w:val="22"/>
      <w:szCs w:val="22"/>
      <w:lang w:eastAsia="en-US" w:val="ru-RU" w:bidi="ar-SA"/>
    </w:rPr>
  </w:style>
  <w:style w:type="paragraph" w:styleId="Style17" w:customStyle="1">
    <w:name w:val="Колонтитул"/>
    <w:basedOn w:val="Normal"/>
    <w:qFormat/>
    <w:pPr/>
    <w:rPr/>
  </w:style>
  <w:style w:type="paragraph" w:styleId="Header">
    <w:name w:val="Header"/>
    <w:basedOn w:val="Normal"/>
    <w:link w:val="11"/>
    <w:uiPriority w:val="99"/>
    <w:unhideWhenUsed/>
    <w:pPr>
      <w:tabs>
        <w:tab w:val="clear" w:pos="708"/>
        <w:tab w:val="center" w:pos="4677" w:leader="none"/>
        <w:tab w:val="right" w:pos="9355" w:leader="none"/>
      </w:tabs>
    </w:pPr>
    <w:rPr/>
  </w:style>
  <w:style w:type="paragraph" w:styleId="Footer">
    <w:name w:val="Footer"/>
    <w:basedOn w:val="Normal"/>
    <w:link w:val="12"/>
    <w:uiPriority w:val="99"/>
    <w:unhideWhenUsed/>
    <w:pPr>
      <w:tabs>
        <w:tab w:val="clear" w:pos="708"/>
        <w:tab w:val="center" w:pos="4677" w:leader="none"/>
        <w:tab w:val="right" w:pos="9355" w:leader="none"/>
      </w:tabs>
    </w:pPr>
    <w:rPr/>
  </w:style>
  <w:style w:type="paragraph" w:styleId="BalloonText">
    <w:name w:val="Balloon Text"/>
    <w:basedOn w:val="Normal"/>
    <w:link w:val="Style10"/>
    <w:uiPriority w:val="99"/>
    <w:semiHidden/>
    <w:unhideWhenUsed/>
    <w:qFormat/>
    <w:pPr>
      <w:spacing w:lineRule="auto" w:line="240" w:before="0" w:after="0"/>
    </w:pPr>
    <w:rPr>
      <w:rFonts w:ascii="Tahoma" w:hAnsi="Tahoma"/>
      <w:sz w:val="16"/>
      <w:szCs w:val="16"/>
    </w:rPr>
  </w:style>
  <w:style w:type="paragraph" w:styleId="ListParagraph">
    <w:name w:val="List Paragraph"/>
    <w:basedOn w:val="Normal"/>
    <w:uiPriority w:val="34"/>
    <w:qFormat/>
    <w:pPr>
      <w:spacing w:before="0" w:after="200"/>
      <w:ind w:left="720"/>
      <w:contextualSpacing/>
    </w:pPr>
    <w:rPr/>
  </w:style>
  <w:style w:type="paragraph" w:styleId="13" w:customStyle="1">
    <w:name w:val="Обычный (Интернет)1"/>
    <w:basedOn w:val="Normal"/>
    <w:qFormat/>
    <w:pPr>
      <w:spacing w:lineRule="auto" w:line="240" w:beforeAutospacing="1" w:afterAutospacing="1"/>
    </w:pPr>
    <w:rPr>
      <w:rFonts w:ascii="Times New Roman" w:hAnsi="Times New Roman" w:eastAsia="Times New Roman"/>
      <w:sz w:val="24"/>
      <w:szCs w:val="24"/>
      <w:lang w:eastAsia="ru-RU"/>
    </w:rPr>
  </w:style>
  <w:style w:type="paragraph" w:styleId="Annotationtext">
    <w:name w:val="annotation text"/>
    <w:basedOn w:val="Normal"/>
    <w:link w:val="Style11"/>
    <w:uiPriority w:val="99"/>
    <w:semiHidden/>
    <w:unhideWhenUsed/>
    <w:qFormat/>
    <w:pPr/>
    <w:rPr>
      <w:sz w:val="20"/>
      <w:szCs w:val="20"/>
    </w:rPr>
  </w:style>
  <w:style w:type="paragraph" w:styleId="Annotationsubject">
    <w:name w:val="annotation subject"/>
    <w:basedOn w:val="Annotationtext"/>
    <w:next w:val="Annotationtext"/>
    <w:link w:val="Style12"/>
    <w:uiPriority w:val="99"/>
    <w:semiHidden/>
    <w:unhideWhenUsed/>
    <w:qFormat/>
    <w:pPr/>
    <w:rPr>
      <w:b/>
      <w:bCs/>
    </w:rPr>
  </w:style>
  <w:style w:type="paragraph" w:styleId="Revision">
    <w:name w:val="Revision"/>
    <w:uiPriority w:val="99"/>
    <w:semiHidden/>
    <w:qFormat/>
    <w:pPr>
      <w:widowControl/>
      <w:suppressAutoHyphens w:val="true"/>
      <w:bidi w:val="0"/>
      <w:spacing w:before="0" w:after="0"/>
      <w:jc w:val="left"/>
    </w:pPr>
    <w:rPr>
      <w:rFonts w:ascii="Calibri" w:hAnsi="Calibri" w:eastAsia="Calibri" w:cs="Times New Roman"/>
      <w:color w:val="auto"/>
      <w:kern w:val="0"/>
      <w:sz w:val="22"/>
      <w:szCs w:val="22"/>
      <w:lang w:eastAsia="en-US" w:val="ru-RU" w:bidi="ar-SA"/>
    </w:rPr>
  </w:style>
  <w:style w:type="paragraph" w:styleId="Style18" w:customStyle="1">
    <w:name w:val="Содержимое таблицы"/>
    <w:basedOn w:val="Normal"/>
    <w:qFormat/>
    <w:pPr>
      <w:widowControl w:val="false"/>
      <w:suppressLineNumbers/>
    </w:pPr>
    <w:rPr/>
  </w:style>
  <w:style w:type="paragraph" w:styleId="Style19" w:customStyle="1">
    <w:name w:val="Заголовок таблицы"/>
    <w:basedOn w:val="Style18"/>
    <w:qFormat/>
    <w:pPr>
      <w:jc w:val="center"/>
    </w:pPr>
    <w:rPr>
      <w:b/>
      <w:bCs/>
    </w:rPr>
  </w:style>
  <w:style w:type="paragraph" w:styleId="Style20">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5">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4">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42">
    <w:name w:val="Plain Table 4"/>
    <w:basedOn w:val="a1"/>
    <w:uiPriority w:val="99"/>
    <w:tblPr>
      <w:tblStyleRowBandSize w:val="1"/>
      <w:tblStyleColBandSize w:val="1"/>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000000"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firstRow">
      <w:rPr>
        <w:b/>
        <w:color w:val="404040"/>
      </w:rPr>
      <w:tblPr/>
      <w:tcPr>
        <w:tcBorders>
          <w:bottom w:val="single" w:color="4472C4"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blPr/>
      <w:tcPr>
        <w:tcBorders>
          <w:bottom w:val="single" w:color="ED7D31"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blPr/>
      <w:tcPr>
        <w:tcBorders>
          <w:bottom w:val="single" w:color="A5A5A5"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b/>
        <w:color w:val="404040"/>
      </w:rPr>
      <w:tblPr/>
      <w:tcPr>
        <w:tcBorders>
          <w:bottom w:val="single" w:color="FFC000"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b/>
        <w:color w:val="404040"/>
      </w:rPr>
      <w:tblPr/>
      <w:tcPr>
        <w:tcBorders>
          <w:bottom w:val="single" w:color="5B9BD5"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blPr/>
      <w:tcPr>
        <w:tcBorders>
          <w:bottom w:val="single" w:color="70AD47"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blPr/>
      <w:tcPr>
        <w:tcBorders>
          <w:top w:val="none" w:color="000000" w:sz="4" w:space="0"/>
          <w:left w:val="none" w:color="000000" w:sz="4" w:space="0"/>
          <w:bottom w:val="single" w:color="4472C4" w:themeColor="accent1" w:sz="12" w:space="0"/>
          <w:right w:val="none" w:color="000000" w:sz="4" w:space="0"/>
        </w:tcBorders>
        <w:shd w:val="clear" w:color="FFFFFF" w:fill="auto"/>
      </w:tcPr>
    </w:tblStylePr>
    <w:tblStylePr w:type="lastRow">
      <w:rPr>
        <w:b/>
        <w:color w:val="404040"/>
      </w:rPr>
      <w:tblPr/>
      <w:tcPr>
        <w:tcBorders>
          <w:top w:val="single" w:color="4472C4"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1" w:themeFillTint="34"/>
      </w:tcPr>
    </w:tblStylePr>
    <w:tblStylePr w:type="band1Horz">
      <w:rPr>
        <w:color w:val="404040"/>
        <w:sz w:val="22"/>
      </w:rPr>
      <w:tblPr/>
      <w:tcPr>
        <w:shd w:val="clear" w:color="D8E2F3"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blPr/>
      <w:tcPr>
        <w:tcBorders>
          <w:top w:val="none" w:color="000000" w:sz="4" w:space="0"/>
          <w:left w:val="none" w:color="000000" w:sz="4" w:space="0"/>
          <w:bottom w:val="single" w:color="ED7D31" w:themeColor="accent2" w:sz="12" w:space="0"/>
          <w:right w:val="none" w:color="000000" w:sz="4" w:space="0"/>
        </w:tcBorders>
        <w:shd w:val="clear" w:color="FFFFFF" w:fill="auto"/>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blPr/>
      <w:tcPr>
        <w:tcBorders>
          <w:top w:val="none" w:color="000000" w:sz="4" w:space="0"/>
          <w:left w:val="none" w:color="000000" w:sz="4" w:space="0"/>
          <w:bottom w:val="single" w:color="FFC000" w:themeColor="accent4" w:sz="12" w:space="0"/>
          <w:right w:val="none" w:color="000000" w:sz="4" w:space="0"/>
        </w:tcBorders>
        <w:shd w:val="clear" w:color="FFFFFF" w:fill="auto"/>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blPr/>
      <w:tcPr>
        <w:tcBorders>
          <w:top w:val="none" w:color="000000" w:sz="4" w:space="0"/>
          <w:left w:val="none" w:color="000000" w:sz="4" w:space="0"/>
          <w:bottom w:val="single" w:color="5B9BD5" w:themeColor="accent5" w:sz="12" w:space="0"/>
          <w:right w:val="none" w:color="000000" w:sz="4" w:space="0"/>
        </w:tcBorders>
        <w:shd w:val="clear" w:color="FFFFFF" w:fill="auto"/>
      </w:tcPr>
    </w:tblStylePr>
    <w:tblStylePr w:type="lastRow">
      <w:rPr>
        <w:b/>
        <w:color w:val="404040"/>
      </w:rPr>
      <w:tblPr/>
      <w:tcPr>
        <w:tcBorders>
          <w:top w:val="single" w:color="5B9BD5"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DEAF6" w:fill="DDEAF6" w:themeFill="accent5" w:themeFillTint="34"/>
      </w:tcPr>
    </w:tblStylePr>
    <w:tblStylePr w:type="band1Horz">
      <w:rPr>
        <w:color w:val="404040"/>
        <w:sz w:val="22"/>
      </w:rPr>
      <w:tblPr/>
      <w:tcPr>
        <w:shd w:val="clear" w:color="DDEAF6"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8E2F3" w:fill="D8E2F3" w:themeFill="accent1" w:themeFillTint="34"/>
      </w:tcPr>
    </w:tblStylePr>
    <w:tblStylePr w:type="band1Horz">
      <w:rPr>
        <w:color w:val="404040"/>
        <w:sz w:val="22"/>
      </w:rPr>
      <w:tblPr/>
      <w:tcPr>
        <w:shd w:val="clear" w:color="D8E2F3"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DEAF6" w:fill="DDEAF6" w:themeFill="accent5" w:themeFillTint="34"/>
      </w:tcPr>
    </w:tblStylePr>
    <w:tblStylePr w:type="band1Horz">
      <w:rPr>
        <w:color w:val="404040"/>
        <w:sz w:val="22"/>
      </w:rPr>
      <w:tblPr/>
      <w:tcPr>
        <w:shd w:val="clear" w:color="DDEAF6"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firstRow">
      <w:rPr>
        <w:b/>
        <w:color w:val="FFFFFF"/>
        <w:sz w:val="22"/>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tcBorders>
        <w:shd w:val="clear" w:color="537DC8" w:fill="537DC8" w:themeFill="accent1" w:themeFillTint="ea"/>
      </w:tcPr>
    </w:tblStylePr>
    <w:tblStylePr w:type="lastRow">
      <w:rPr>
        <w:b/>
        <w:color w:val="404040"/>
      </w:rPr>
      <w:tblPr/>
      <w:tcPr>
        <w:tcBorders>
          <w:top w:val="single" w:color="4472C4"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AE3F3" w:fill="DAE3F3" w:themeFill="accent1" w:themeFillTint="32"/>
      </w:tcPr>
    </w:tblStylePr>
    <w:tblStylePr w:type="band1Horz">
      <w:rPr>
        <w:color w:val="404040"/>
        <w:sz w:val="22"/>
      </w:rPr>
      <w:tblPr/>
      <w:tcPr>
        <w:shd w:val="clear" w:color="DAE3F3"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b/>
        <w:color w:val="FFFFFF"/>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shd w:val="clear" w:color="F4B184" w:fill="F4B184" w:themeFill="accent2" w:themeFillTint="97"/>
      </w:tcPr>
    </w:tblStylePr>
    <w:tblStylePr w:type="lastRow">
      <w:rPr>
        <w:b/>
        <w:color w:val="404040"/>
      </w:rPr>
      <w:tblPr/>
      <w:tcPr>
        <w:tcBorders>
          <w:top w:val="single" w:color="ED7D31"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b/>
        <w:color w:val="FFFFFF"/>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Row">
      <w:rPr>
        <w:b/>
        <w:color w:val="404040"/>
      </w:rPr>
      <w:tblPr/>
      <w:tcPr>
        <w:tcBorders>
          <w:top w:val="single" w:color="A5A5A5"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firstRow">
      <w:rPr>
        <w:b/>
        <w:color w:val="FFFFFF"/>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shd w:val="clear" w:color="FFD865" w:fill="FFD865" w:themeFill="accent4" w:themeFillTint="9a"/>
      </w:tcPr>
    </w:tblStylePr>
    <w:tblStylePr w:type="lastRow">
      <w:rPr>
        <w:b/>
        <w:color w:val="404040"/>
      </w:rPr>
      <w:tblPr/>
      <w:tcPr>
        <w:tcBorders>
          <w:top w:val="single" w:color="FFC000"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b/>
        <w:color w:val="FFFFFF"/>
        <w:sz w:val="22"/>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shd w:val="clear" w:color="5B9BD5" w:fill="5B9BD5" w:themeFill="accent5"/>
      </w:tcPr>
    </w:tblStylePr>
    <w:tblStylePr w:type="lastRow">
      <w:rPr>
        <w:b/>
        <w:color w:val="404040"/>
      </w:rPr>
      <w:tblPr/>
      <w:tcPr>
        <w:tcBorders>
          <w:top w:val="single" w:color="5B9BD5"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DEAF6" w:fill="DDEAF6" w:themeFill="accent5" w:themeFillTint="34"/>
      </w:tcPr>
    </w:tblStylePr>
    <w:tblStylePr w:type="band1Horz">
      <w:rPr>
        <w:color w:val="404040"/>
        <w:sz w:val="22"/>
      </w:rPr>
      <w:tblPr/>
      <w:tcPr>
        <w:shd w:val="clear" w:color="DDEAF6"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4472C4" w:fill="4472C4" w:themeFill="accent1"/>
      </w:tcPr>
    </w:tblStylePr>
    <w:tblStylePr w:type="lastRow">
      <w:rPr>
        <w:b/>
        <w:color w:val="FFFFFF"/>
        <w:sz w:val="22"/>
      </w:rPr>
      <w:tblPr/>
      <w:tcPr>
        <w:tcBorders>
          <w:top w:val="single" w:color="FFFFFF" w:themeColor="light1" w:sz="4" w:space="0"/>
        </w:tcBorders>
        <w:shd w:val="clear" w:color="4472C4" w:fill="4472C4" w:themeFill="accent1"/>
      </w:tcPr>
    </w:tblStylePr>
    <w:tblStylePr w:type="firstCol">
      <w:rPr>
        <w:b/>
        <w:color w:val="FFFFFF"/>
        <w:sz w:val="22"/>
      </w:rPr>
      <w:tblPr/>
      <w:tcPr>
        <w:shd w:val="clear" w:color="4472C4" w:fill="4472C4" w:themeFill="accent1"/>
      </w:tcPr>
    </w:tblStylePr>
    <w:tblStylePr w:type="lastCol">
      <w:rPr>
        <w:b/>
        <w:color w:val="FFFFFF"/>
        <w:sz w:val="22"/>
      </w:rPr>
      <w:tblPr/>
      <w:tcPr>
        <w:shd w:val="clear" w:color="4472C4" w:fill="4472C4" w:themeFill="accent1"/>
      </w:tcPr>
    </w:tblStylePr>
    <w:tblStylePr w:type="band1Vert">
      <w:tblPr/>
      <w:tcPr>
        <w:shd w:val="clear" w:color="A9BEE4" w:fill="A9BEE4" w:themeFill="accent1" w:themeFillTint="75"/>
      </w:tcPr>
    </w:tblStylePr>
    <w:tblStylePr w:type="band1Horz">
      <w:tblPr/>
      <w:tcPr>
        <w:shd w:val="clear" w:color="A9BEE4"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color="FFFFFF" w:themeColor="light1" w:sz="4" w:space="0"/>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color="FFFFFF" w:themeColor="light1" w:sz="4" w:space="0"/>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FFC000" w:fill="FFC000" w:themeFill="accent4"/>
      </w:tcPr>
    </w:tblStylePr>
    <w:tblStylePr w:type="lastRow">
      <w:rPr>
        <w:b/>
        <w:color w:val="FFFFFF"/>
        <w:sz w:val="22"/>
      </w:rPr>
      <w:tblPr/>
      <w:tcPr>
        <w:tcBorders>
          <w:top w:val="single" w:color="FFFFFF" w:themeColor="light1" w:sz="4" w:space="0"/>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5B9BD5" w:fill="5B9BD5" w:themeFill="accent5"/>
      </w:tcPr>
    </w:tblStylePr>
    <w:tblStylePr w:type="lastRow">
      <w:rPr>
        <w:b/>
        <w:color w:val="FFFFFF"/>
        <w:sz w:val="22"/>
      </w:rPr>
      <w:tblPr/>
      <w:tcPr>
        <w:tcBorders>
          <w:top w:val="single" w:color="FFFFFF" w:themeColor="light1" w:sz="4" w:space="0"/>
        </w:tcBorders>
        <w:shd w:val="clear" w:color="5B9BD5" w:fill="5B9BD5" w:themeFill="accent5"/>
      </w:tcPr>
    </w:tblStylePr>
    <w:tblStylePr w:type="firstCol">
      <w:rPr>
        <w:b/>
        <w:color w:val="FFFFFF"/>
        <w:sz w:val="22"/>
      </w:rPr>
      <w:tblPr/>
      <w:tcPr>
        <w:shd w:val="clear" w:color="5B9BD5" w:fill="5B9BD5" w:themeFill="accent5"/>
      </w:tcPr>
    </w:tblStylePr>
    <w:tblStylePr w:type="lastCol">
      <w:rPr>
        <w:b/>
        <w:color w:val="FFFFFF"/>
        <w:sz w:val="22"/>
      </w:rPr>
      <w:tblPr/>
      <w:tcPr>
        <w:shd w:val="clear" w:color="5B9BD5" w:fill="5B9BD5" w:themeFill="accent5"/>
      </w:tcPr>
    </w:tblStylePr>
    <w:tblStylePr w:type="band1Vert">
      <w:tblPr/>
      <w:tcPr>
        <w:shd w:val="clear" w:color="B3D0EB" w:fill="B3D0EB" w:themeFill="accent5" w:themeFillTint="75"/>
      </w:tcPr>
    </w:tblStylePr>
    <w:tblStylePr w:type="band1Horz">
      <w:tblPr/>
      <w:tcPr>
        <w:shd w:val="clear" w:color="B3D0EB"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color="FFFFFF" w:themeColor="light1" w:sz="4" w:space="0"/>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000000"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firstRow">
      <w:rPr>
        <w:b/>
        <w:color w:val="A0B7E1" w:themeColor="accent1" w:themeTint="80" w:themeShade="95"/>
      </w:rPr>
      <w:tblPr/>
      <w:tcPr>
        <w:tcBorders>
          <w:bottom w:val="single" w:color="4472C4" w:themeColor="accent1" w:sz="12" w:space="0"/>
        </w:tcBorders>
      </w:tcPr>
    </w:tblStylePr>
    <w:tblStylePr w:type="lastRow">
      <w:rPr>
        <w:b/>
        <w:color w:val="A0B7E1" w:themeColor="accent1" w:themeTint="80" w:themeShade="95"/>
      </w:rPr>
      <w:tblPr/>
    </w:tblStylePr>
    <w:tblStylePr w:type="firstCol">
      <w:rPr>
        <w:b/>
        <w:color w:val="A0B7E1" w:themeColor="accent1" w:themeTint="80" w:themeShade="95"/>
      </w:rPr>
      <w:tblPr/>
    </w:tblStylePr>
    <w:tblStylePr w:type="lastCol">
      <w:rPr>
        <w:b/>
        <w:color w:val="A0B7E1" w:themeColor="accent1" w:themeTint="80" w:themeShade="95"/>
      </w:rPr>
      <w:tbl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rPr>
      <w:tblPr/>
      <w:tcPr>
        <w:tcBorders>
          <w:bottom w:val="single" w:color="ED7D31" w:themeColor="accent2" w:sz="12" w:space="0"/>
        </w:tcBorders>
      </w:tcPr>
    </w:tblStylePr>
    <w:tblStylePr w:type="lastRow">
      <w:rPr>
        <w:b/>
        <w:color w:val="F4B184" w:themeColor="accent2" w:themeTint="97" w:themeShade="95"/>
      </w:rPr>
      <w:tbl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rPr>
      <w:tblPr/>
      <w:tcPr>
        <w:tcBorders>
          <w:bottom w:val="single" w:color="A5A5A5" w:themeColor="accent3" w:sz="12" w:space="0"/>
        </w:tcBorders>
      </w:tcPr>
    </w:tblStylePr>
    <w:tblStylePr w:type="lastRow">
      <w:rPr>
        <w:b/>
        <w:color w:val="A5A5A5" w:themeColor="accent3" w:themeTint="fe" w:themeShade="95"/>
      </w:rPr>
      <w:tblPr/>
    </w:tblStylePr>
    <w:tblStylePr w:type="firstCol">
      <w:rPr>
        <w:b/>
        <w:color w:val="A5A5A5" w:themeColor="accent3" w:themeTint="fe" w:themeShade="95"/>
      </w:rPr>
      <w:tblPr/>
    </w:tblStylePr>
    <w:tblStylePr w:type="lastCol">
      <w:rPr>
        <w:b/>
        <w:color w:val="A5A5A5" w:themeColor="accent3" w:themeTint="fe" w:themeShade="95"/>
      </w:rPr>
      <w:tbl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rPr>
      <w:tblPr/>
      <w:tcPr>
        <w:tcBorders>
          <w:bottom w:val="single" w:color="FFC000" w:themeColor="accent4" w:sz="12" w:space="0"/>
        </w:tcBorders>
      </w:tcPr>
    </w:tblStylePr>
    <w:tblStylePr w:type="lastRow">
      <w:rPr>
        <w:b/>
        <w:color w:val="FFD865" w:themeColor="accent4" w:themeTint="9a" w:themeShade="95"/>
      </w:rPr>
      <w:tbl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firstRow">
      <w:rPr>
        <w:b/>
        <w:color w:val="245A8D" w:themeColor="accent5" w:themeShade="95"/>
      </w:rPr>
      <w:tblPr/>
      <w:tcPr>
        <w:tcBorders>
          <w:bottom w:val="single" w:color="5B9BD5" w:themeColor="accent5" w:sz="12" w:space="0"/>
        </w:tcBorders>
      </w:tcPr>
    </w:tblStylePr>
    <w:tblStylePr w:type="lastRow">
      <w:rPr>
        <w:b/>
        <w:color w:val="245A8D" w:themeColor="accent5" w:themeShade="95"/>
      </w:rPr>
      <w:tblPr/>
    </w:tblStylePr>
    <w:tblStylePr w:type="firstCol">
      <w:rPr>
        <w:b/>
        <w:color w:val="245A8D" w:themeColor="accent5" w:themeShade="95"/>
      </w:rPr>
      <w:tblPr/>
    </w:tblStylePr>
    <w:tblStylePr w:type="lastCol">
      <w:rPr>
        <w:b/>
        <w:color w:val="245A8D" w:themeColor="accent5" w:themeShade="95"/>
      </w:rPr>
      <w:tbl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45A8D" w:themeColor="accent5" w:themeShade="95"/>
      </w:rPr>
      <w:tblPr/>
      <w:tcPr>
        <w:tcBorders>
          <w:bottom w:val="single" w:color="70AD47" w:themeColor="accent6" w:sz="12" w:space="0"/>
        </w:tcBorders>
      </w:tcPr>
    </w:tblStylePr>
    <w:tblStylePr w:type="lastRow">
      <w:rPr>
        <w:b/>
        <w:color w:val="245A8D" w:themeColor="accent5" w:themeShade="95"/>
      </w:rPr>
      <w:tblPr/>
    </w:tblStylePr>
    <w:tblStylePr w:type="firstCol">
      <w:rPr>
        <w:b/>
        <w:color w:val="245A8D" w:themeColor="accent5" w:themeShade="95"/>
      </w:rPr>
      <w:tblPr/>
    </w:tblStylePr>
    <w:tblStylePr w:type="lastCol">
      <w:rPr>
        <w:b/>
        <w:color w:val="245A8D" w:themeColor="accent5" w:themeShade="95"/>
      </w:rPr>
      <w:tblPr/>
    </w:tblStylePr>
    <w:tblStylePr w:type="band1Vert">
      <w:tblPr/>
      <w:tcPr>
        <w:shd w:val="clear" w:color="E1EFD8" w:fill="E1EFD8" w:themeFill="accent6" w:themeFillTint="34"/>
      </w:tcPr>
    </w:tblStylePr>
    <w:tblStylePr w:type="band1Horz">
      <w:rPr>
        <w:color w:val="245A8D" w:themeColor="accent5" w:themeShade="95"/>
        <w:sz w:val="22"/>
      </w:rPr>
      <w:tblPr/>
      <w:tcPr>
        <w:shd w:val="clear" w:color="E1EFD8" w:fill="E1EFD8" w:themeFill="accent6" w:themeFillTint="34"/>
      </w:tcPr>
    </w:tblStylePr>
    <w:tblStylePr w:type="band2Horz">
      <w:rPr>
        <w:color w:val="245A8D"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auto" w:sz="0" w:space="0"/>
          <w:left w:val="none" w:color="auto" w:sz="0" w:space="0"/>
          <w:bottom w:val="single" w:color="000000" w:themeColor="text1" w:sz="4" w:space="0"/>
          <w:right w:val="none" w:color="auto" w:sz="0" w:space="0"/>
        </w:tcBorders>
        <w:shd w:val="clear" w:color="FFFFFF" w:fill="FFFFFF" w:themeFill="light1"/>
      </w:tcPr>
    </w:tblStylePr>
    <w:tblStylePr w:type="lastRow">
      <w:rPr>
        <w:b/>
        <w:color w:val="7F7F7F" w:themeColor="text1" w:themeTint="80" w:themeShade="95"/>
        <w:sz w:val="22"/>
      </w:rPr>
      <w:tblPr/>
      <w:tcPr>
        <w:tcBorders>
          <w:top w:val="single" w:color="000000"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000000"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firstRow">
      <w:rPr>
        <w:b/>
        <w:color w:val="A0B7E1" w:themeColor="accent1" w:themeTint="80" w:themeShade="95"/>
        <w:sz w:val="22"/>
      </w:rPr>
      <w:tblPr/>
      <w:tcPr>
        <w:tcBorders>
          <w:top w:val="none" w:color="auto" w:sz="0" w:space="0"/>
          <w:left w:val="none" w:color="auto" w:sz="0" w:space="0"/>
          <w:bottom w:val="single" w:color="4472C4" w:themeColor="accent1" w:sz="4" w:space="0"/>
          <w:right w:val="none" w:color="auto" w:sz="0" w:space="0"/>
        </w:tcBorders>
        <w:shd w:val="clear" w:color="FFFFFF" w:fill="FFFFFF" w:themeFill="light1"/>
      </w:tcPr>
    </w:tblStylePr>
    <w:tblStylePr w:type="lastRow">
      <w:rPr>
        <w:b/>
        <w:color w:val="A0B7E1" w:themeColor="accent1" w:themeTint="80" w:themeShade="95"/>
        <w:sz w:val="22"/>
      </w:rPr>
      <w:tblPr/>
      <w:tcPr>
        <w:tcBorders>
          <w:top w:val="single" w:color="4472C4"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0B7E1" w:themeColor="accent1" w:themeTint="80" w:themeShade="95"/>
        <w:sz w:val="22"/>
      </w:rPr>
      <w:tblPr/>
      <w:tcPr>
        <w:tcBorders>
          <w:top w:val="none" w:color="auto" w:sz="0" w:space="0"/>
          <w:left w:val="none" w:color="auto" w:sz="0" w:space="0"/>
          <w:bottom w:val="none" w:color="auto" w:sz="0" w:space="0"/>
          <w:right w:val="single" w:color="4472C4" w:themeColor="accent1" w:sz="4" w:space="0"/>
        </w:tcBorders>
        <w:shd w:val="clear" w:color="FFFFFF" w:fill="auto"/>
      </w:tcPr>
    </w:tblStylePr>
    <w:tblStylePr w:type="lastCol">
      <w:rPr>
        <w:i/>
        <w:color w:val="A0B7E1" w:themeColor="accent1" w:themeTint="80" w:themeShade="95"/>
        <w:sz w:val="22"/>
      </w:rPr>
      <w:tblPr/>
      <w:tcPr>
        <w:tcBorders>
          <w:top w:val="none" w:color="auto" w:sz="0" w:space="0"/>
          <w:left w:val="single" w:color="4472C4" w:themeColor="accent1" w:sz="4" w:space="0"/>
          <w:bottom w:val="none" w:color="auto" w:sz="0" w:space="0"/>
          <w:right w:val="none" w:color="auto" w:sz="0" w:space="0"/>
        </w:tcBorders>
        <w:shd w:val="clear" w:color="FFFFFF" w:fill="auto"/>
      </w:tc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sz w:val="22"/>
      </w:rPr>
      <w:tblPr/>
      <w:tcPr>
        <w:tcBorders>
          <w:top w:val="none" w:color="auto" w:sz="0" w:space="0"/>
          <w:left w:val="none" w:color="auto" w:sz="0" w:space="0"/>
          <w:bottom w:val="single" w:color="ED7D31" w:themeColor="accent2" w:sz="4" w:space="0"/>
          <w:right w:val="none" w:color="auto" w:sz="0" w:space="0"/>
        </w:tcBorders>
        <w:shd w:val="clear" w:color="FFFFFF" w:fill="FFFFFF" w:themeFill="light1"/>
      </w:tcPr>
    </w:tblStylePr>
    <w:tblStylePr w:type="lastRow">
      <w:rPr>
        <w:b/>
        <w:color w:val="F4B184" w:themeColor="accent2" w:themeTint="97" w:themeShade="95"/>
        <w:sz w:val="22"/>
      </w:rPr>
      <w:tblPr/>
      <w:tcPr>
        <w:tcBorders>
          <w:top w:val="single" w:color="ED7D31"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ED7D31"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ED7D31" w:themeColor="accent2" w:sz="4" w:space="0"/>
          <w:bottom w:val="none" w:color="auto" w:sz="0" w:space="0"/>
          <w:right w:val="none" w:color="auto" w:sz="0" w:space="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sz w:val="22"/>
      </w:rPr>
      <w:tblPr/>
      <w:tcPr>
        <w:tcBorders>
          <w:top w:val="none" w:color="auto" w:sz="0" w:space="0"/>
          <w:left w:val="none" w:color="auto" w:sz="0" w:space="0"/>
          <w:bottom w:val="single" w:color="A5A5A5" w:themeColor="accent3" w:sz="4" w:space="0"/>
          <w:right w:val="none" w:color="auto" w:sz="0" w:space="0"/>
        </w:tcBorders>
        <w:shd w:val="clear" w:color="FFFFFF" w:fill="FFFFFF" w:themeFill="light1"/>
      </w:tcPr>
    </w:tblStylePr>
    <w:tblStylePr w:type="lastRow">
      <w:rPr>
        <w:b/>
        <w:color w:val="A5A5A5" w:themeColor="accent3" w:themeTint="fe" w:themeShade="95"/>
        <w:sz w:val="22"/>
      </w:rPr>
      <w:tblPr/>
      <w:tcPr>
        <w:tcBorders>
          <w:top w:val="single" w:color="A5A5A5"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5A5A5" w:themeColor="accent3" w:themeTint="fe" w:themeShade="95"/>
        <w:sz w:val="22"/>
      </w:rPr>
      <w:tblPr/>
      <w:tcPr>
        <w:tcBorders>
          <w:top w:val="none" w:color="auto" w:sz="0" w:space="0"/>
          <w:left w:val="none" w:color="auto" w:sz="0" w:space="0"/>
          <w:bottom w:val="none" w:color="auto" w:sz="0" w:space="0"/>
          <w:right w:val="single" w:color="A5A5A5" w:themeColor="accent3" w:sz="4" w:space="0"/>
        </w:tcBorders>
        <w:shd w:val="clear" w:color="FFFFFF" w:fill="auto"/>
      </w:tcPr>
    </w:tblStylePr>
    <w:tblStylePr w:type="lastCol">
      <w:rPr>
        <w:i/>
        <w:color w:val="A5A5A5" w:themeColor="accent3" w:themeTint="fe" w:themeShade="95"/>
        <w:sz w:val="22"/>
      </w:rPr>
      <w:tblPr/>
      <w:tcPr>
        <w:tcBorders>
          <w:top w:val="none" w:color="auto" w:sz="0" w:space="0"/>
          <w:left w:val="single" w:color="A5A5A5" w:themeColor="accent3" w:sz="4" w:space="0"/>
          <w:bottom w:val="none" w:color="auto" w:sz="0" w:space="0"/>
          <w:right w:val="none" w:color="auto" w:sz="0" w:space="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sz w:val="22"/>
      </w:rPr>
      <w:tblPr/>
      <w:tcPr>
        <w:tcBorders>
          <w:top w:val="none" w:color="auto" w:sz="0" w:space="0"/>
          <w:left w:val="none" w:color="auto" w:sz="0" w:space="0"/>
          <w:bottom w:val="single" w:color="FFC000" w:themeColor="accent4" w:sz="4" w:space="0"/>
          <w:right w:val="none" w:color="auto" w:sz="0" w:space="0"/>
        </w:tcBorders>
        <w:shd w:val="clear" w:color="FFFFFF" w:fill="FFFFFF" w:themeFill="light1"/>
      </w:tcPr>
    </w:tblStylePr>
    <w:tblStylePr w:type="lastRow">
      <w:rPr>
        <w:b/>
        <w:color w:val="FFD865" w:themeColor="accent4" w:themeTint="9a" w:themeShade="95"/>
        <w:sz w:val="22"/>
      </w:rPr>
      <w:tblPr/>
      <w:tcPr>
        <w:tcBorders>
          <w:top w:val="single" w:color="FFC000"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C000"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C000" w:themeColor="accent4" w:sz="4" w:space="0"/>
          <w:bottom w:val="none" w:color="auto" w:sz="0" w:space="0"/>
          <w:right w:val="none" w:color="auto" w:sz="0" w:space="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b/>
        <w:color w:val="245A8D" w:themeColor="accent5" w:themeShade="95"/>
        <w:sz w:val="22"/>
      </w:rPr>
      <w:tblPr/>
      <w:tcPr>
        <w:tcBorders>
          <w:top w:val="none" w:color="auto" w:sz="0" w:space="0"/>
          <w:left w:val="none" w:color="auto" w:sz="0" w:space="0"/>
          <w:bottom w:val="single" w:color="5B9BD5" w:themeColor="accent5" w:sz="4" w:space="0"/>
          <w:right w:val="none" w:color="auto" w:sz="0" w:space="0"/>
        </w:tcBorders>
        <w:shd w:val="clear" w:color="FFFFFF" w:fill="FFFFFF" w:themeFill="light1"/>
      </w:tcPr>
    </w:tblStylePr>
    <w:tblStylePr w:type="lastRow">
      <w:rPr>
        <w:b/>
        <w:color w:val="245A8D" w:themeColor="accent5" w:themeShade="95"/>
        <w:sz w:val="22"/>
      </w:rPr>
      <w:tblPr/>
      <w:tcPr>
        <w:tcBorders>
          <w:top w:val="single" w:color="5B9BD5"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45A8D" w:themeColor="accent5" w:themeShade="95"/>
        <w:sz w:val="22"/>
      </w:rPr>
      <w:tblPr/>
      <w:tcPr>
        <w:tcBorders>
          <w:top w:val="none" w:color="auto" w:sz="0" w:space="0"/>
          <w:left w:val="none" w:color="auto" w:sz="0" w:space="0"/>
          <w:bottom w:val="none" w:color="auto" w:sz="0" w:space="0"/>
          <w:right w:val="single" w:color="5B9BD5" w:themeColor="accent5" w:sz="4" w:space="0"/>
        </w:tcBorders>
        <w:shd w:val="clear" w:color="FFFFFF" w:fill="auto"/>
      </w:tcPr>
    </w:tblStylePr>
    <w:tblStylePr w:type="lastCol">
      <w:rPr>
        <w:i/>
        <w:color w:val="245A8D" w:themeColor="accent5" w:themeShade="95"/>
        <w:sz w:val="22"/>
      </w:rPr>
      <w:tblPr/>
      <w:tcPr>
        <w:tcBorders>
          <w:top w:val="none" w:color="auto" w:sz="0" w:space="0"/>
          <w:left w:val="single" w:color="5B9BD5" w:themeColor="accent5" w:sz="4" w:space="0"/>
          <w:bottom w:val="none" w:color="auto" w:sz="0" w:space="0"/>
          <w:right w:val="none" w:color="auto" w:sz="0" w:space="0"/>
        </w:tcBorders>
        <w:shd w:val="clear" w:color="FFFFFF" w:fill="auto"/>
      </w:tc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416429" w:themeColor="accent6" w:themeShade="95"/>
        <w:sz w:val="22"/>
      </w:rPr>
      <w:tblPr/>
      <w:tcPr>
        <w:tcBorders>
          <w:top w:val="none" w:color="auto" w:sz="0" w:space="0"/>
          <w:left w:val="none" w:color="auto" w:sz="0" w:space="0"/>
          <w:bottom w:val="single" w:color="70AD47" w:themeColor="accent6" w:sz="4" w:space="0"/>
          <w:right w:val="none" w:color="auto" w:sz="0" w:space="0"/>
        </w:tcBorders>
        <w:shd w:val="clear" w:color="FFFFFF" w:fill="FFFFFF" w:themeFill="light1"/>
      </w:tcPr>
    </w:tblStylePr>
    <w:tblStylePr w:type="lastRow">
      <w:rPr>
        <w:b/>
        <w:color w:val="416429" w:themeColor="accent6" w:themeShade="95"/>
        <w:sz w:val="22"/>
      </w:rPr>
      <w:tblPr/>
      <w:tcPr>
        <w:tcBorders>
          <w:top w:val="single" w:color="70AD47"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416429" w:themeColor="accent6" w:themeShade="95"/>
        <w:sz w:val="22"/>
      </w:rPr>
      <w:tblPr/>
      <w:tcPr>
        <w:tcBorders>
          <w:top w:val="none" w:color="auto" w:sz="0" w:space="0"/>
          <w:left w:val="none" w:color="auto" w:sz="0" w:space="0"/>
          <w:bottom w:val="none" w:color="auto" w:sz="0" w:space="0"/>
          <w:right w:val="single" w:color="70AD47" w:themeColor="accent6" w:sz="4" w:space="0"/>
        </w:tcBorders>
        <w:shd w:val="clear" w:color="FFFFFF" w:fill="auto"/>
      </w:tcPr>
    </w:tblStylePr>
    <w:tblStylePr w:type="lastCol">
      <w:rPr>
        <w:i/>
        <w:color w:val="416429" w:themeColor="accent6" w:themeShade="95"/>
        <w:sz w:val="22"/>
      </w:rPr>
      <w:tblPr/>
      <w:tcPr>
        <w:tcBorders>
          <w:top w:val="none" w:color="auto" w:sz="0" w:space="0"/>
          <w:left w:val="single" w:color="70AD47" w:themeColor="accent6" w:sz="4" w:space="0"/>
          <w:bottom w:val="none" w:color="auto" w:sz="0" w:space="0"/>
          <w:right w:val="none" w:color="auto" w:sz="0" w:space="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Pr/>
    </w:tblStylePr>
  </w:style>
  <w:style w:type="table" w:styleId="-10">
    <w:name w:val="List Table 1 Light"/>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4472C4" w:themeColor="accent1" w:sz="4" w:space="0"/>
          <w:right w:val="none" w:color="000000" w:sz="4" w:space="0"/>
        </w:tcBorders>
      </w:tcPr>
    </w:tblStylePr>
    <w:tblStylePr w:type="lastRow">
      <w:rPr>
        <w:b/>
        <w:color w:val="404040"/>
      </w:rPr>
      <w:tblPr/>
      <w:tcPr>
        <w:tcBorders>
          <w:top w:val="single" w:color="4472C4"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CFDBF0" w:fill="CFDBF0" w:themeFill="accent1" w:themeFillTint="40"/>
      </w:tcPr>
    </w:tblStylePr>
    <w:tblStylePr w:type="band1Horz">
      <w:tblPr/>
      <w:tcPr>
        <w:shd w:val="clear" w:color="CFDBF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ED7D31" w:themeColor="accent2" w:sz="4" w:space="0"/>
          <w:right w:val="none" w:color="000000" w:sz="4" w:space="0"/>
        </w:tcBorders>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A5A5A5" w:themeColor="accent3" w:sz="4" w:space="0"/>
          <w:right w:val="none" w:color="000000" w:sz="4" w:space="0"/>
        </w:tcBorders>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FFC000" w:themeColor="accent4" w:sz="4" w:space="0"/>
          <w:right w:val="none" w:color="000000" w:sz="4" w:space="0"/>
        </w:tcBorders>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5B9BD5" w:themeColor="accent5" w:sz="4" w:space="0"/>
          <w:right w:val="none" w:color="000000" w:sz="4" w:space="0"/>
        </w:tcBorders>
      </w:tcPr>
    </w:tblStylePr>
    <w:tblStylePr w:type="lastRow">
      <w:rPr>
        <w:b/>
        <w:color w:val="404040"/>
      </w:rPr>
      <w:tblPr/>
      <w:tcPr>
        <w:tcBorders>
          <w:top w:val="single" w:color="5B9BD5"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5E5F4" w:fill="D5E5F4" w:themeFill="accent5" w:themeFillTint="40"/>
      </w:tcPr>
    </w:tblStylePr>
    <w:tblStylePr w:type="band1Horz">
      <w:tblPr/>
      <w:tcPr>
        <w:shd w:val="clear" w:color="D5E5F4"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70AD47" w:themeColor="accent6" w:sz="4" w:space="0"/>
          <w:right w:val="none" w:color="000000" w:sz="4" w:space="0"/>
        </w:tcBorders>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firstRow">
      <w:rPr>
        <w:b/>
        <w:color w:val="404040"/>
        <w:sz w:val="22"/>
      </w:rPr>
      <w:tblPr/>
      <w:tcPr>
        <w:tcBorders>
          <w:top w:val="single" w:color="4472C4" w:themeColor="accent1" w:sz="4" w:space="0"/>
          <w:left w:val="none" w:color="000000" w:sz="4" w:space="0"/>
          <w:bottom w:val="single" w:color="4472C4" w:themeColor="accent1" w:sz="4" w:space="0"/>
          <w:right w:val="none" w:color="000000" w:sz="4" w:space="0"/>
        </w:tcBorders>
      </w:tcPr>
    </w:tblStylePr>
    <w:tblStylePr w:type="lastRow">
      <w:rPr>
        <w:b/>
        <w:color w:val="404040"/>
        <w:sz w:val="22"/>
      </w:rPr>
      <w:tblPr/>
      <w:tcPr>
        <w:tcBorders>
          <w:top w:val="single" w:color="4472C4" w:themeColor="accent1" w:sz="4" w:space="0"/>
          <w:left w:val="none" w:color="000000" w:sz="4" w:space="0"/>
          <w:bottom w:val="single" w:color="4472C4"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CFDBF0" w:fill="CFDBF0" w:themeFill="accent1" w:themeFillTint="40"/>
      </w:tcPr>
    </w:tblStylePr>
    <w:tblStylePr w:type="band1Horz">
      <w:rPr>
        <w:color w:val="404040"/>
        <w:sz w:val="22"/>
      </w:rPr>
      <w:tblPr/>
      <w:tcPr>
        <w:shd w:val="clear" w:color="CFDBF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la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la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fir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la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firstRow">
      <w:rPr>
        <w:b/>
        <w:color w:val="404040"/>
        <w:sz w:val="22"/>
      </w:rPr>
      <w:tblPr/>
      <w:tcPr>
        <w:tcBorders>
          <w:top w:val="single" w:color="5B9BD5" w:themeColor="accent5" w:sz="4" w:space="0"/>
          <w:left w:val="none" w:color="000000" w:sz="4" w:space="0"/>
          <w:bottom w:val="single" w:color="5B9BD5" w:themeColor="accent5" w:sz="4" w:space="0"/>
          <w:right w:val="none" w:color="000000" w:sz="4" w:space="0"/>
        </w:tcBorders>
      </w:tcPr>
    </w:tblStylePr>
    <w:tblStylePr w:type="lastRow">
      <w:rPr>
        <w:b/>
        <w:color w:val="404040"/>
        <w:sz w:val="22"/>
      </w:rPr>
      <w:tblPr/>
      <w:tcPr>
        <w:tcBorders>
          <w:top w:val="single" w:color="5B9BD5" w:themeColor="accent5" w:sz="4" w:space="0"/>
          <w:left w:val="none" w:color="000000" w:sz="4" w:space="0"/>
          <w:bottom w:val="single" w:color="5B9BD5"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5E5F4" w:fill="D5E5F4" w:themeFill="accent5" w:themeFillTint="40"/>
      </w:tcPr>
    </w:tblStylePr>
    <w:tblStylePr w:type="band1Horz">
      <w:rPr>
        <w:color w:val="404040"/>
        <w:sz w:val="22"/>
      </w:rPr>
      <w:tblPr/>
      <w:tcPr>
        <w:shd w:val="clear" w:color="D5E5F4"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la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firstRow">
      <w:rPr>
        <w:b/>
        <w:color w:val="FFFFFF"/>
        <w:sz w:val="22"/>
      </w:rPr>
      <w:tblPr/>
      <w:tcPr>
        <w:shd w:val="clear" w:color="4472C4" w:fill="4472C4"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4472C4" w:themeColor="accent1" w:sz="4" w:space="0"/>
          <w:right w:val="single" w:color="4472C4" w:themeColor="accent1" w:sz="4" w:space="0"/>
        </w:tcBorders>
      </w:tcPr>
    </w:tblStylePr>
    <w:tblStylePr w:type="band1Horz">
      <w:rPr>
        <w:color w:val="404040"/>
        <w:sz w:val="22"/>
      </w:rPr>
      <w:tblPr/>
      <w:tcPr>
        <w:tcBorders>
          <w:top w:val="single" w:color="4472C4" w:themeColor="accent1" w:sz="4" w:space="0"/>
          <w:bottom w:val="single" w:color="4472C4"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firstRow">
      <w:rPr>
        <w:b/>
        <w:color w:val="FFFFFF"/>
        <w:sz w:val="22"/>
      </w:rPr>
      <w:tblPr/>
      <w:tcPr>
        <w:shd w:val="clear" w:color="F4B184" w:fill="F4B184"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ED7D31" w:themeColor="accent2" w:sz="4" w:space="0"/>
          <w:right w:val="single" w:color="ED7D31" w:themeColor="accent2" w:sz="4" w:space="0"/>
        </w:tcBorders>
      </w:tcPr>
    </w:tblStylePr>
    <w:tblStylePr w:type="band1Horz">
      <w:rPr>
        <w:color w:val="404040"/>
        <w:sz w:val="22"/>
      </w:rPr>
      <w:tblPr/>
      <w:tcPr>
        <w:tcBorders>
          <w:top w:val="single" w:color="ED7D31" w:themeColor="accent2" w:sz="4" w:space="0"/>
          <w:bottom w:val="single" w:color="ED7D31"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b/>
        <w:color w:val="FFFFFF"/>
        <w:sz w:val="22"/>
      </w:rPr>
      <w:tblPr/>
      <w:tcPr>
        <w:shd w:val="clear" w:color="C9C9C9" w:fill="C9C9C9"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A5A5A5" w:themeColor="accent3" w:sz="4" w:space="0"/>
          <w:right w:val="single" w:color="A5A5A5" w:themeColor="accent3" w:sz="4" w:space="0"/>
        </w:tcBorders>
      </w:tcPr>
    </w:tblStylePr>
    <w:tblStylePr w:type="band1Horz">
      <w:rPr>
        <w:color w:val="404040"/>
        <w:sz w:val="22"/>
      </w:rPr>
      <w:tblPr/>
      <w:tcPr>
        <w:tcBorders>
          <w:top w:val="single" w:color="A5A5A5" w:themeColor="accent3" w:sz="4" w:space="0"/>
          <w:bottom w:val="single" w:color="A5A5A5"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firstRow">
      <w:rPr>
        <w:b/>
        <w:color w:val="FFFFFF"/>
        <w:sz w:val="22"/>
      </w:rPr>
      <w:tblPr/>
      <w:tcPr>
        <w:shd w:val="clear" w:color="FFD865" w:fill="FFD865"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FC000" w:themeColor="accent4" w:sz="4" w:space="0"/>
          <w:right w:val="single" w:color="FFC000" w:themeColor="accent4" w:sz="4" w:space="0"/>
        </w:tcBorders>
      </w:tcPr>
    </w:tblStylePr>
    <w:tblStylePr w:type="band1Horz">
      <w:rPr>
        <w:color w:val="404040"/>
        <w:sz w:val="22"/>
      </w:rPr>
      <w:tblPr/>
      <w:tcPr>
        <w:tcBorders>
          <w:top w:val="single" w:color="FFC000" w:themeColor="accent4" w:sz="4" w:space="0"/>
          <w:bottom w:val="single" w:color="FFC000"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firstRow">
      <w:rPr>
        <w:b/>
        <w:color w:val="FFFFFF"/>
        <w:sz w:val="22"/>
      </w:rPr>
      <w:tblPr/>
      <w:tcPr>
        <w:shd w:val="clear" w:color="9BC2E5" w:fill="9BC2E5"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5B9BD5" w:themeColor="accent5" w:sz="4" w:space="0"/>
          <w:right w:val="single" w:color="5B9BD5" w:themeColor="accent5" w:sz="4" w:space="0"/>
        </w:tcBorders>
      </w:tcPr>
    </w:tblStylePr>
    <w:tblStylePr w:type="band1Horz">
      <w:rPr>
        <w:color w:val="404040"/>
        <w:sz w:val="22"/>
      </w:rPr>
      <w:tblPr/>
      <w:tcPr>
        <w:tcBorders>
          <w:top w:val="single" w:color="5B9BD5" w:themeColor="accent5" w:sz="4" w:space="0"/>
          <w:bottom w:val="single" w:color="5B9BD5"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b/>
        <w:color w:val="FFFFFF"/>
        <w:sz w:val="22"/>
      </w:rPr>
      <w:tblPr/>
      <w:tcPr>
        <w:shd w:val="clear" w:color="A9D08E" w:fill="A9D08E"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70AD47" w:themeColor="accent6" w:sz="4" w:space="0"/>
          <w:right w:val="single" w:color="70AD47" w:themeColor="accent6" w:sz="4" w:space="0"/>
        </w:tcBorders>
      </w:tcPr>
    </w:tblStylePr>
    <w:tblStylePr w:type="band1Horz">
      <w:rPr>
        <w:color w:val="404040"/>
        <w:sz w:val="22"/>
      </w:rPr>
      <w:tblPr/>
      <w:tcPr>
        <w:tcBorders>
          <w:top w:val="single" w:color="70AD47" w:themeColor="accent6" w:sz="4" w:space="0"/>
          <w:bottom w:val="single" w:color="70AD47"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firstRow">
      <w:rPr>
        <w:b/>
        <w:color w:val="FFFFFF"/>
        <w:sz w:val="22"/>
      </w:rPr>
      <w:tblPr/>
      <w:tcPr>
        <w:shd w:val="clear" w:color="4472C4" w:fill="4472C4"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CFDBF0" w:fill="CFDBF0" w:themeFill="accent1" w:themeFillTint="40"/>
      </w:tcPr>
    </w:tblStylePr>
    <w:tblStylePr w:type="band1Horz">
      <w:rPr>
        <w:color w:val="404040"/>
        <w:sz w:val="22"/>
      </w:rPr>
      <w:tblPr/>
      <w:tcPr>
        <w:shd w:val="clear" w:color="CFDBF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b/>
        <w:color w:val="FFFFFF"/>
        <w:sz w:val="22"/>
      </w:rPr>
      <w:tblPr/>
      <w:tcPr>
        <w:shd w:val="clear" w:color="ED7D31" w:fill="ED7D31"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b/>
        <w:color w:val="FFFFFF"/>
        <w:sz w:val="22"/>
      </w:rPr>
      <w:tblPr/>
      <w:tcPr>
        <w:shd w:val="clear" w:color="A5A5A5" w:fill="A5A5A5"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firstRow">
      <w:rPr>
        <w:b/>
        <w:color w:val="FFFFFF"/>
        <w:sz w:val="22"/>
      </w:rPr>
      <w:tblPr/>
      <w:tcPr>
        <w:shd w:val="clear" w:color="FFC000" w:fill="FFC000"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firstRow">
      <w:rPr>
        <w:b/>
        <w:color w:val="FFFFFF"/>
        <w:sz w:val="22"/>
      </w:rPr>
      <w:tblPr/>
      <w:tcPr>
        <w:shd w:val="clear" w:color="5B9BD5" w:fill="5B9BD5"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5E5F4" w:fill="D5E5F4" w:themeFill="accent5" w:themeFillTint="40"/>
      </w:tcPr>
    </w:tblStylePr>
    <w:tblStylePr w:type="band1Horz">
      <w:rPr>
        <w:color w:val="404040"/>
        <w:sz w:val="22"/>
      </w:rPr>
      <w:tblPr/>
      <w:tcPr>
        <w:shd w:val="clear" w:color="D5E5F4"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b/>
        <w:color w:val="FFFFFF"/>
        <w:sz w:val="22"/>
      </w:rPr>
      <w:tblPr/>
      <w:tcPr>
        <w:shd w:val="clear" w:color="70AD47" w:fill="70AD47"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000000"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tblPr>
    <w:tblStylePr w:type="firstRow">
      <w:rPr>
        <w:b/>
        <w:color w:val="FFFFFF" w:themeColor="light1"/>
        <w:sz w:val="22"/>
      </w:rPr>
      <w:tblPr/>
      <w:tcPr>
        <w:tcBorders>
          <w:top w:val="single" w:color="4472C4" w:themeColor="accent1" w:sz="32" w:space="0"/>
          <w:bottom w:val="single" w:color="FFFFFF" w:themeColor="light1" w:sz="12" w:space="0"/>
        </w:tcBorders>
        <w:shd w:val="clear" w:color="4472C4" w:fill="4472C4" w:themeFill="accent1"/>
      </w:tcPr>
    </w:tblStylePr>
    <w:tblStylePr w:type="lastRow">
      <w:rPr>
        <w:b/>
        <w:color w:val="FFFFFF" w:themeColor="light1"/>
        <w:sz w:val="22"/>
      </w:rPr>
      <w:tblPr/>
    </w:tblStylePr>
    <w:tblStylePr w:type="firstCol">
      <w:rPr>
        <w:b/>
        <w:color w:val="FFFFFF" w:themeColor="light1"/>
        <w:sz w:val="22"/>
      </w:rPr>
      <w:tblPr/>
      <w:tcPr>
        <w:tcBorders>
          <w:left w:val="single" w:color="4472C4" w:themeColor="accent1" w:sz="32" w:space="0"/>
          <w:right w:val="single" w:color="FFFFFF" w:themeColor="light1" w:sz="4" w:space="0"/>
        </w:tcBorders>
      </w:tcPr>
    </w:tblStylePr>
    <w:tblStylePr w:type="lastCol">
      <w:tblPr/>
      <w:tcPr>
        <w:tcBorders>
          <w:left w:val="single" w:color="FFFFFF" w:themeColor="light1" w:sz="4" w:space="0"/>
          <w:right w:val="single" w:color="4472C4" w:themeColor="accent1" w:sz="32" w:space="0"/>
        </w:tcBorders>
      </w:tcPr>
    </w:tblStylePr>
    <w:tblStylePr w:type="band1Vert">
      <w:tblPr/>
      <w:tcPr>
        <w:tcBorders>
          <w:left w:val="single" w:color="FFFFFF" w:themeColor="light1" w:sz="4" w:space="0"/>
          <w:right w:val="single" w:color="FFFFFF" w:themeColor="light1" w:sz="4" w:space="0"/>
        </w:tcBorders>
        <w:shd w:val="clear" w:color="4472C4" w:fill="4472C4"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472C4" w:fill="4472C4" w:themeFill="accent1"/>
      </w:tcPr>
    </w:tblStylePr>
    <w:tblStylePr w:type="band2Horz">
      <w:tblPr/>
      <w:tcPr>
        <w:tcBorders>
          <w:top w:val="single" w:color="FFFFFF" w:themeColor="light1" w:sz="4" w:space="0"/>
          <w:bottom w:val="single" w:color="FFFFFF" w:themeColor="light1" w:sz="4" w:space="0"/>
        </w:tcBorders>
        <w:shd w:val="clear" w:color="4472C4"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Pr>
    <w:tblStylePr w:type="firstRow">
      <w:rPr>
        <w:b/>
        <w:color w:val="FFFFFF" w:themeColor="light1"/>
        <w:sz w:val="22"/>
      </w:rPr>
      <w:tblPr/>
      <w:tcPr>
        <w:tcBorders>
          <w:top w:val="single" w:color="ED7D31" w:themeColor="accent2" w:sz="32" w:space="0"/>
          <w:bottom w:val="single" w:color="FFFFFF" w:themeColor="light1" w:sz="12" w:space="0"/>
        </w:tcBorders>
        <w:shd w:val="clear" w:color="F4B184" w:fill="F4B184"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ED7D31" w:themeColor="accent2" w:sz="32" w:space="0"/>
          <w:right w:val="single" w:color="FFFFFF" w:themeColor="light1" w:sz="4" w:space="0"/>
        </w:tcBorders>
      </w:tcPr>
    </w:tblStylePr>
    <w:tblStylePr w:type="lastCol">
      <w:tblPr/>
      <w:tcPr>
        <w:tcBorders>
          <w:left w:val="single" w:color="FFFFFF" w:themeColor="light1" w:sz="4" w:space="0"/>
          <w:right w:val="single" w:color="ED7D31" w:themeColor="accent2" w:sz="32" w:space="0"/>
        </w:tcBorders>
      </w:tcPr>
    </w:tblStylePr>
    <w:tblStylePr w:type="band1Vert">
      <w:tblPr/>
      <w:tcPr>
        <w:tcBorders>
          <w:left w:val="single" w:color="FFFFFF" w:themeColor="light1" w:sz="4" w:space="0"/>
          <w:right w:val="single" w:color="FFFFFF" w:themeColor="light1" w:sz="4" w:space="0"/>
        </w:tcBorders>
        <w:shd w:val="clear" w:color="F4B184"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184"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b/>
        <w:color w:val="FFFFFF" w:themeColor="light1"/>
        <w:sz w:val="22"/>
      </w:rPr>
      <w:tblPr/>
      <w:tcPr>
        <w:tcBorders>
          <w:top w:val="single" w:color="A5A5A5" w:themeColor="accent3" w:sz="32" w:space="0"/>
          <w:bottom w:val="single" w:color="FFFFFF" w:themeColor="light1" w:sz="12" w:space="0"/>
        </w:tcBorders>
        <w:shd w:val="clear" w:color="C9C9C9" w:fill="C9C9C9"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A5A5A5" w:themeColor="accent3" w:sz="32" w:space="0"/>
          <w:right w:val="single" w:color="FFFFFF" w:themeColor="light1" w:sz="4" w:space="0"/>
        </w:tcBorders>
      </w:tcPr>
    </w:tblStylePr>
    <w:tblStylePr w:type="lastCol">
      <w:tblPr/>
      <w:tcPr>
        <w:tcBorders>
          <w:left w:val="single" w:color="FFFFFF" w:themeColor="light1" w:sz="4" w:space="0"/>
          <w:right w:val="single" w:color="A5A5A5" w:themeColor="accent3" w:sz="32" w:space="0"/>
        </w:tcBorders>
      </w:tcPr>
    </w:tblStylePr>
    <w:tblStylePr w:type="band1Vert">
      <w:tblPr/>
      <w:tcPr>
        <w:tcBorders>
          <w:left w:val="single" w:color="FFFFFF" w:themeColor="light1" w:sz="4" w:space="0"/>
          <w:right w:val="single" w:color="FFFFFF" w:themeColor="light1" w:sz="4" w:space="0"/>
        </w:tcBorders>
        <w:shd w:val="clear" w:color="C9C9C9"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Pr>
    <w:tblStylePr w:type="firstRow">
      <w:rPr>
        <w:b/>
        <w:color w:val="FFFFFF" w:themeColor="light1"/>
        <w:sz w:val="22"/>
      </w:rPr>
      <w:tblPr/>
      <w:tcPr>
        <w:tcBorders>
          <w:top w:val="single" w:color="FFC000" w:themeColor="accent4" w:sz="32" w:space="0"/>
          <w:bottom w:val="single" w:color="FFFFFF" w:themeColor="light1" w:sz="12" w:space="0"/>
        </w:tcBorders>
        <w:shd w:val="clear" w:color="FFD865" w:fill="FFD865"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FFC000" w:themeColor="accent4" w:sz="32" w:space="0"/>
          <w:right w:val="single" w:color="FFFFFF" w:themeColor="light1" w:sz="4" w:space="0"/>
        </w:tcBorders>
      </w:tcPr>
    </w:tblStylePr>
    <w:tblStylePr w:type="lastCol">
      <w:tblPr/>
      <w:tcPr>
        <w:tcBorders>
          <w:left w:val="single" w:color="FFFFFF" w:themeColor="light1" w:sz="4" w:space="0"/>
          <w:right w:val="single" w:color="FFC000" w:themeColor="accent4" w:sz="32" w:space="0"/>
        </w:tcBorders>
      </w:tcPr>
    </w:tblStylePr>
    <w:tblStylePr w:type="band1Vert">
      <w:tblPr/>
      <w:tcPr>
        <w:tcBorders>
          <w:left w:val="single" w:color="FFFFFF" w:themeColor="light1" w:sz="4" w:space="0"/>
          <w:right w:val="single" w:color="FFFFFF" w:themeColor="light1" w:sz="4" w:space="0"/>
        </w:tcBorders>
        <w:shd w:val="clear" w:color="FFD865"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5"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tblPr>
    <w:tblStylePr w:type="firstRow">
      <w:rPr>
        <w:b/>
        <w:color w:val="FFFFFF" w:themeColor="light1"/>
        <w:sz w:val="22"/>
      </w:rPr>
      <w:tblPr/>
      <w:tcPr>
        <w:tcBorders>
          <w:top w:val="single" w:color="5B9BD5" w:themeColor="accent5" w:sz="32" w:space="0"/>
          <w:bottom w:val="single" w:color="FFFFFF" w:themeColor="light1" w:sz="12" w:space="0"/>
        </w:tcBorders>
        <w:shd w:val="clear" w:color="9BC2E5" w:fill="9BC2E5"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5B9BD5" w:themeColor="accent5" w:sz="32" w:space="0"/>
          <w:right w:val="single" w:color="FFFFFF" w:themeColor="light1" w:sz="4" w:space="0"/>
        </w:tcBorders>
      </w:tcPr>
    </w:tblStylePr>
    <w:tblStylePr w:type="lastCol">
      <w:tblPr/>
      <w:tcPr>
        <w:tcBorders>
          <w:left w:val="single" w:color="FFFFFF" w:themeColor="light1" w:sz="4" w:space="0"/>
          <w:right w:val="single" w:color="5B9BD5" w:themeColor="accent5" w:sz="32" w:space="0"/>
        </w:tcBorders>
      </w:tcPr>
    </w:tblStylePr>
    <w:tblStylePr w:type="band1Vert">
      <w:tblPr/>
      <w:tcPr>
        <w:tcBorders>
          <w:left w:val="single" w:color="FFFFFF" w:themeColor="light1" w:sz="4" w:space="0"/>
          <w:right w:val="single" w:color="FFFFFF" w:themeColor="light1" w:sz="4" w:space="0"/>
        </w:tcBorders>
        <w:shd w:val="clear" w:color="9BC2E5" w:fill="9BC2E5"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BC2E5" w:fill="9BC2E5" w:themeFill="accent5" w:themeFillTint="9a"/>
      </w:tcPr>
    </w:tblStylePr>
    <w:tblStylePr w:type="band2Horz">
      <w:tblPr/>
      <w:tcPr>
        <w:tcBorders>
          <w:top w:val="single" w:color="FFFFFF" w:themeColor="light1" w:sz="4" w:space="0"/>
          <w:bottom w:val="single" w:color="FFFFFF" w:themeColor="light1" w:sz="4" w:space="0"/>
        </w:tcBorders>
        <w:shd w:val="clear" w:color="9BC2E5"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b/>
        <w:color w:val="FFFFFF" w:themeColor="light1"/>
        <w:sz w:val="22"/>
      </w:rPr>
      <w:tblPr/>
      <w:tcPr>
        <w:tcBorders>
          <w:top w:val="single" w:color="70AD47" w:themeColor="accent6" w:sz="32" w:space="0"/>
          <w:bottom w:val="single" w:color="FFFFFF" w:themeColor="light1" w:sz="12" w:space="0"/>
        </w:tcBorders>
        <w:shd w:val="clear" w:color="A9D08E" w:fill="A9D08E"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70AD47" w:themeColor="accent6" w:sz="32" w:space="0"/>
          <w:right w:val="single" w:color="FFFFFF" w:themeColor="light1" w:sz="4" w:space="0"/>
        </w:tcBorders>
      </w:tcPr>
    </w:tblStylePr>
    <w:tblStylePr w:type="lastCol">
      <w:tblPr/>
      <w:tcPr>
        <w:tcBorders>
          <w:left w:val="single" w:color="FFFFFF" w:themeColor="light1" w:sz="4" w:space="0"/>
          <w:right w:val="single" w:color="70AD47" w:themeColor="accent6" w:sz="32" w:space="0"/>
        </w:tcBorders>
      </w:tcPr>
    </w:tblStylePr>
    <w:tblStylePr w:type="band1Vert">
      <w:tblPr/>
      <w:tcPr>
        <w:tcBorders>
          <w:left w:val="single" w:color="FFFFFF" w:themeColor="light1" w:sz="4" w:space="0"/>
          <w:right w:val="single" w:color="FFFFFF" w:themeColor="light1" w:sz="4" w:space="0"/>
        </w:tcBorders>
        <w:shd w:val="clear" w:color="A9D08E"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fill="A9D08E"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000000" w:themeColor="text1" w:sz="4" w:space="0"/>
        </w:tcBorders>
      </w:tcPr>
    </w:tblStylePr>
    <w:tblStylePr w:type="lastRow">
      <w:rPr>
        <w:b/>
        <w:color w:val="000000" w:themeColor="text1"/>
      </w:rPr>
      <w:tblPr/>
      <w:tcPr>
        <w:tcBorders>
          <w:top w:val="single" w:color="000000"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472C4" w:themeColor="accent1" w:sz="4" w:space="0"/>
        <w:bottom w:val="single" w:color="4472C4" w:themeColor="accent1" w:sz="4" w:space="0"/>
      </w:tblBorders>
    </w:tblPr>
    <w:tblStylePr w:type="firstRow">
      <w:rPr>
        <w:b/>
        <w:color w:val="254175" w:themeColor="accent1" w:themeShade="95"/>
      </w:rPr>
      <w:tblPr/>
      <w:tcPr>
        <w:tcBorders>
          <w:bottom w:val="single" w:color="4472C4" w:themeColor="accent1" w:sz="4" w:space="0"/>
        </w:tcBorders>
      </w:tcPr>
    </w:tblStylePr>
    <w:tblStylePr w:type="lastRow">
      <w:rPr>
        <w:b/>
        <w:color w:val="254175" w:themeColor="accent1" w:themeShade="95"/>
      </w:rPr>
      <w:tblPr/>
      <w:tcPr>
        <w:tcBorders>
          <w:top w:val="single" w:color="4472C4" w:themeColor="accent1" w:sz="4" w:space="0"/>
        </w:tcBorders>
      </w:tcPr>
    </w:tblStylePr>
    <w:tblStylePr w:type="firstCol">
      <w:rPr>
        <w:b/>
        <w:color w:val="254175" w:themeColor="accent1" w:themeShade="95"/>
      </w:rPr>
      <w:tblPr/>
    </w:tblStylePr>
    <w:tblStylePr w:type="lastCol">
      <w:rPr>
        <w:b/>
        <w:color w:val="254175" w:themeColor="accent1" w:themeShade="95"/>
      </w:rPr>
      <w:tbl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firstRow">
      <w:rPr>
        <w:b/>
        <w:color w:val="F4B184" w:themeColor="accent2" w:themeTint="97" w:themeShade="95"/>
      </w:rPr>
      <w:tblPr/>
      <w:tcPr>
        <w:tcBorders>
          <w:bottom w:val="single" w:color="ED7D31" w:themeColor="accent2" w:sz="4" w:space="0"/>
        </w:tcBorders>
      </w:tcPr>
    </w:tblStylePr>
    <w:tblStylePr w:type="lastRow">
      <w:rPr>
        <w:b/>
        <w:color w:val="F4B184" w:themeColor="accent2" w:themeTint="97" w:themeShade="95"/>
      </w:rPr>
      <w:tblPr/>
      <w:tcPr>
        <w:tcBorders>
          <w:top w:val="single" w:color="ED7D31" w:themeColor="accent2" w:sz="4" w:space="0"/>
        </w:tcBorders>
      </w:tc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firstRow">
      <w:rPr>
        <w:b/>
        <w:color w:val="C9C9C9" w:themeColor="accent3" w:themeTint="98" w:themeShade="95"/>
      </w:rPr>
      <w:tblPr/>
      <w:tcPr>
        <w:tcBorders>
          <w:bottom w:val="single" w:color="A5A5A5" w:themeColor="accent3" w:sz="4" w:space="0"/>
        </w:tcBorders>
      </w:tcPr>
    </w:tblStylePr>
    <w:tblStylePr w:type="lastRow">
      <w:rPr>
        <w:b/>
        <w:color w:val="C9C9C9" w:themeColor="accent3" w:themeTint="98" w:themeShade="95"/>
      </w:rPr>
      <w:tblPr/>
      <w:tcPr>
        <w:tcBorders>
          <w:top w:val="single" w:color="A5A5A5" w:themeColor="accent3" w:sz="4" w:space="0"/>
        </w:tcBorders>
      </w:tcPr>
    </w:tblStylePr>
    <w:tblStylePr w:type="firstCol">
      <w:rPr>
        <w:b/>
        <w:color w:val="C9C9C9" w:themeColor="accent3" w:themeTint="98" w:themeShade="95"/>
      </w:rPr>
      <w:tblPr/>
    </w:tblStylePr>
    <w:tblStylePr w:type="lastCol">
      <w:rPr>
        <w:b/>
        <w:color w:val="C9C9C9" w:themeColor="accent3" w:themeTint="98" w:themeShade="95"/>
      </w:rPr>
      <w:tbl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firstRow">
      <w:rPr>
        <w:b/>
        <w:color w:val="FFD865" w:themeColor="accent4" w:themeTint="9a" w:themeShade="95"/>
      </w:rPr>
      <w:tblPr/>
      <w:tcPr>
        <w:tcBorders>
          <w:bottom w:val="single" w:color="FFC000" w:themeColor="accent4" w:sz="4" w:space="0"/>
        </w:tcBorders>
      </w:tcPr>
    </w:tblStylePr>
    <w:tblStylePr w:type="lastRow">
      <w:rPr>
        <w:b/>
        <w:color w:val="FFD865" w:themeColor="accent4" w:themeTint="9a" w:themeShade="95"/>
      </w:rPr>
      <w:tblPr/>
      <w:tcPr>
        <w:tcBorders>
          <w:top w:val="single" w:color="FFC000" w:themeColor="accent4" w:sz="4" w:space="0"/>
        </w:tcBorders>
      </w:tc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BC2E5" w:themeColor="accent5" w:themeTint="9a" w:sz="4" w:space="0"/>
        <w:bottom w:val="single" w:color="9BC2E5" w:themeColor="accent5" w:themeTint="9a" w:sz="4" w:space="0"/>
      </w:tblBorders>
    </w:tblPr>
    <w:tblStylePr w:type="firstRow">
      <w:rPr>
        <w:b/>
        <w:color w:val="9BC2E5" w:themeColor="accent5" w:themeTint="9a" w:themeShade="95"/>
      </w:rPr>
      <w:tblPr/>
      <w:tcPr>
        <w:tcBorders>
          <w:bottom w:val="single" w:color="5B9BD5" w:themeColor="accent5" w:sz="4" w:space="0"/>
        </w:tcBorders>
      </w:tcPr>
    </w:tblStylePr>
    <w:tblStylePr w:type="lastRow">
      <w:rPr>
        <w:b/>
        <w:color w:val="9BC2E5" w:themeColor="accent5" w:themeTint="9a" w:themeShade="95"/>
      </w:rPr>
      <w:tblPr/>
      <w:tcPr>
        <w:tcBorders>
          <w:top w:val="single" w:color="5B9BD5" w:themeColor="accent5" w:sz="4" w:space="0"/>
        </w:tcBorders>
      </w:tcPr>
    </w:tblStylePr>
    <w:tblStylePr w:type="firstCol">
      <w:rPr>
        <w:b/>
        <w:color w:val="9BC2E5" w:themeColor="accent5" w:themeTint="9a" w:themeShade="95"/>
      </w:rPr>
      <w:tblPr/>
    </w:tblStylePr>
    <w:tblStylePr w:type="lastCol">
      <w:rPr>
        <w:b/>
        <w:color w:val="9BC2E5" w:themeColor="accent5" w:themeTint="9a" w:themeShade="95"/>
      </w:rPr>
      <w:tbl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firstRow">
      <w:rPr>
        <w:b/>
        <w:color w:val="A9D08E" w:themeColor="accent6" w:themeTint="98" w:themeShade="95"/>
      </w:rPr>
      <w:tblPr/>
      <w:tcPr>
        <w:tcBorders>
          <w:bottom w:val="single" w:color="70AD47" w:themeColor="accent6" w:sz="4" w:space="0"/>
        </w:tcBorders>
      </w:tcPr>
    </w:tblStylePr>
    <w:tblStylePr w:type="lastRow">
      <w:rPr>
        <w:b/>
        <w:color w:val="A9D08E" w:themeColor="accent6" w:themeTint="98" w:themeShade="95"/>
      </w:rPr>
      <w:tblPr/>
      <w:tcPr>
        <w:tcBorders>
          <w:top w:val="single" w:color="70AD47" w:themeColor="accent6" w:sz="4" w:space="0"/>
        </w:tcBorders>
      </w:tcPr>
    </w:tblStylePr>
    <w:tblStylePr w:type="firstCol">
      <w:rPr>
        <w:b/>
        <w:color w:val="A9D08E" w:themeColor="accent6" w:themeTint="98" w:themeShade="95"/>
      </w:rPr>
      <w:tblPr/>
    </w:tblStylePr>
    <w:tblStylePr w:type="lastCol">
      <w:rPr>
        <w:b/>
        <w:color w:val="A9D08E" w:themeColor="accent6" w:themeTint="98" w:themeShade="95"/>
      </w:rPr>
      <w:tbl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auto" w:sz="0" w:space="0"/>
          <w:left w:val="none" w:color="auto" w:sz="0" w:space="0"/>
          <w:bottom w:val="single" w:color="000000" w:themeColor="text1" w:sz="4" w:space="0"/>
          <w:right w:val="none" w:color="auto" w:sz="0" w:space="0"/>
        </w:tcBorders>
        <w:shd w:val="clear" w:color="FFFFFF" w:fill="FFFFFF" w:themeFill="light1"/>
      </w:tcPr>
    </w:tblStylePr>
    <w:tblStylePr w:type="lastRow">
      <w:rPr>
        <w:i/>
        <w:color w:val="7F7F7F" w:themeColor="text1" w:themeTint="80" w:themeShade="95"/>
        <w:sz w:val="22"/>
      </w:rPr>
      <w:tblPr/>
      <w:tcPr>
        <w:tcBorders>
          <w:top w:val="single" w:color="000000"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000000"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472C4" w:themeColor="accent1" w:sz="4" w:space="0"/>
      </w:tblBorders>
    </w:tblPr>
    <w:tblStylePr w:type="firstRow">
      <w:rPr>
        <w:i/>
        <w:color w:val="254175" w:themeColor="accent1" w:themeShade="95"/>
        <w:sz w:val="22"/>
      </w:rPr>
      <w:tblPr/>
      <w:tcPr>
        <w:tcBorders>
          <w:top w:val="none" w:color="auto" w:sz="0" w:space="0"/>
          <w:left w:val="none" w:color="auto" w:sz="0" w:space="0"/>
          <w:bottom w:val="single" w:color="4472C4" w:themeColor="accent1" w:sz="4" w:space="0"/>
          <w:right w:val="none" w:color="auto" w:sz="0" w:space="0"/>
        </w:tcBorders>
        <w:shd w:val="clear" w:color="FFFFFF" w:fill="FFFFFF" w:themeFill="light1"/>
      </w:tcPr>
    </w:tblStylePr>
    <w:tblStylePr w:type="lastRow">
      <w:rPr>
        <w:i/>
        <w:color w:val="254175" w:themeColor="accent1" w:themeShade="95"/>
        <w:sz w:val="22"/>
      </w:rPr>
      <w:tblPr/>
      <w:tcPr>
        <w:tcBorders>
          <w:top w:val="single" w:color="4472C4"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54175" w:themeColor="accent1" w:themeShade="95"/>
        <w:sz w:val="22"/>
      </w:rPr>
      <w:tblPr/>
      <w:tcPr>
        <w:tcBorders>
          <w:top w:val="none" w:color="auto" w:sz="0" w:space="0"/>
          <w:left w:val="none" w:color="auto" w:sz="0" w:space="0"/>
          <w:bottom w:val="none" w:color="auto" w:sz="0" w:space="0"/>
          <w:right w:val="single" w:color="4472C4" w:themeColor="accent1" w:sz="4" w:space="0"/>
        </w:tcBorders>
        <w:shd w:val="clear" w:color="FFFFFF" w:fill="auto"/>
      </w:tcPr>
    </w:tblStylePr>
    <w:tblStylePr w:type="lastCol">
      <w:rPr>
        <w:i/>
        <w:color w:val="254175" w:themeColor="accent1" w:themeShade="95"/>
        <w:sz w:val="22"/>
      </w:rPr>
      <w:tblPr/>
      <w:tcPr>
        <w:tcBorders>
          <w:top w:val="none" w:color="auto" w:sz="0" w:space="0"/>
          <w:left w:val="single" w:color="4472C4" w:themeColor="accent1" w:sz="4" w:space="0"/>
          <w:bottom w:val="none" w:color="auto" w:sz="0" w:space="0"/>
          <w:right w:val="none" w:color="auto" w:sz="0" w:space="0"/>
        </w:tcBorders>
        <w:shd w:val="clear" w:color="FFFFFF" w:fill="auto"/>
      </w:tc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F4B184" w:themeColor="accent2" w:themeTint="97" w:sz="4" w:space="0"/>
      </w:tblBorders>
    </w:tblPr>
    <w:tblStylePr w:type="firstRow">
      <w:rPr>
        <w:i/>
        <w:color w:val="F4B184" w:themeColor="accent2" w:themeTint="97" w:themeShade="95"/>
        <w:sz w:val="22"/>
      </w:rPr>
      <w:tblPr/>
      <w:tcPr>
        <w:tcBorders>
          <w:top w:val="none" w:color="auto" w:sz="0" w:space="0"/>
          <w:left w:val="none" w:color="auto" w:sz="0" w:space="0"/>
          <w:bottom w:val="single" w:color="ED7D31" w:themeColor="accent2" w:sz="4" w:space="0"/>
          <w:right w:val="none" w:color="auto" w:sz="0" w:space="0"/>
        </w:tcBorders>
        <w:shd w:val="clear" w:color="FFFFFF" w:fill="FFFFFF" w:themeFill="light1"/>
      </w:tcPr>
    </w:tblStylePr>
    <w:tblStylePr w:type="lastRow">
      <w:rPr>
        <w:i/>
        <w:color w:val="F4B184" w:themeColor="accent2" w:themeTint="97" w:themeShade="95"/>
        <w:sz w:val="22"/>
      </w:rPr>
      <w:tblPr/>
      <w:tcPr>
        <w:tcBorders>
          <w:top w:val="single" w:color="ED7D31"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ED7D31"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ED7D31" w:themeColor="accent2" w:sz="4" w:space="0"/>
          <w:bottom w:val="none" w:color="auto" w:sz="0" w:space="0"/>
          <w:right w:val="none" w:color="auto" w:sz="0" w:space="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9C9C9" w:themeColor="accent3" w:themeTint="98" w:sz="4" w:space="0"/>
      </w:tblBorders>
    </w:tblPr>
    <w:tblStylePr w:type="firstRow">
      <w:rPr>
        <w:i/>
        <w:color w:val="C9C9C9" w:themeColor="accent3" w:themeTint="98" w:themeShade="95"/>
        <w:sz w:val="22"/>
      </w:rPr>
      <w:tblPr/>
      <w:tcPr>
        <w:tcBorders>
          <w:top w:val="none" w:color="auto" w:sz="0" w:space="0"/>
          <w:left w:val="none" w:color="auto" w:sz="0" w:space="0"/>
          <w:bottom w:val="single" w:color="A5A5A5" w:themeColor="accent3" w:sz="4" w:space="0"/>
          <w:right w:val="none" w:color="auto" w:sz="0" w:space="0"/>
        </w:tcBorders>
        <w:shd w:val="clear" w:color="FFFFFF" w:fill="FFFFFF" w:themeFill="light1"/>
      </w:tcPr>
    </w:tblStylePr>
    <w:tblStylePr w:type="lastRow">
      <w:rPr>
        <w:i/>
        <w:color w:val="C9C9C9" w:themeColor="accent3" w:themeTint="98" w:themeShade="95"/>
        <w:sz w:val="22"/>
      </w:rPr>
      <w:tblPr/>
      <w:tcPr>
        <w:tcBorders>
          <w:top w:val="single" w:color="A5A5A5"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C9C9C9" w:themeColor="accent3" w:themeTint="98" w:themeShade="95"/>
        <w:sz w:val="22"/>
      </w:rPr>
      <w:tblPr/>
      <w:tcPr>
        <w:tcBorders>
          <w:top w:val="none" w:color="auto" w:sz="0" w:space="0"/>
          <w:left w:val="none" w:color="auto" w:sz="0" w:space="0"/>
          <w:bottom w:val="none" w:color="auto" w:sz="0" w:space="0"/>
          <w:right w:val="single" w:color="A5A5A5" w:themeColor="accent3" w:sz="4" w:space="0"/>
        </w:tcBorders>
        <w:shd w:val="clear" w:color="FFFFFF" w:fill="auto"/>
      </w:tcPr>
    </w:tblStylePr>
    <w:tblStylePr w:type="lastCol">
      <w:rPr>
        <w:i/>
        <w:color w:val="C9C9C9" w:themeColor="accent3" w:themeTint="98" w:themeShade="95"/>
        <w:sz w:val="22"/>
      </w:rPr>
      <w:tblPr/>
      <w:tcPr>
        <w:tcBorders>
          <w:top w:val="none" w:color="auto" w:sz="0" w:space="0"/>
          <w:left w:val="single" w:color="A5A5A5" w:themeColor="accent3" w:sz="4" w:space="0"/>
          <w:bottom w:val="none" w:color="auto" w:sz="0" w:space="0"/>
          <w:right w:val="none" w:color="auto" w:sz="0" w:space="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FFD865" w:themeColor="accent4" w:themeTint="9a" w:sz="4" w:space="0"/>
      </w:tblBorders>
    </w:tblPr>
    <w:tblStylePr w:type="firstRow">
      <w:rPr>
        <w:i/>
        <w:color w:val="FFD865" w:themeColor="accent4" w:themeTint="9a" w:themeShade="95"/>
        <w:sz w:val="22"/>
      </w:rPr>
      <w:tblPr/>
      <w:tcPr>
        <w:tcBorders>
          <w:top w:val="none" w:color="auto" w:sz="0" w:space="0"/>
          <w:left w:val="none" w:color="auto" w:sz="0" w:space="0"/>
          <w:bottom w:val="single" w:color="FFC000" w:themeColor="accent4" w:sz="4" w:space="0"/>
          <w:right w:val="none" w:color="auto" w:sz="0" w:space="0"/>
        </w:tcBorders>
        <w:shd w:val="clear" w:color="FFFFFF" w:fill="FFFFFF" w:themeFill="light1"/>
      </w:tcPr>
    </w:tblStylePr>
    <w:tblStylePr w:type="lastRow">
      <w:rPr>
        <w:i/>
        <w:color w:val="FFD865" w:themeColor="accent4" w:themeTint="9a" w:themeShade="95"/>
        <w:sz w:val="22"/>
      </w:rPr>
      <w:tblPr/>
      <w:tcPr>
        <w:tcBorders>
          <w:top w:val="single" w:color="FFC000"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C000"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C000" w:themeColor="accent4" w:sz="4" w:space="0"/>
          <w:bottom w:val="none" w:color="auto" w:sz="0" w:space="0"/>
          <w:right w:val="none" w:color="auto" w:sz="0" w:space="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BC2E5" w:themeColor="accent5" w:themeTint="9a" w:sz="4" w:space="0"/>
      </w:tblBorders>
    </w:tblPr>
    <w:tblStylePr w:type="firstRow">
      <w:rPr>
        <w:i/>
        <w:color w:val="9BC2E5" w:themeColor="accent5" w:themeTint="9a" w:themeShade="95"/>
        <w:sz w:val="22"/>
      </w:rPr>
      <w:tblPr/>
      <w:tcPr>
        <w:tcBorders>
          <w:top w:val="none" w:color="auto" w:sz="0" w:space="0"/>
          <w:left w:val="none" w:color="auto" w:sz="0" w:space="0"/>
          <w:bottom w:val="single" w:color="5B9BD5" w:themeColor="accent5" w:sz="4" w:space="0"/>
          <w:right w:val="none" w:color="auto" w:sz="0" w:space="0"/>
        </w:tcBorders>
        <w:shd w:val="clear" w:color="FFFFFF" w:fill="FFFFFF" w:themeFill="light1"/>
      </w:tcPr>
    </w:tblStylePr>
    <w:tblStylePr w:type="lastRow">
      <w:rPr>
        <w:i/>
        <w:color w:val="9BC2E5" w:themeColor="accent5" w:themeTint="9a" w:themeShade="95"/>
        <w:sz w:val="22"/>
      </w:rPr>
      <w:tblPr/>
      <w:tcPr>
        <w:tcBorders>
          <w:top w:val="single" w:color="5B9BD5"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9BC2E5" w:themeColor="accent5" w:themeTint="9a" w:themeShade="95"/>
        <w:sz w:val="22"/>
      </w:rPr>
      <w:tblPr/>
      <w:tcPr>
        <w:tcBorders>
          <w:top w:val="none" w:color="auto" w:sz="0" w:space="0"/>
          <w:left w:val="none" w:color="auto" w:sz="0" w:space="0"/>
          <w:bottom w:val="none" w:color="auto" w:sz="0" w:space="0"/>
          <w:right w:val="single" w:color="5B9BD5" w:themeColor="accent5" w:sz="4" w:space="0"/>
        </w:tcBorders>
        <w:shd w:val="clear" w:color="FFFFFF" w:fill="auto"/>
      </w:tcPr>
    </w:tblStylePr>
    <w:tblStylePr w:type="lastCol">
      <w:rPr>
        <w:i/>
        <w:color w:val="9BC2E5" w:themeColor="accent5" w:themeTint="9a" w:themeShade="95"/>
        <w:sz w:val="22"/>
      </w:rPr>
      <w:tblPr/>
      <w:tcPr>
        <w:tcBorders>
          <w:top w:val="none" w:color="auto" w:sz="0" w:space="0"/>
          <w:left w:val="single" w:color="5B9BD5" w:themeColor="accent5" w:sz="4" w:space="0"/>
          <w:bottom w:val="none" w:color="auto" w:sz="0" w:space="0"/>
          <w:right w:val="none" w:color="auto" w:sz="0" w:space="0"/>
        </w:tcBorders>
        <w:shd w:val="clear" w:color="FFFFFF" w:fill="auto"/>
      </w:tc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A9D08E" w:themeColor="accent6" w:themeTint="98" w:sz="4" w:space="0"/>
      </w:tblBorders>
    </w:tblPr>
    <w:tblStylePr w:type="firstRow">
      <w:rPr>
        <w:i/>
        <w:color w:val="A9D08E" w:themeColor="accent6" w:themeTint="98" w:themeShade="95"/>
        <w:sz w:val="22"/>
      </w:rPr>
      <w:tblPr/>
      <w:tcPr>
        <w:tcBorders>
          <w:top w:val="none" w:color="auto" w:sz="0" w:space="0"/>
          <w:left w:val="none" w:color="auto" w:sz="0" w:space="0"/>
          <w:bottom w:val="single" w:color="70AD47" w:themeColor="accent6" w:sz="4" w:space="0"/>
          <w:right w:val="none" w:color="auto" w:sz="0" w:space="0"/>
        </w:tcBorders>
        <w:shd w:val="clear" w:color="FFFFFF" w:fill="FFFFFF" w:themeFill="light1"/>
      </w:tcPr>
    </w:tblStylePr>
    <w:tblStylePr w:type="lastRow">
      <w:rPr>
        <w:i/>
        <w:color w:val="A9D08E" w:themeColor="accent6" w:themeTint="98" w:themeShade="95"/>
        <w:sz w:val="22"/>
      </w:rPr>
      <w:tblPr/>
      <w:tcPr>
        <w:tcBorders>
          <w:top w:val="single" w:color="70AD47"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9D08E" w:themeColor="accent6" w:themeTint="98" w:themeShade="95"/>
        <w:sz w:val="22"/>
      </w:rPr>
      <w:tblPr/>
      <w:tcPr>
        <w:tcBorders>
          <w:top w:val="none" w:color="auto" w:sz="0" w:space="0"/>
          <w:left w:val="none" w:color="auto" w:sz="0" w:space="0"/>
          <w:bottom w:val="none" w:color="auto" w:sz="0" w:space="0"/>
          <w:right w:val="single" w:color="70AD47" w:themeColor="accent6" w:sz="4" w:space="0"/>
        </w:tcBorders>
        <w:shd w:val="clear" w:color="FFFFFF" w:fill="auto"/>
      </w:tcPr>
    </w:tblStylePr>
    <w:tblStylePr w:type="lastCol">
      <w:rPr>
        <w:i/>
        <w:color w:val="A9D08E" w:themeColor="accent6" w:themeTint="98" w:themeShade="95"/>
        <w:sz w:val="22"/>
      </w:rPr>
      <w:tblPr/>
      <w:tcPr>
        <w:tcBorders>
          <w:top w:val="none" w:color="auto" w:sz="0" w:space="0"/>
          <w:left w:val="single" w:color="70AD47" w:themeColor="accent6" w:sz="4" w:space="0"/>
          <w:bottom w:val="none" w:color="auto" w:sz="0" w:space="0"/>
          <w:right w:val="none" w:color="auto" w:sz="0" w:space="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Lined-Accent">
    <w:name w:val="Lined - Accent"/>
    <w:basedOn w:val="a1"/>
    <w:uiPriority w:val="99"/>
    <w:rPr>
      <w:color w:val="404040"/>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Lined-Accent1">
    <w:name w:val="Lined - Accent 1"/>
    <w:basedOn w:val="a1"/>
    <w:uiPriority w:val="99"/>
    <w:rPr>
      <w:color w:val="404040"/>
    </w:rPr>
    <w:tblPr>
      <w:tblStyleRowBandSize w:val="1"/>
      <w:tblStyleColBandSize w:val="1"/>
    </w:tblPr>
    <w:tblStylePr w:type="firstRow">
      <w:rPr>
        <w:color w:val="F2F2F2"/>
        <w:sz w:val="22"/>
      </w:rPr>
      <w:tblPr/>
      <w:tcPr>
        <w:shd w:val="clear" w:color="537DC8" w:fill="537DC8" w:themeFill="accent1" w:themeFillTint="ea"/>
      </w:tcPr>
    </w:tblStylePr>
    <w:tblStylePr w:type="lastRow">
      <w:rPr>
        <w:color w:val="F2F2F2"/>
        <w:sz w:val="22"/>
      </w:rPr>
      <w:tblPr/>
      <w:tcPr>
        <w:shd w:val="clear" w:color="537DC8" w:fill="537DC8" w:themeFill="accent1" w:themeFillTint="ea"/>
      </w:tcPr>
    </w:tblStylePr>
    <w:tblStylePr w:type="firstCol">
      <w:rPr>
        <w:color w:val="F2F2F2"/>
        <w:sz w:val="22"/>
      </w:rPr>
      <w:tblPr/>
      <w:tcPr>
        <w:shd w:val="clear" w:color="537DC8" w:fill="537DC8" w:themeFill="accent1" w:themeFillTint="ea"/>
      </w:tcPr>
    </w:tblStylePr>
    <w:tblStylePr w:type="lastCol">
      <w:rPr>
        <w:color w:val="F2F2F2"/>
        <w:sz w:val="22"/>
      </w:rPr>
      <w:tblPr/>
      <w:tcPr>
        <w:shd w:val="clear" w:color="537DC8" w:fill="537DC8" w:themeFill="accent1" w:themeFillTint="ea"/>
      </w:tcPr>
    </w:tblStylePr>
    <w:tblStylePr w:type="band1Vert">
      <w:rPr>
        <w:color w:val="404040"/>
        <w:sz w:val="22"/>
      </w:rPr>
      <w:tblPr/>
    </w:tblStylePr>
    <w:tblStylePr w:type="band2Vert">
      <w:rPr>
        <w:color w:val="404040"/>
        <w:sz w:val="22"/>
      </w:rPr>
      <w:tblPr/>
      <w:tcPr>
        <w:shd w:val="clear" w:color="C4D2EC" w:fill="C4D2EC" w:themeFill="accent1" w:themeFillTint="50"/>
      </w:tcPr>
    </w:tblStylePr>
    <w:tblStylePr w:type="band1Horz">
      <w:rPr>
        <w:color w:val="404040"/>
        <w:sz w:val="22"/>
      </w:rPr>
      <w:tblPr/>
    </w:tblStylePr>
    <w:tblStylePr w:type="band2Horz">
      <w:rPr>
        <w:color w:val="404040"/>
        <w:sz w:val="22"/>
      </w:rPr>
      <w:tblPr/>
      <w:tcPr>
        <w:shd w:val="clear" w:color="C4D2EC" w:fill="C4D2EC"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color w:val="F2F2F2"/>
        <w:sz w:val="22"/>
      </w:rPr>
      <w:tblPr/>
      <w:tcPr>
        <w:shd w:val="clear" w:color="5B9BD5" w:fill="5B9BD5" w:themeFill="accent5"/>
      </w:tcPr>
    </w:tblStylePr>
    <w:tblStylePr w:type="lastRow">
      <w:rPr>
        <w:color w:val="F2F2F2"/>
        <w:sz w:val="22"/>
      </w:rPr>
      <w:tblPr/>
      <w:tcPr>
        <w:shd w:val="clear" w:color="5B9BD5" w:fill="5B9BD5" w:themeFill="accent5"/>
      </w:tcPr>
    </w:tblStylePr>
    <w:tblStylePr w:type="firstCol">
      <w:rPr>
        <w:color w:val="F2F2F2"/>
        <w:sz w:val="22"/>
      </w:rPr>
      <w:tblPr/>
      <w:tcPr>
        <w:shd w:val="clear" w:color="5B9BD5" w:fill="5B9BD5" w:themeFill="accent5"/>
      </w:tcPr>
    </w:tblStylePr>
    <w:tblStylePr w:type="lastCol">
      <w:rPr>
        <w:color w:val="F2F2F2"/>
        <w:sz w:val="22"/>
      </w:rPr>
      <w:tblPr/>
      <w:tcPr>
        <w:shd w:val="clear" w:color="5B9BD5" w:fill="5B9BD5" w:themeFill="accent5"/>
      </w:tcPr>
    </w:tblStylePr>
    <w:tblStylePr w:type="band1Vert">
      <w:rPr>
        <w:color w:val="404040"/>
        <w:sz w:val="22"/>
      </w:rPr>
      <w:tblPr/>
    </w:tblStylePr>
    <w:tblStylePr w:type="band2Vert">
      <w:rPr>
        <w:color w:val="404040"/>
        <w:sz w:val="22"/>
      </w:rPr>
      <w:tblPr/>
      <w:tcPr>
        <w:shd w:val="clear" w:color="DDEAF6" w:fill="DDEAF6" w:themeFill="accent5" w:themeFillTint="34"/>
      </w:tcPr>
    </w:tblStylePr>
    <w:tblStylePr w:type="band1Horz">
      <w:rPr>
        <w:color w:val="404040"/>
        <w:sz w:val="22"/>
      </w:rPr>
      <w:tblPr/>
    </w:tblStylePr>
    <w:tblStylePr w:type="band2Horz">
      <w:rPr>
        <w:color w:val="404040"/>
        <w:sz w:val="22"/>
      </w:rPr>
      <w:tblPr/>
      <w:tcPr>
        <w:shd w:val="clear" w:color="DDEAF6" w:fill="DDEAF6"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insideH w:val="single" w:color="4472C4" w:themeColor="accent1" w:sz="4" w:space="0"/>
        <w:insideV w:val="single" w:color="4472C4" w:themeColor="accent1" w:sz="4" w:space="0"/>
      </w:tblBorders>
    </w:tblPr>
    <w:tblStylePr w:type="firstRow">
      <w:rPr>
        <w:color w:val="F2F2F2"/>
        <w:sz w:val="22"/>
      </w:rPr>
      <w:tblPr/>
      <w:tcPr>
        <w:shd w:val="clear" w:color="537DC8" w:fill="537DC8" w:themeFill="accent1" w:themeFillTint="ea"/>
      </w:tcPr>
    </w:tblStylePr>
    <w:tblStylePr w:type="lastRow">
      <w:rPr>
        <w:color w:val="F2F2F2"/>
        <w:sz w:val="22"/>
      </w:rPr>
      <w:tblPr/>
      <w:tcPr>
        <w:shd w:val="clear" w:color="537DC8" w:fill="537DC8" w:themeFill="accent1" w:themeFillTint="ea"/>
      </w:tcPr>
    </w:tblStylePr>
    <w:tblStylePr w:type="firstCol">
      <w:rPr>
        <w:color w:val="F2F2F2"/>
        <w:sz w:val="22"/>
      </w:rPr>
      <w:tblPr/>
      <w:tcPr>
        <w:shd w:val="clear" w:color="537DC8" w:fill="537DC8" w:themeFill="accent1" w:themeFillTint="ea"/>
      </w:tcPr>
    </w:tblStylePr>
    <w:tblStylePr w:type="lastCol">
      <w:rPr>
        <w:color w:val="F2F2F2"/>
        <w:sz w:val="22"/>
      </w:rPr>
      <w:tblPr/>
      <w:tcPr>
        <w:shd w:val="clear" w:color="537DC8" w:fill="537DC8" w:themeFill="accent1" w:themeFillTint="ea"/>
      </w:tcPr>
    </w:tblStylePr>
    <w:tblStylePr w:type="band1Vert">
      <w:rPr>
        <w:color w:val="404040"/>
        <w:sz w:val="22"/>
      </w:rPr>
      <w:tblPr/>
    </w:tblStylePr>
    <w:tblStylePr w:type="band2Vert">
      <w:rPr>
        <w:color w:val="404040"/>
        <w:sz w:val="22"/>
      </w:rPr>
      <w:tblPr/>
      <w:tcPr>
        <w:shd w:val="clear" w:color="C4D2EC" w:fill="C4D2EC" w:themeFill="accent1" w:themeFillTint="50"/>
      </w:tcPr>
    </w:tblStylePr>
    <w:tblStylePr w:type="band1Horz">
      <w:rPr>
        <w:color w:val="404040"/>
        <w:sz w:val="22"/>
      </w:rPr>
      <w:tblPr/>
    </w:tblStylePr>
    <w:tblStylePr w:type="band2Horz">
      <w:rPr>
        <w:color w:val="404040"/>
        <w:sz w:val="22"/>
      </w:rPr>
      <w:tblPr/>
      <w:tcPr>
        <w:shd w:val="clear" w:color="C4D2EC" w:fill="C4D2EC"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color="ED7D31" w:themeColor="accent2" w:sz="4" w:space="0"/>
        <w:left w:val="single" w:color="ED7D31" w:themeColor="accent2" w:sz="4" w:space="0"/>
        <w:bottom w:val="single" w:color="ED7D31" w:themeColor="accent2" w:sz="4" w:space="0"/>
        <w:right w:val="single" w:color="ED7D31" w:themeColor="accent2" w:sz="4" w:space="0"/>
        <w:insideH w:val="single" w:color="ED7D31" w:themeColor="accent2" w:sz="4" w:space="0"/>
        <w:insideV w:val="single" w:color="ED7D31" w:themeColor="accent2" w:sz="4" w:space="0"/>
      </w:tblBorders>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insideH w:val="single" w:color="A5A5A5" w:themeColor="accent3" w:sz="4" w:space="0"/>
        <w:insideV w:val="single" w:color="A5A5A5" w:themeColor="accent3" w:sz="4" w:space="0"/>
      </w:tblBorders>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color="FFC000" w:themeColor="accent4" w:sz="4" w:space="0"/>
        <w:left w:val="single" w:color="FFC000" w:themeColor="accent4" w:sz="4" w:space="0"/>
        <w:bottom w:val="single" w:color="FFC000" w:themeColor="accent4" w:sz="4" w:space="0"/>
        <w:right w:val="single" w:color="FFC000" w:themeColor="accent4" w:sz="4" w:space="0"/>
        <w:insideH w:val="single" w:color="FFC000" w:themeColor="accent4" w:sz="4" w:space="0"/>
        <w:insideV w:val="single" w:color="FFC000" w:themeColor="accent4" w:sz="4" w:space="0"/>
      </w:tblBorders>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firstRow">
      <w:rPr>
        <w:color w:val="F2F2F2"/>
        <w:sz w:val="22"/>
      </w:rPr>
      <w:tblPr/>
      <w:tcPr>
        <w:shd w:val="clear" w:color="5B9BD5" w:fill="5B9BD5" w:themeFill="accent5"/>
      </w:tcPr>
    </w:tblStylePr>
    <w:tblStylePr w:type="lastRow">
      <w:rPr>
        <w:color w:val="F2F2F2"/>
        <w:sz w:val="22"/>
      </w:rPr>
      <w:tblPr/>
      <w:tcPr>
        <w:shd w:val="clear" w:color="5B9BD5" w:fill="5B9BD5" w:themeFill="accent5"/>
      </w:tcPr>
    </w:tblStylePr>
    <w:tblStylePr w:type="firstCol">
      <w:rPr>
        <w:color w:val="F2F2F2"/>
        <w:sz w:val="22"/>
      </w:rPr>
      <w:tblPr/>
      <w:tcPr>
        <w:shd w:val="clear" w:color="5B9BD5" w:fill="5B9BD5" w:themeFill="accent5"/>
      </w:tcPr>
    </w:tblStylePr>
    <w:tblStylePr w:type="lastCol">
      <w:rPr>
        <w:color w:val="F2F2F2"/>
        <w:sz w:val="22"/>
      </w:rPr>
      <w:tblPr/>
      <w:tcPr>
        <w:shd w:val="clear" w:color="5B9BD5" w:fill="5B9BD5" w:themeFill="accent5"/>
      </w:tcPr>
    </w:tblStylePr>
    <w:tblStylePr w:type="band1Vert">
      <w:rPr>
        <w:color w:val="404040"/>
        <w:sz w:val="22"/>
      </w:rPr>
      <w:tblPr/>
    </w:tblStylePr>
    <w:tblStylePr w:type="band2Vert">
      <w:rPr>
        <w:color w:val="404040"/>
        <w:sz w:val="22"/>
      </w:rPr>
      <w:tblPr/>
      <w:tcPr>
        <w:shd w:val="clear" w:color="DDEAF6" w:fill="DDEAF6" w:themeFill="accent5" w:themeFillTint="34"/>
      </w:tcPr>
    </w:tblStylePr>
    <w:tblStylePr w:type="band1Horz">
      <w:rPr>
        <w:color w:val="404040"/>
        <w:sz w:val="22"/>
      </w:rPr>
      <w:tblPr/>
    </w:tblStylePr>
    <w:tblStylePr w:type="band2Horz">
      <w:rPr>
        <w:color w:val="404040"/>
        <w:sz w:val="22"/>
      </w:rPr>
      <w:tblPr/>
      <w:tcPr>
        <w:shd w:val="clear" w:color="DDEAF6" w:fill="DDEAF6"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color w:val="404040"/>
        <w:sz w:val="22"/>
      </w:rPr>
      <w:tblPr/>
      <w:tcPr>
        <w:tcBorders>
          <w:bottom w:val="single" w:color="000000" w:themeColor="text1" w:sz="12" w:space="0"/>
        </w:tcBorders>
      </w:tcPr>
    </w:tblStylePr>
    <w:tblStylePr w:type="lastRow">
      <w:rPr>
        <w:color w:val="404040"/>
        <w:sz w:val="22"/>
      </w:rPr>
      <w:tblPr/>
      <w:tcPr>
        <w:tcBorders>
          <w:top w:val="single" w:color="000000" w:themeColor="text1" w:sz="12" w:space="0"/>
        </w:tcBorders>
      </w:tcPr>
    </w:tblStylePr>
    <w:tblStylePr w:type="firstCol">
      <w:rPr>
        <w:color w:val="404040"/>
        <w:sz w:val="22"/>
      </w:rPr>
      <w:tblPr/>
    </w:tblStylePr>
    <w:tblStylePr w:type="lastCol">
      <w:rPr>
        <w:color w:val="404040"/>
        <w:sz w:val="22"/>
      </w:rPr>
      <w:tblPr/>
      <w:tcPr>
        <w:tcBorders>
          <w:left w:val="single" w:color="000000" w:themeColor="text1" w:sz="12" w:space="0"/>
        </w:tcBorders>
      </w:tcPr>
    </w:tblStyle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firstRow">
      <w:rPr>
        <w:color w:val="404040"/>
        <w:sz w:val="22"/>
      </w:rPr>
      <w:tblPr/>
      <w:tcPr>
        <w:tcBorders>
          <w:bottom w:val="single" w:color="4472C4" w:themeColor="accent1" w:sz="12" w:space="0"/>
        </w:tcBorders>
      </w:tcPr>
    </w:tblStylePr>
    <w:tblStylePr w:type="lastRow">
      <w:rPr>
        <w:color w:val="404040"/>
        <w:sz w:val="22"/>
      </w:rPr>
      <w:tblPr/>
      <w:tcPr>
        <w:tcBorders>
          <w:top w:val="single" w:color="4472C4" w:themeColor="accent1" w:sz="12" w:space="0"/>
        </w:tcBorders>
      </w:tcPr>
    </w:tblStylePr>
    <w:tblStylePr w:type="firstCol">
      <w:rPr>
        <w:color w:val="404040"/>
        <w:sz w:val="22"/>
      </w:rPr>
      <w:tblPr/>
    </w:tblStylePr>
    <w:tblStylePr w:type="lastCol">
      <w:rPr>
        <w:color w:val="404040"/>
        <w:sz w:val="22"/>
      </w:rPr>
      <w:tblPr/>
      <w:tcPr>
        <w:tcBorders>
          <w:left w:val="single" w:color="4472C4" w:themeColor="accent1" w:sz="12" w:space="0"/>
        </w:tcBorders>
      </w:tcPr>
    </w:tblStylePr>
    <w:tblStylePr w:type="band1Horz">
      <w:rPr>
        <w:color w:val="404040"/>
        <w:sz w:val="22"/>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color w:val="404040"/>
        <w:sz w:val="22"/>
      </w:rPr>
      <w:tblPr/>
      <w:tcPr>
        <w:tcBorders>
          <w:bottom w:val="single" w:color="ED7D31" w:themeColor="accent2" w:sz="12" w:space="0"/>
        </w:tcBorders>
      </w:tcPr>
    </w:tblStylePr>
    <w:tblStylePr w:type="lastRow">
      <w:rPr>
        <w:color w:val="404040"/>
        <w:sz w:val="22"/>
      </w:rPr>
      <w:tblPr/>
      <w:tcPr>
        <w:tcBorders>
          <w:top w:val="single" w:color="ED7D31" w:themeColor="accent2" w:sz="12" w:space="0"/>
        </w:tcBorders>
      </w:tcPr>
    </w:tblStylePr>
    <w:tblStylePr w:type="firstCol">
      <w:rPr>
        <w:color w:val="404040"/>
        <w:sz w:val="22"/>
      </w:rPr>
      <w:tblPr/>
    </w:tblStylePr>
    <w:tblStylePr w:type="lastCol">
      <w:rPr>
        <w:color w:val="404040"/>
        <w:sz w:val="22"/>
      </w:rPr>
      <w:tblPr/>
      <w:tcPr>
        <w:tcBorders>
          <w:left w:val="single" w:color="ED7D31" w:themeColor="accent2" w:sz="12" w:space="0"/>
        </w:tcBorders>
      </w:tcPr>
    </w:tblStylePr>
    <w:tblStylePr w:type="band1Horz">
      <w:rPr>
        <w:color w:val="404040"/>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color w:val="404040"/>
        <w:sz w:val="22"/>
      </w:rPr>
      <w:tblPr/>
      <w:tcPr>
        <w:tcBorders>
          <w:bottom w:val="single" w:color="A5A5A5" w:themeColor="accent3" w:sz="12" w:space="0"/>
        </w:tcBorders>
      </w:tcPr>
    </w:tblStylePr>
    <w:tblStylePr w:type="lastRow">
      <w:rPr>
        <w:color w:val="404040"/>
        <w:sz w:val="22"/>
      </w:rPr>
      <w:tblPr/>
      <w:tcPr>
        <w:tcBorders>
          <w:top w:val="single" w:color="A5A5A5" w:themeColor="accent3" w:sz="12" w:space="0"/>
        </w:tcBorders>
      </w:tcPr>
    </w:tblStylePr>
    <w:tblStylePr w:type="firstCol">
      <w:rPr>
        <w:color w:val="404040"/>
        <w:sz w:val="22"/>
      </w:rPr>
      <w:tblPr/>
    </w:tblStylePr>
    <w:tblStylePr w:type="lastCol">
      <w:rPr>
        <w:color w:val="404040"/>
        <w:sz w:val="22"/>
      </w:rPr>
      <w:tblPr/>
      <w:tcPr>
        <w:tcBorders>
          <w:left w:val="single" w:color="A5A5A5" w:themeColor="accent3" w:sz="12" w:space="0"/>
        </w:tcBorders>
      </w:tcPr>
    </w:tblStylePr>
    <w:tblStylePr w:type="band1Horz">
      <w:rPr>
        <w:color w:val="404040"/>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color w:val="404040"/>
        <w:sz w:val="22"/>
      </w:rPr>
      <w:tblPr/>
      <w:tcPr>
        <w:tcBorders>
          <w:bottom w:val="single" w:color="FFC000" w:themeColor="accent4" w:sz="12" w:space="0"/>
        </w:tcBorders>
      </w:tcPr>
    </w:tblStylePr>
    <w:tblStylePr w:type="lastRow">
      <w:rPr>
        <w:color w:val="404040"/>
        <w:sz w:val="22"/>
      </w:rPr>
      <w:tblPr/>
      <w:tcPr>
        <w:tcBorders>
          <w:top w:val="single" w:color="FFC000" w:themeColor="accent4" w:sz="12" w:space="0"/>
        </w:tcBorders>
      </w:tcPr>
    </w:tblStylePr>
    <w:tblStylePr w:type="firstCol">
      <w:rPr>
        <w:color w:val="404040"/>
        <w:sz w:val="22"/>
      </w:rPr>
      <w:tblPr/>
    </w:tblStylePr>
    <w:tblStylePr w:type="lastCol">
      <w:rPr>
        <w:color w:val="404040"/>
        <w:sz w:val="22"/>
      </w:rPr>
      <w:tblPr/>
      <w:tcPr>
        <w:tcBorders>
          <w:left w:val="single" w:color="FFC000" w:themeColor="accent4" w:sz="12" w:space="0"/>
        </w:tcBorders>
      </w:tcPr>
    </w:tblStylePr>
    <w:tblStylePr w:type="band1Horz">
      <w:rPr>
        <w:color w:val="404040"/>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color w:val="404040"/>
        <w:sz w:val="22"/>
      </w:rPr>
      <w:tblPr/>
      <w:tcPr>
        <w:tcBorders>
          <w:bottom w:val="single" w:color="5B9BD5" w:themeColor="accent5" w:sz="12" w:space="0"/>
        </w:tcBorders>
      </w:tcPr>
    </w:tblStylePr>
    <w:tblStylePr w:type="lastRow">
      <w:rPr>
        <w:color w:val="404040"/>
        <w:sz w:val="22"/>
      </w:rPr>
      <w:tblPr/>
      <w:tcPr>
        <w:tcBorders>
          <w:top w:val="single" w:color="5B9BD5" w:themeColor="accent5" w:sz="12" w:space="0"/>
        </w:tcBorders>
      </w:tcPr>
    </w:tblStylePr>
    <w:tblStylePr w:type="firstCol">
      <w:rPr>
        <w:color w:val="404040"/>
        <w:sz w:val="22"/>
      </w:rPr>
      <w:tblPr/>
    </w:tblStylePr>
    <w:tblStylePr w:type="lastCol">
      <w:rPr>
        <w:color w:val="404040"/>
        <w:sz w:val="22"/>
      </w:rPr>
      <w:tblPr/>
      <w:tcPr>
        <w:tcBorders>
          <w:left w:val="single" w:color="5B9BD5" w:themeColor="accent5" w:sz="12" w:space="0"/>
        </w:tcBorders>
      </w:tcPr>
    </w:tblStylePr>
    <w:tblStylePr w:type="band1Horz">
      <w:rPr>
        <w:color w:val="404040"/>
        <w:sz w:val="22"/>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color w:val="404040"/>
        <w:sz w:val="22"/>
      </w:rPr>
      <w:tblPr/>
      <w:tcPr>
        <w:tcBorders>
          <w:bottom w:val="single" w:color="70AD47" w:themeColor="accent6" w:sz="12" w:space="0"/>
        </w:tcBorders>
      </w:tcPr>
    </w:tblStylePr>
    <w:tblStylePr w:type="lastRow">
      <w:rPr>
        <w:color w:val="404040"/>
        <w:sz w:val="22"/>
      </w:rPr>
      <w:tblPr/>
      <w:tcPr>
        <w:tcBorders>
          <w:top w:val="single" w:color="70AD47" w:themeColor="accent6" w:sz="12" w:space="0"/>
        </w:tcBorders>
      </w:tcPr>
    </w:tblStylePr>
    <w:tblStylePr w:type="firstCol">
      <w:rPr>
        <w:color w:val="404040"/>
        <w:sz w:val="22"/>
      </w:rPr>
      <w:tblPr/>
    </w:tblStylePr>
    <w:tblStylePr w:type="lastCol">
      <w:rPr>
        <w:color w:val="404040"/>
        <w:sz w:val="22"/>
      </w:rPr>
      <w:tblPr/>
      <w:tcPr>
        <w:tcBorders>
          <w:left w:val="single" w:color="70AD47" w:themeColor="accent6" w:sz="12" w:space="0"/>
        </w:tcBorders>
      </w:tcPr>
    </w:tblStylePr>
    <w:tblStylePr w:type="band1Horz">
      <w:rPr>
        <w:color w:val="404040"/>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styleId="affd">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ail.yandex.ru/re.jsx?h=a,nfa2eJL-XtjUlk-3nZvAHg&amp;l=aHR0cHM6Ly93d3cuZ3JhbmRzbWV0YS5ydS8"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85E8E-E6FA-44C3-9B86-0B37892C7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Application>AlterOffice/2026.2.0.0$Linux_X86_64 LibreOffice_project/bc4ef1adf80b36c7a6365f8ed6cbf29021361edd</Application>
  <AppVersion>15.0000</AppVersion>
  <Pages>16</Pages>
  <Words>5051</Words>
  <Characters>34425</Characters>
  <CharactersWithSpaces>39252</CharactersWithSpaces>
  <Paragraphs>318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2026-05-19T09:12:00Z</dcterms:created>
  <dc:creator>T. Tkachenko</dc:creator>
  <dc:description/>
  <dc:language>ru-RU</dc:language>
  <cp:lastModifiedBy>marusenkoks@corp.gidroogk.com</cp:lastModifiedBy>
  <dcterms:modified xsi:type="dcterms:W3CDTF">2026-09-07T15:59:48Z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