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УТВЕРЖДАЮ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Директор Центрального филиала 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АО «ТК РусГидро»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________________М.В. Нешев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«____» ________________2026 г.</w:t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jc w:val="center"/>
        <w:rPr/>
      </w:pPr>
      <w:r>
        <w:rPr>
          <w:rFonts w:eastAsia="Calibri"/>
          <w:b/>
          <w:color w:val="000000"/>
        </w:rPr>
        <w:t xml:space="preserve">ОКПД2 71.20.11.190 </w:t>
      </w:r>
      <w:r>
        <w:rPr>
          <w:rFonts w:eastAsia="Calibri"/>
          <w:b/>
        </w:rPr>
        <w:t>«Оказание услуг по проведению лабораторных исследований рабочей зоны и среды пребывания работников</w:t>
      </w:r>
    </w:p>
    <w:p>
      <w:pPr>
        <w:pStyle w:val="Normal"/>
        <w:jc w:val="center"/>
        <w:rPr/>
      </w:pPr>
      <w:r>
        <w:rPr>
          <w:rFonts w:eastAsia="Calibri"/>
          <w:b/>
        </w:rPr>
        <w:t xml:space="preserve">Верхневолжского транспортного участка </w:t>
      </w:r>
    </w:p>
    <w:p>
      <w:pPr>
        <w:pStyle w:val="Normal"/>
        <w:jc w:val="center"/>
        <w:rPr/>
      </w:pPr>
      <w:r>
        <w:rPr>
          <w:rFonts w:eastAsia="Calibri"/>
          <w:b/>
        </w:rPr>
        <w:t>Центрального филиала АО «ТК РусГидро» в г. Рыбинске</w:t>
      </w:r>
    </w:p>
    <w:p>
      <w:pPr>
        <w:pStyle w:val="Normal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center"/>
        <w:rPr>
          <w:color w:val="FF0000"/>
        </w:rPr>
      </w:pPr>
      <w:r>
        <w:rPr>
          <w:color w:val="FF0000"/>
        </w:rPr>
      </w:r>
    </w:p>
    <w:p>
      <w:pPr>
        <w:pStyle w:val="Normal"/>
        <w:jc w:val="center"/>
        <w:rPr>
          <w:rStyle w:val="Style8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Cs w:val="24"/>
        </w:rPr>
      </w:pPr>
      <w:r>
        <w:rPr>
          <w:rFonts w:eastAsia="Calibri"/>
          <w:b/>
          <w:i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shd w:val="clear" w:color="auto" w:fill="FFFFFF"/>
        <w:jc w:val="center"/>
        <w:rPr/>
      </w:pPr>
      <w:r>
        <w:rPr>
          <w:b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/>
          </w:pPr>
          <w:r>
            <w:fldChar w:fldCharType="begin"/>
          </w:r>
          <w:r>
            <w:rPr/>
            <w:instrText xml:space="preserve"> TOC \z \o "1-4" \u \h</w:instrText>
          </w:r>
          <w:r>
            <w:rPr/>
            <w:fldChar w:fldCharType="separate"/>
          </w:r>
          <w:r>
            <w:rPr/>
            <w:t>1.</w:t>
            <w:tab/>
            <w:t>Общие сведения</w:t>
            <w:tab/>
            <w:t>3</w:t>
          </w:r>
        </w:p>
        <w:p>
          <w:pPr>
            <w:pStyle w:val="TOC4"/>
            <w:rPr/>
          </w:pPr>
          <w:r>
            <w:rPr>
              <w:sz w:val="24"/>
              <w:szCs w:val="24"/>
            </w:rPr>
            <w:t>1.1.</w:t>
            <w:tab/>
            <w:t>Обозначения и сокращения</w:t>
          </w:r>
          <w:r>
            <w:rPr/>
            <w:tab/>
          </w:r>
          <w:r>
            <w:rPr>
              <w:sz w:val="24"/>
              <w:szCs w:val="24"/>
            </w:rPr>
            <w:t>3</w:t>
          </w:r>
        </w:p>
        <w:p>
          <w:pPr>
            <w:pStyle w:val="TOC4"/>
            <w:rPr/>
          </w:pPr>
          <w:hyperlink w:anchor="_Toc54643696">
            <w:r>
              <w:rPr>
                <w:webHidden/>
                <w:rStyle w:val="Style14"/>
                <w:iCs/>
                <w:vanish w:val="false"/>
                <w:sz w:val="24"/>
                <w:szCs w:val="24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>Наименование закупаемых услуг</w:t>
              <w:tab/>
            </w:r>
          </w:hyperlink>
          <w:r>
            <w:rPr>
              <w:sz w:val="24"/>
              <w:szCs w:val="24"/>
            </w:rPr>
            <w:t>3</w:t>
          </w:r>
        </w:p>
        <w:p>
          <w:pPr>
            <w:pStyle w:val="TOC4"/>
            <w:rPr/>
          </w:pPr>
          <w:hyperlink w:anchor="_Toc54643697">
            <w:r>
              <w:rPr>
                <w:webHidden/>
                <w:rStyle w:val="Style14"/>
                <w:iCs/>
                <w:vanish w:val="false"/>
                <w:sz w:val="24"/>
                <w:szCs w:val="24"/>
              </w:rPr>
              <w:t>1.3.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>Цель оказания услуг</w:t>
              <w:tab/>
            </w:r>
          </w:hyperlink>
          <w:r>
            <w:rPr>
              <w:sz w:val="24"/>
              <w:szCs w:val="24"/>
            </w:rPr>
            <w:t>3</w:t>
          </w:r>
        </w:p>
        <w:p>
          <w:pPr>
            <w:pStyle w:val="TOC1"/>
            <w:rPr/>
          </w:pPr>
          <w:hyperlink w:anchor="_Toc54643699"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</w:r>
          </w:hyperlink>
          <w:r>
            <w:rPr/>
            <w:t>3</w:t>
          </w:r>
        </w:p>
        <w:p>
          <w:pPr>
            <w:pStyle w:val="TOC1"/>
            <w:rPr/>
          </w:pPr>
          <w:hyperlink w:anchor="_Toc54643702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</w:rPr>
              <w:tab/>
            </w:r>
            <w:r>
              <w:rPr>
                <w:rStyle w:val="Style14"/>
                <w:iCs/>
              </w:rPr>
              <w:t>Требования к услуге</w:t>
            </w:r>
            <w:r>
              <w:rPr>
                <w:rStyle w:val="Style14"/>
              </w:rPr>
              <w:tab/>
            </w:r>
          </w:hyperlink>
          <w:r>
            <w:rPr/>
            <w:t>3</w:t>
          </w:r>
        </w:p>
        <w:p>
          <w:pPr>
            <w:pStyle w:val="TOC4"/>
            <w:rPr/>
          </w:pPr>
          <w:hyperlink w:anchor="_Toc54643703">
            <w:r>
              <w:rPr>
                <w:webHidden/>
                <w:rStyle w:val="Style14"/>
                <w:iCs/>
                <w:vanish w:val="false"/>
                <w:sz w:val="24"/>
                <w:szCs w:val="24"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>Требования к объемам и срокам оказания услуг</w:t>
              <w:tab/>
            </w:r>
          </w:hyperlink>
          <w:r>
            <w:rPr>
              <w:sz w:val="24"/>
              <w:szCs w:val="24"/>
            </w:rPr>
            <w:t>3</w:t>
          </w:r>
        </w:p>
        <w:p>
          <w:pPr>
            <w:pStyle w:val="TOC3"/>
            <w:shd w:val="clear" w:color="auto" w:fill="FFFFFF"/>
            <w:rPr/>
          </w:pPr>
          <w:r>
            <w:rPr/>
            <w:t xml:space="preserve">   </w:t>
          </w:r>
          <w:r>
            <w:rPr>
              <w:sz w:val="24"/>
              <w:szCs w:val="24"/>
            </w:rPr>
            <w:t xml:space="preserve">  </w:t>
          </w:r>
          <w:r>
            <w:rPr>
              <w:sz w:val="24"/>
              <w:szCs w:val="24"/>
            </w:rPr>
            <w:t>2.2.</w:t>
            <w:tab/>
            <w:t>Требования к перечню и объему услуг</w:t>
          </w:r>
          <w:r>
            <w:rPr/>
            <w:tab/>
          </w:r>
          <w:r>
            <w:rPr>
              <w:sz w:val="24"/>
              <w:szCs w:val="24"/>
            </w:rPr>
            <w:t>4</w:t>
          </w:r>
        </w:p>
        <w:p>
          <w:pPr>
            <w:pStyle w:val="TOC4"/>
            <w:rPr/>
          </w:pPr>
          <w:hyperlink w:anchor="_Toc54643708">
            <w:r>
              <w:rPr>
                <w:webHidden/>
                <w:rStyle w:val="Style14"/>
                <w:iCs/>
                <w:vanish w:val="false"/>
                <w:sz w:val="24"/>
                <w:szCs w:val="24"/>
              </w:rPr>
              <w:t>2.3.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>Требования к качеству услуг</w:t>
              <w:tab/>
            </w:r>
          </w:hyperlink>
          <w:r>
            <w:rPr>
              <w:sz w:val="24"/>
              <w:szCs w:val="24"/>
            </w:rPr>
            <w:t>6</w:t>
          </w:r>
        </w:p>
        <w:p>
          <w:pPr>
            <w:pStyle w:val="TOC1"/>
            <w:rPr/>
          </w:pPr>
          <w:hyperlink w:anchor="_Toc54643709">
            <w:r>
              <w:rPr>
                <w:webHidden/>
                <w:rStyle w:val="Style14"/>
                <w:vanish w:val="false"/>
              </w:rPr>
              <w:t>Таблица 2. Требования к качеству услуг</w:t>
              <w:tab/>
            </w:r>
          </w:hyperlink>
          <w:r>
            <w:rPr/>
            <w:t>6</w:t>
          </w:r>
        </w:p>
        <w:p>
          <w:pPr>
            <w:pStyle w:val="TOC1"/>
            <w:rPr/>
          </w:pPr>
          <w:hyperlink w:anchor="_Toc54643710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</w:rPr>
              <w:tab/>
            </w:r>
            <w:r>
              <w:rPr>
                <w:rStyle w:val="Style14"/>
              </w:rPr>
              <w:t>Требования к участникам</w:t>
              <w:tab/>
            </w:r>
          </w:hyperlink>
          <w:r>
            <w:rPr>
              <w:rFonts w:eastAsia="" w:cs="" w:cstheme="minorBidi" w:eastAsiaTheme="minorEastAsia"/>
            </w:rPr>
            <w:t>8</w:t>
          </w:r>
          <w:r>
            <w:rPr>
              <w:rFonts w:eastAsia="" w:cs="" w:ascii="Calibri" w:hAnsi="Calibri" w:asciiTheme="minorHAnsi" w:cstheme="minorBidi" w:eastAsiaTheme="minorEastAsia" w:hAnsiTheme="minorHAnsi"/>
            </w:rPr>
            <w:t xml:space="preserve"> </w:t>
          </w:r>
        </w:p>
        <w:p>
          <w:pPr>
            <w:pStyle w:val="TOC1"/>
            <w:rPr/>
          </w:pPr>
          <w:hyperlink w:anchor="_Toc54643712">
            <w:r>
              <w:rPr>
                <w:webHidden/>
                <w:rStyle w:val="Style14"/>
                <w:iCs/>
                <w:vanish w:val="false"/>
              </w:rPr>
              <w:t>Требования к документации по ценообразованию на этапе закупки</w:t>
            </w:r>
            <w:r>
              <w:rPr>
                <w:rStyle w:val="Style14"/>
              </w:rPr>
              <w:tab/>
            </w:r>
          </w:hyperlink>
          <w:r>
            <w:rPr/>
            <w:t xml:space="preserve">8 </w:t>
          </w:r>
          <w:r>
            <w:rPr/>
            <w:fldChar w:fldCharType="end"/>
          </w:r>
        </w:p>
      </w:sdtContent>
    </w:sdt>
    <w:p>
      <w:pPr>
        <w:pStyle w:val="Normal"/>
        <w:rPr>
          <w:caps/>
        </w:rPr>
      </w:pPr>
      <w:r>
        <w:br w:type="page"/>
      </w:r>
      <w:bookmarkStart w:id="0" w:name="_Toc54643694"/>
      <w:r>
        <w:rPr>
          <w:rFonts w:eastAsia="Calibri"/>
        </w:rPr>
        <w:t xml:space="preserve">1. </w:t>
      </w:r>
      <w:r>
        <w:rPr/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54643695"/>
      <w:bookmarkStart w:id="2" w:name="_Toc46743505"/>
      <w:r>
        <w:rPr/>
        <w:t>Обозначения и сокращения</w:t>
      </w:r>
      <w:bookmarkEnd w:id="1"/>
      <w:bookmarkEnd w:id="2"/>
    </w:p>
    <w:tbl>
      <w:tblPr>
        <w:tblW w:w="963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848"/>
      </w:tblGrid>
      <w:tr>
        <w:trPr>
          <w:trHeight w:val="389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bCs/>
                <w:sz w:val="24"/>
                <w:szCs w:val="24"/>
              </w:rPr>
              <w:t>ТТ</w:t>
            </w:r>
          </w:p>
        </w:tc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bCs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57"/>
              <w:jc w:val="both"/>
              <w:rPr/>
            </w:pPr>
            <w:r>
              <w:rPr>
                <w:bCs/>
                <w:sz w:val="24"/>
                <w:szCs w:val="24"/>
              </w:rPr>
              <w:t>ПК</w:t>
            </w:r>
          </w:p>
        </w:tc>
        <w:tc>
          <w:tcPr>
            <w:tcW w:w="7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57"/>
              <w:jc w:val="both"/>
              <w:rPr/>
            </w:pPr>
            <w:r>
              <w:rPr>
                <w:bCs/>
                <w:sz w:val="24"/>
                <w:szCs w:val="24"/>
              </w:rPr>
              <w:t>Производственный контроль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57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ЦФ</w:t>
            </w:r>
          </w:p>
        </w:tc>
        <w:tc>
          <w:tcPr>
            <w:tcW w:w="7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57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Центральный филиал АО «ТК РусГидро»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57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ВТУ</w:t>
            </w:r>
          </w:p>
        </w:tc>
        <w:tc>
          <w:tcPr>
            <w:tcW w:w="7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57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Верхневолжский транспортный участок</w:t>
            </w:r>
          </w:p>
        </w:tc>
      </w:tr>
    </w:tbl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widowControl w:val="false"/>
        <w:numPr>
          <w:ilvl w:val="1"/>
          <w:numId w:val="3"/>
        </w:numPr>
        <w:tabs>
          <w:tab w:val="left" w:pos="0" w:leader="none"/>
          <w:tab w:val="left" w:pos="426" w:leader="none"/>
        </w:tabs>
        <w:spacing w:before="120" w:after="120"/>
        <w:jc w:val="both"/>
        <w:rPr>
          <w:b w:val="false"/>
          <w:i/>
          <w:i/>
          <w:shd w:fill="FFFF99" w:val="clear"/>
        </w:rPr>
      </w:pPr>
      <w:bookmarkStart w:id="3" w:name="_Toc54643696"/>
      <w:r>
        <w:rPr/>
        <w:t xml:space="preserve">Наименование закупаемых </w:t>
      </w:r>
      <w:bookmarkStart w:id="4" w:name="_Toc46743507"/>
      <w:bookmarkEnd w:id="3"/>
      <w:r>
        <w:rPr>
          <w:lang w:val="ru-RU"/>
        </w:rPr>
        <w:t>услуг</w:t>
      </w:r>
    </w:p>
    <w:p>
      <w:pPr>
        <w:pStyle w:val="Normal"/>
        <w:jc w:val="both"/>
        <w:rPr/>
      </w:pPr>
      <w:r>
        <w:rPr>
          <w:rFonts w:eastAsia="Calibri"/>
          <w:sz w:val="24"/>
          <w:szCs w:val="24"/>
        </w:rPr>
        <w:t xml:space="preserve">ОКПД2 </w:t>
      </w:r>
      <w:r>
        <w:rPr>
          <w:rFonts w:eastAsia="Calibri"/>
          <w:color w:val="000000"/>
          <w:sz w:val="24"/>
          <w:szCs w:val="24"/>
        </w:rPr>
        <w:t>71.20.11.190</w:t>
      </w:r>
      <w:r>
        <w:rPr>
          <w:rFonts w:eastAsia="Calibri"/>
          <w:sz w:val="24"/>
          <w:szCs w:val="24"/>
        </w:rPr>
        <w:t xml:space="preserve"> «Оказание услуг по проведению лабораторных исследований рабочей зоны и среды пребывания работников Верхневолжского транспортного участка Центрального филиала АО «ТК РусГидро».</w:t>
      </w:r>
      <w:bookmarkStart w:id="5" w:name="_Toc54643697"/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r>
        <w:rPr/>
        <w:t xml:space="preserve">Цель </w:t>
      </w:r>
      <w:bookmarkEnd w:id="4"/>
      <w:r>
        <w:rPr>
          <w:lang w:val="ru-RU"/>
        </w:rPr>
        <w:t>оказания услуг</w:t>
      </w:r>
      <w:r>
        <w:rPr/>
        <w:t xml:space="preserve"> </w:t>
      </w:r>
      <w:bookmarkEnd w:id="5"/>
    </w:p>
    <w:p>
      <w:pPr>
        <w:pStyle w:val="Normal"/>
        <w:ind w:firstLine="431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  <w:t xml:space="preserve">Объектами производственного контроля за условиями труда являются рабочие места работников Центрального филиала. </w:t>
      </w:r>
    </w:p>
    <w:p>
      <w:pPr>
        <w:pStyle w:val="Normal"/>
        <w:ind w:firstLine="431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  <w:t>ПК необходим для:</w:t>
      </w:r>
    </w:p>
    <w:p>
      <w:pPr>
        <w:pStyle w:val="Normal"/>
        <w:ind w:firstLine="431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  <w:t>- осуществления контроля, в том числе посредством проведения лабораторных исследований и испытаний, за соблюдением санитарно-эпидемиологических требований и проведения санитарно-противоэпидемических (профилактических) мероприятий при выполнении работ и оказании услуг, а также при производстве, транспортировке, хранении и реализации продукции;</w:t>
      </w:r>
    </w:p>
    <w:p>
      <w:pPr>
        <w:pStyle w:val="Normal"/>
        <w:ind w:firstLine="431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  <w:t>- проведения работ по обоснованию безопасности для человека новых критериев безопасности и (или) безвредности факторов среды обитания и разрабатывать методы контроля за факторами среды обитания.</w:t>
      </w:r>
      <w:bookmarkStart w:id="6" w:name="_Toc54643699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  <w:lang w:val="ru-RU"/>
        </w:rPr>
      </w:pPr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6"/>
    </w:p>
    <w:tbl>
      <w:tblPr>
        <w:tblW w:w="9663" w:type="dxa"/>
        <w:jc w:val="left"/>
        <w:tblInd w:w="8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04"/>
        <w:gridCol w:w="3747"/>
        <w:gridCol w:w="3648"/>
        <w:gridCol w:w="1663"/>
      </w:tblGrid>
      <w:tr>
        <w:trPr>
          <w:trHeight w:val="691" w:hRule="atLeast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>
          <w:trHeight w:val="228" w:hRule="atLeast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732" w:hRule="atLeast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lang w:eastAsia="x-none"/>
              </w:rPr>
              <w:t>Верхневолжский транспортный участок Центрального филиала АО «ТК РусГидро»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Ярославская область,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Рыбинск, ул. Вяземского, д. 31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>
      <w:pPr>
        <w:pStyle w:val="Heading1"/>
        <w:keepLines/>
        <w:numPr>
          <w:ilvl w:val="0"/>
          <w:numId w:val="3"/>
        </w:numPr>
        <w:ind w:left="357" w:hanging="357"/>
        <w:rPr>
          <w:iCs/>
          <w:sz w:val="24"/>
          <w:szCs w:val="24"/>
        </w:rPr>
      </w:pPr>
      <w:bookmarkStart w:id="7" w:name="_Toc51339693"/>
      <w:bookmarkStart w:id="8" w:name="_Toc54643702"/>
      <w:r>
        <w:rPr>
          <w:iCs/>
          <w:sz w:val="24"/>
          <w:szCs w:val="24"/>
          <w:lang w:val="ru-RU"/>
        </w:rPr>
        <w:t>Требования</w:t>
      </w:r>
      <w:r>
        <w:rPr>
          <w:iCs/>
          <w:sz w:val="24"/>
          <w:szCs w:val="24"/>
        </w:rPr>
        <w:t xml:space="preserve"> к </w:t>
      </w:r>
      <w:bookmarkEnd w:id="7"/>
      <w:bookmarkEnd w:id="8"/>
      <w:r>
        <w:rPr>
          <w:iCs/>
          <w:sz w:val="24"/>
          <w:szCs w:val="24"/>
        </w:rPr>
        <w:t>услугам</w:t>
      </w:r>
    </w:p>
    <w:p>
      <w:pPr>
        <w:pStyle w:val="Heading4"/>
        <w:numPr>
          <w:ilvl w:val="1"/>
          <w:numId w:val="3"/>
        </w:numPr>
        <w:rPr/>
      </w:pPr>
      <w:bookmarkStart w:id="9" w:name="_Toc54643703"/>
      <w:r>
        <w:rPr/>
        <w:t>Требования к перечню и объему услуг</w:t>
      </w:r>
    </w:p>
    <w:tbl>
      <w:tblPr>
        <w:tblW w:w="971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02"/>
        <w:gridCol w:w="3154"/>
        <w:gridCol w:w="993"/>
        <w:gridCol w:w="1846"/>
        <w:gridCol w:w="1555"/>
        <w:gridCol w:w="1559"/>
      </w:tblGrid>
      <w:tr>
        <w:trPr/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 вида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услуг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sz w:val="20"/>
                <w:szCs w:val="20"/>
                <w:lang w:eastAsia="en-US"/>
              </w:rPr>
              <w:t>Количество исследований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Номер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sz w:val="20"/>
                <w:szCs w:val="20"/>
                <w:lang w:eastAsia="en-US"/>
              </w:rPr>
              <w:t>калькуляции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sz w:val="20"/>
                <w:szCs w:val="20"/>
                <w:lang w:eastAsia="en-US"/>
              </w:rPr>
              <w:t>Стоимость 1 ед. исследования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ind w:right="252" w:hang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sz w:val="20"/>
                <w:szCs w:val="20"/>
                <w:lang w:eastAsia="en-US"/>
              </w:rPr>
              <w:t>(с НДС)</w:t>
            </w:r>
          </w:p>
        </w:tc>
      </w:tr>
      <w:tr>
        <w:trPr>
          <w:trHeight w:val="283" w:hRule="atLeast"/>
        </w:trPr>
        <w:tc>
          <w:tcPr>
            <w:tcW w:w="97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sz w:val="20"/>
                <w:szCs w:val="20"/>
              </w:rPr>
              <w:t>Лабораторные исследования: вода питьевая централизованного водоснабжения</w:t>
            </w:r>
          </w:p>
        </w:tc>
      </w:tr>
      <w:tr>
        <w:trPr>
          <w:trHeight w:val="283" w:hRule="atLeast"/>
        </w:trPr>
        <w:tc>
          <w:tcPr>
            <w:tcW w:w="97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sz w:val="20"/>
                <w:szCs w:val="20"/>
              </w:rPr>
              <w:t>Микробиологические исследования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</w:rPr>
              <w:t>ОМЧ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sz w:val="20"/>
                <w:szCs w:val="20"/>
              </w:rPr>
              <w:t>БЛ № 28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</w:rPr>
              <w:t>ОКБ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БЛ № 36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</w:rPr>
              <w:t>Escherichia coli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БЛ № 38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</w:rPr>
              <w:t>Enterococcus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БЛ № 39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97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Санитарно-гигиенические исследования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  <w:lang w:eastAsia="zh-CN"/>
              </w:rPr>
              <w:t>Цветность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ВД № 38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  <w:lang w:eastAsia="zh-CN"/>
              </w:rPr>
              <w:t>Мутность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ВД № 39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  <w:lang w:eastAsia="zh-CN"/>
              </w:rPr>
              <w:t>Водородный показатель (рН)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ВД № 26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  <w:lang w:eastAsia="zh-CN"/>
              </w:rPr>
              <w:t>Железо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ВД № 15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  <w:lang w:eastAsia="en-US"/>
              </w:rPr>
              <w:t>Запах при 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ВД № 40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  <w:lang w:eastAsia="en-US"/>
              </w:rPr>
              <w:t>Привкус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ВД № 42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97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Лабораторные исследования : химические факторы воздуха рабочей зоны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sz w:val="20"/>
                <w:szCs w:val="20"/>
              </w:rPr>
              <w:t>Азота диоксида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ЛГТр № 04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sz w:val="20"/>
                <w:szCs w:val="20"/>
              </w:rPr>
              <w:t>Пыль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sz w:val="20"/>
                <w:szCs w:val="20"/>
              </w:rPr>
              <w:t>ЛГТр № 01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sz w:val="20"/>
                <w:szCs w:val="20"/>
              </w:rPr>
              <w:t>Углерода оксид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sz w:val="20"/>
                <w:szCs w:val="20"/>
              </w:rPr>
              <w:t>ЛГТр № 06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97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Физические факторы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692" w:leader="none"/>
              </w:tabs>
              <w:rPr/>
            </w:pPr>
            <w:r>
              <w:rPr>
                <w:sz w:val="20"/>
                <w:szCs w:val="20"/>
              </w:rPr>
              <w:t>Инструментальное измерение искусственной освещенности, КЕО, пульсации, комбинированной и общей освещенности (1 рабочее место)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ГТ № 10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</w:rPr>
              <w:t>Инструментальное измерение показателей микроклимата (температура, относительная влажность, скорость движения воздуха)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ГТ № 11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</w:rPr>
              <w:t>Инструментальное измерение шума – 1 рабочее место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ФФ № 10.1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sz w:val="20"/>
                <w:szCs w:val="20"/>
              </w:rPr>
              <w:t>Инструментальное измерение общей вибрации. 1 рабочее место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ФФ № 09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sz w:val="20"/>
                <w:szCs w:val="20"/>
              </w:rPr>
              <w:t>Инструментальное измерение локальной вибрации. 1 рабочее место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ФФ № 09.1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97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Прочие виды услуг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sz w:val="20"/>
                <w:szCs w:val="20"/>
              </w:rPr>
              <w:t>Организация лабораторных и инструментальных исследований, испытаний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sz w:val="20"/>
                <w:szCs w:val="20"/>
              </w:rPr>
              <w:t>ГТ № 01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sz w:val="20"/>
                <w:szCs w:val="20"/>
              </w:rPr>
              <w:t>Санитарно-эпидемиологическая оценка результатов лабораторных исследований, испытаний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sz w:val="20"/>
                <w:szCs w:val="20"/>
              </w:rPr>
              <w:t>ГТ  № 02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</w:rPr>
              <w:t>Организация лабораторных и инструментальных исследований, испытаний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ФФ № 01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</w:rPr>
              <w:t>Санитарно-эпидемиологическая оценка результатов лабораторных исследований, испытаний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ФФ № 02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</w:rPr>
              <w:t>Организация лабораторных и инструментальных исследований, испытаний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ЛГТр № 1.1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4"/>
        <w:tabs>
          <w:tab w:val="clear" w:pos="0"/>
        </w:tabs>
        <w:ind w:left="432" w:hanging="0"/>
        <w:rPr>
          <w:lang w:val="ru-RU"/>
        </w:rPr>
      </w:pPr>
      <w:r>
        <w:rPr>
          <w:lang w:val="ru-RU"/>
        </w:rPr>
        <w:t xml:space="preserve">Расчет произведен по фактическим показателям прошлого года </w:t>
      </w:r>
    </w:p>
    <w:p>
      <w:pPr>
        <w:pStyle w:val="Heading4"/>
        <w:numPr>
          <w:ilvl w:val="1"/>
          <w:numId w:val="3"/>
        </w:numPr>
        <w:rPr>
          <w:lang w:val="ru-RU"/>
        </w:rPr>
      </w:pPr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9"/>
    </w:p>
    <w:tbl>
      <w:tblPr>
        <w:tblW w:w="9573" w:type="dxa"/>
        <w:jc w:val="left"/>
        <w:tblInd w:w="17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05"/>
        <w:gridCol w:w="3925"/>
        <w:gridCol w:w="2385"/>
        <w:gridCol w:w="2657"/>
      </w:tblGrid>
      <w:tr>
        <w:trPr/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4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4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4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firstLine="43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sz w:val="24"/>
                <w:szCs w:val="24"/>
              </w:rPr>
              <w:t xml:space="preserve">ОКПД2 </w:t>
            </w:r>
            <w:r>
              <w:rPr>
                <w:rFonts w:eastAsia="Calibri"/>
                <w:color w:val="000000"/>
                <w:sz w:val="24"/>
                <w:szCs w:val="24"/>
              </w:rPr>
              <w:t>71.20.11.190</w:t>
            </w:r>
            <w:r>
              <w:rPr>
                <w:rFonts w:eastAsia="Calibri"/>
                <w:sz w:val="24"/>
                <w:szCs w:val="24"/>
              </w:rPr>
              <w:t xml:space="preserve"> «Оказание услуг по проведению лабораторных исследований рабочей зоны и среды пребывания работников Верхневолжского транспортного участка Центрального филиала АО «ТК РусГидро» в г. Рыбинске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 по 30.12.202</w:t>
            </w:r>
            <w:r>
              <w:rPr>
                <w:sz w:val="24"/>
                <w:szCs w:val="24"/>
              </w:rPr>
              <w:t>6</w:t>
            </w:r>
          </w:p>
        </w:tc>
      </w:tr>
    </w:tbl>
    <w:p>
      <w:pPr>
        <w:pStyle w:val="Heading4"/>
        <w:numPr>
          <w:ilvl w:val="1"/>
          <w:numId w:val="3"/>
        </w:numPr>
        <w:spacing w:before="113" w:after="0"/>
        <w:ind w:left="0" w:hanging="0"/>
        <w:rPr/>
      </w:pPr>
      <w:r>
        <w:rPr/>
        <w:t xml:space="preserve">  </w:t>
      </w:r>
      <w:bookmarkStart w:id="10" w:name="_Toc54643704"/>
      <w:r>
        <w:rPr/>
        <w:t>Требования к перечню и объему услуг</w:t>
      </w:r>
      <w:bookmarkStart w:id="11" w:name="_Toc50125131"/>
      <w:bookmarkEnd w:id="10"/>
    </w:p>
    <w:p>
      <w:pPr>
        <w:pStyle w:val="Normal"/>
        <w:ind w:firstLine="737"/>
        <w:jc w:val="both"/>
        <w:rPr>
          <w:sz w:val="24"/>
        </w:rPr>
      </w:pPr>
      <w:bookmarkStart w:id="12" w:name="sub_203"/>
      <w:r>
        <w:rPr>
          <w:sz w:val="24"/>
        </w:rPr>
        <w:t>2.3.1. Производственный контроль за условиями труда осуществляется посредством проведения (организации) лабораторных исследований (испытаний) и измерений факторов производственной среды. Лабораторные исследования и испытания организуются хозяйствующим субъектом и проводятся испытательной лабораторией (центром), принадлежащей хозяйствующему субъекту, или иной лабораторией (центром), аккредитованной в соответствии с законодательством Российской Федерации об аккредитации в национальной системе аккредитации.</w:t>
      </w:r>
      <w:bookmarkEnd w:id="12"/>
    </w:p>
    <w:p>
      <w:pPr>
        <w:pStyle w:val="Normal"/>
        <w:ind w:firstLine="737"/>
        <w:jc w:val="both"/>
        <w:rPr/>
      </w:pPr>
      <w:bookmarkStart w:id="13" w:name="sub_204"/>
      <w:bookmarkEnd w:id="13"/>
      <w:r>
        <w:rPr>
          <w:rFonts w:eastAsia="Calibri"/>
          <w:sz w:val="24"/>
          <w:szCs w:val="24"/>
          <w:lang w:eastAsia="x-none"/>
        </w:rPr>
        <w:t>2.3.2. Номенклатура, объем и периодичность производственного контроля определяются в соответствии с установленными требованиями и нормами. В частности, в соответствии со ст. 32 Федерального закона от 30.03.1999 № 52-ФЗ «О санитарно-эпидемиологическом благополучии населения» при организации производственного контроля необходимо учитывать требования стандартов безопасности труда, до момента принятия соответствующих технических регламентов.</w:t>
      </w:r>
    </w:p>
    <w:p>
      <w:pPr>
        <w:pStyle w:val="Normal"/>
        <w:ind w:firstLine="737"/>
        <w:jc w:val="both"/>
        <w:rPr/>
      </w:pPr>
      <w:r>
        <w:rPr>
          <w:rFonts w:eastAsia="Calibri"/>
          <w:sz w:val="24"/>
          <w:szCs w:val="24"/>
          <w:lang w:eastAsia="x-none"/>
        </w:rPr>
        <w:t>2.3.3. Порядок организации производственного контроля и проведения замеров для различных факторов и видов работ осуществляются в соответствии:</w:t>
      </w:r>
    </w:p>
    <w:p>
      <w:pPr>
        <w:pStyle w:val="Normal"/>
        <w:ind w:firstLine="737"/>
        <w:jc w:val="both"/>
        <w:rPr/>
      </w:pPr>
      <w:r>
        <w:rPr>
          <w:rFonts w:eastAsia="Calibri"/>
          <w:sz w:val="24"/>
          <w:szCs w:val="24"/>
          <w:lang w:eastAsia="x-none"/>
        </w:rPr>
        <w:t>2.3.3.1. Химический фактор и аэрозоли преимущественно фиброгенного действия:</w:t>
      </w:r>
    </w:p>
    <w:p>
      <w:pPr>
        <w:pStyle w:val="Normal"/>
        <w:jc w:val="both"/>
        <w:rPr/>
      </w:pPr>
      <w:r>
        <w:rPr>
          <w:rFonts w:eastAsia="Calibri"/>
          <w:sz w:val="24"/>
          <w:szCs w:val="24"/>
          <w:lang w:eastAsia="x-none"/>
        </w:rPr>
        <w:t xml:space="preserve"> </w:t>
      </w:r>
      <w:r>
        <w:rPr>
          <w:rFonts w:eastAsia="Calibri"/>
          <w:sz w:val="24"/>
          <w:szCs w:val="24"/>
          <w:lang w:eastAsia="x-none"/>
        </w:rPr>
        <w:t xml:space="preserve">- СанПиН 1.2.3685-21 «Гигиенические нормативы и требования к обеспечению безопасности и (или) безвредности для человека факторов среды обитания» (утвержден Постановлением Главного государственного санитарного врача Российской Федерации от 28 января 2021 года № 2).                                                                                                                                     </w:t>
      </w:r>
    </w:p>
    <w:p>
      <w:pPr>
        <w:pStyle w:val="Normal"/>
        <w:ind w:firstLine="737"/>
        <w:jc w:val="both"/>
        <w:rPr/>
      </w:pPr>
      <w:r>
        <w:rPr>
          <w:rFonts w:eastAsia="Calibri"/>
          <w:color w:val="000000"/>
          <w:sz w:val="24"/>
          <w:szCs w:val="24"/>
          <w:lang w:eastAsia="x-none"/>
        </w:rPr>
        <w:t>2.3.3.2. Аэроионный состав воздуха:</w:t>
      </w:r>
    </w:p>
    <w:p>
      <w:pPr>
        <w:pStyle w:val="Normal"/>
        <w:jc w:val="both"/>
        <w:rPr/>
      </w:pPr>
      <w:r>
        <w:rPr>
          <w:rFonts w:eastAsia="Calibri"/>
          <w:color w:val="000000"/>
          <w:sz w:val="24"/>
          <w:szCs w:val="24"/>
          <w:lang w:eastAsia="x-none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 (утвержден Постановлением Главного государственного санитарного врача Российской Федерации от 28 января 2021 года № 2);</w:t>
      </w:r>
    </w:p>
    <w:p>
      <w:pPr>
        <w:pStyle w:val="Normal"/>
        <w:jc w:val="both"/>
        <w:rPr/>
      </w:pPr>
      <w:r>
        <w:rPr>
          <w:rFonts w:eastAsia="Calibri"/>
          <w:color w:val="000000"/>
          <w:sz w:val="24"/>
          <w:szCs w:val="24"/>
          <w:lang w:eastAsia="x-none"/>
        </w:rPr>
        <w:t xml:space="preserve"> </w:t>
      </w:r>
      <w:r>
        <w:rPr>
          <w:rFonts w:eastAsia="Calibri"/>
          <w:color w:val="000000"/>
          <w:sz w:val="24"/>
          <w:szCs w:val="24"/>
          <w:lang w:eastAsia="x-none"/>
        </w:rPr>
        <w:t>- МУК 4.3.1675-03 "Общие требования к проведению контроля аэроионного состава воздуха" (утв. Постановлением Главного государственного санитарного врача РФ от 29.06.03, введены в действие с 30.06.2003г.).</w:t>
      </w:r>
    </w:p>
    <w:p>
      <w:pPr>
        <w:pStyle w:val="Normal"/>
        <w:ind w:firstLine="737"/>
        <w:jc w:val="both"/>
        <w:rPr/>
      </w:pPr>
      <w:r>
        <w:rPr>
          <w:rFonts w:eastAsia="Calibri"/>
          <w:color w:val="000000"/>
          <w:sz w:val="24"/>
          <w:szCs w:val="24"/>
          <w:lang w:eastAsia="x-none"/>
        </w:rPr>
        <w:t>2.3.3.3. Вибраци локальная и вибрация общая:</w:t>
      </w:r>
    </w:p>
    <w:p>
      <w:pPr>
        <w:pStyle w:val="Normal"/>
        <w:jc w:val="both"/>
        <w:rPr/>
      </w:pPr>
      <w:r>
        <w:rPr>
          <w:rFonts w:eastAsia="Calibri"/>
          <w:color w:val="000000"/>
          <w:sz w:val="24"/>
          <w:szCs w:val="24"/>
          <w:lang w:eastAsia="x-none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 (утвержден Постановлением Главного государственного санитарного врача Российской Федерации от 28 января 2021 года No2);</w:t>
      </w:r>
    </w:p>
    <w:p>
      <w:pPr>
        <w:pStyle w:val="Normal"/>
        <w:jc w:val="both"/>
        <w:rPr/>
      </w:pPr>
      <w:r>
        <w:rPr>
          <w:rFonts w:eastAsia="Calibri"/>
          <w:color w:val="000000"/>
          <w:sz w:val="24"/>
          <w:szCs w:val="24"/>
          <w:lang w:eastAsia="x-none"/>
        </w:rPr>
        <w:t>- ГОСТ 31192.1-2004 (ИСО 5349-1:2001) "Вибрация. Измерение локальной вибрации и оценка ее воздействия на человека. Часть1. Общие требования";</w:t>
      </w:r>
    </w:p>
    <w:p>
      <w:pPr>
        <w:pStyle w:val="Normal"/>
        <w:jc w:val="both"/>
        <w:rPr/>
      </w:pPr>
      <w:r>
        <w:rPr>
          <w:rFonts w:eastAsia="Calibri"/>
          <w:color w:val="000000"/>
          <w:sz w:val="24"/>
          <w:szCs w:val="24"/>
          <w:lang w:eastAsia="x-none"/>
        </w:rPr>
        <w:t>- ГОСТ 31192.2-2005 (ИСО 5349-2:2001) "Вибрация. Измерение локальной вибрации и оценка ее воздействия на человека. Часть 2. Требования к проведению измерений на рабочих местах".</w:t>
      </w:r>
    </w:p>
    <w:p>
      <w:pPr>
        <w:pStyle w:val="Normal"/>
        <w:ind w:firstLine="737"/>
        <w:jc w:val="both"/>
        <w:rPr/>
      </w:pPr>
      <w:r>
        <w:rPr>
          <w:rFonts w:eastAsia="Calibri"/>
          <w:color w:val="000000"/>
          <w:sz w:val="24"/>
          <w:szCs w:val="24"/>
          <w:lang w:eastAsia="x-none"/>
        </w:rPr>
        <w:t>2.3.3.4. АПФД в воздухе рабочей зоны:</w:t>
      </w:r>
    </w:p>
    <w:p>
      <w:pPr>
        <w:pStyle w:val="Normal"/>
        <w:jc w:val="both"/>
        <w:rPr/>
      </w:pPr>
      <w:r>
        <w:rPr>
          <w:rFonts w:eastAsia="Calibri"/>
          <w:color w:val="000000"/>
          <w:sz w:val="24"/>
          <w:szCs w:val="24"/>
          <w:lang w:eastAsia="x-none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 (утвержден Постановлением Главного государственного санитарного врача Российской Федерации от 28 января 2021 года No2).</w:t>
      </w:r>
    </w:p>
    <w:p>
      <w:pPr>
        <w:pStyle w:val="Normal"/>
        <w:ind w:firstLine="737"/>
        <w:jc w:val="both"/>
        <w:rPr/>
      </w:pPr>
      <w:r>
        <w:rPr>
          <w:rFonts w:eastAsia="Calibri"/>
          <w:color w:val="000000"/>
          <w:sz w:val="24"/>
          <w:szCs w:val="24"/>
          <w:lang w:eastAsia="x-none"/>
        </w:rPr>
        <w:t>2.3.3.5. Световая среда:</w:t>
      </w:r>
    </w:p>
    <w:p>
      <w:pPr>
        <w:pStyle w:val="Normal"/>
        <w:jc w:val="both"/>
        <w:rPr/>
      </w:pPr>
      <w:r>
        <w:rPr>
          <w:rFonts w:eastAsia="Calibri"/>
          <w:color w:val="000000"/>
          <w:sz w:val="24"/>
          <w:szCs w:val="24"/>
          <w:lang w:eastAsia="x-none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 (утвержден Постановлением Главного государственного санитарного врача Российской Федерации от 28 января 2021 года No2);                                                                                                                                                                                                                                 - МУК 4.3.2812-10 «Инструментальный контроль и оценка освещения рабочих мест» (утв. Федеральной службой по надзору в сфере защиты прав потребителей и благополучия человека 28 декабря 2010 года).</w:t>
      </w:r>
    </w:p>
    <w:p>
      <w:pPr>
        <w:pStyle w:val="Normal"/>
        <w:ind w:firstLine="737"/>
        <w:jc w:val="both"/>
        <w:rPr/>
      </w:pPr>
      <w:r>
        <w:rPr>
          <w:rFonts w:eastAsia="Calibri"/>
          <w:color w:val="000000"/>
          <w:sz w:val="24"/>
          <w:szCs w:val="24"/>
          <w:lang w:eastAsia="x-none"/>
        </w:rPr>
        <w:t>2.3.3.6. Шум:</w:t>
      </w:r>
    </w:p>
    <w:p>
      <w:pPr>
        <w:pStyle w:val="Normal"/>
        <w:jc w:val="both"/>
        <w:rPr/>
      </w:pPr>
      <w:r>
        <w:rPr>
          <w:rFonts w:eastAsia="Calibri"/>
          <w:color w:val="000000"/>
          <w:sz w:val="24"/>
          <w:szCs w:val="24"/>
          <w:lang w:eastAsia="x-none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 (утвержден Постановлением Главного государственного санитарного врача Российской Федерации от 28 января 2021 года No2);</w:t>
      </w:r>
    </w:p>
    <w:p>
      <w:pPr>
        <w:pStyle w:val="Normal"/>
        <w:jc w:val="both"/>
        <w:rPr/>
      </w:pPr>
      <w:r>
        <w:rPr>
          <w:rFonts w:eastAsia="Calibri"/>
          <w:color w:val="000000"/>
          <w:sz w:val="24"/>
          <w:szCs w:val="24"/>
          <w:lang w:eastAsia="x-none"/>
        </w:rPr>
        <w:t xml:space="preserve"> </w:t>
      </w:r>
      <w:r>
        <w:rPr>
          <w:rFonts w:eastAsia="Calibri"/>
          <w:color w:val="000000"/>
          <w:sz w:val="24"/>
          <w:szCs w:val="24"/>
          <w:lang w:eastAsia="x-none"/>
        </w:rPr>
        <w:t>- ГОСТ ISO 9612-2016. Межгосударственный стандарт. Акустика. Измерения шума для оценки его воздействия на человека. Метод измерений на рабочих местах" (введен в действие Приказом Росстандарта от 21.10.2016 N 1481-ст).</w:t>
      </w:r>
    </w:p>
    <w:p>
      <w:pPr>
        <w:pStyle w:val="Normal"/>
        <w:ind w:firstLine="737"/>
        <w:jc w:val="both"/>
        <w:rPr/>
      </w:pPr>
      <w:r>
        <w:rPr>
          <w:rFonts w:eastAsia="Calibri"/>
          <w:color w:val="000000"/>
          <w:sz w:val="24"/>
          <w:szCs w:val="24"/>
          <w:lang w:eastAsia="x-none"/>
        </w:rPr>
        <w:t>2.3.3.7. Неионизирующее излучение, Неионизирующее излучение частотой 50 Гц и неионизирующее излучение УФ:</w:t>
      </w:r>
    </w:p>
    <w:p>
      <w:pPr>
        <w:pStyle w:val="Normal"/>
        <w:jc w:val="both"/>
        <w:rPr/>
      </w:pPr>
      <w:r>
        <w:rPr>
          <w:rFonts w:eastAsia="Calibri"/>
          <w:color w:val="000000"/>
          <w:sz w:val="24"/>
          <w:szCs w:val="24"/>
          <w:lang w:eastAsia="x-none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 (утвержден Постановлением Главного государственного санитарного врача Российской Федерации от 28 января 2021 года No2);</w:t>
      </w:r>
    </w:p>
    <w:p>
      <w:pPr>
        <w:pStyle w:val="Normal"/>
        <w:jc w:val="both"/>
        <w:rPr/>
      </w:pPr>
      <w:r>
        <w:rPr>
          <w:rFonts w:eastAsia="Calibri"/>
          <w:color w:val="000000"/>
          <w:sz w:val="24"/>
          <w:szCs w:val="24"/>
          <w:lang w:eastAsia="x-none"/>
        </w:rPr>
        <w:t>- Руководство по эксплуатации на измеритель параметров электрического и магнитного полей Трехкомпонентный «Ве-метр-АТ -003» БВЕК.43 1440.08.04 РЭ;</w:t>
      </w:r>
    </w:p>
    <w:p>
      <w:pPr>
        <w:pStyle w:val="Normal"/>
        <w:jc w:val="both"/>
        <w:rPr/>
      </w:pPr>
      <w:r>
        <w:rPr>
          <w:rFonts w:eastAsia="Calibri"/>
          <w:color w:val="000000"/>
          <w:sz w:val="24"/>
          <w:szCs w:val="24"/>
          <w:lang w:eastAsia="x-none"/>
        </w:rPr>
        <w:t>- Руководство по эксплуатации на измеритель напряженности электростатического поля СТ-01 МГФК 410000.001 РЭ.</w:t>
      </w:r>
    </w:p>
    <w:p>
      <w:pPr>
        <w:pStyle w:val="Normal"/>
        <w:ind w:firstLine="737"/>
        <w:jc w:val="both"/>
        <w:rPr/>
      </w:pPr>
      <w:r>
        <w:rPr>
          <w:rFonts w:eastAsia="Calibri"/>
          <w:color w:val="000000"/>
          <w:sz w:val="24"/>
          <w:szCs w:val="24"/>
          <w:lang w:eastAsia="x-none"/>
        </w:rPr>
        <w:t>2.3.3.8. Микроклимат:</w:t>
      </w:r>
    </w:p>
    <w:p>
      <w:pPr>
        <w:pStyle w:val="Normal"/>
        <w:jc w:val="both"/>
        <w:rPr/>
      </w:pPr>
      <w:r>
        <w:rPr>
          <w:rFonts w:eastAsia="Calibri"/>
          <w:color w:val="000000"/>
          <w:sz w:val="24"/>
          <w:szCs w:val="24"/>
          <w:lang w:eastAsia="x-none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 (утвержден Постановлением Главного государственного санитарного врача Российской Федерации от 28 января 2021 года No2);</w:t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701" w:right="566" w:gutter="0" w:header="680" w:top="1134" w:footer="0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jc w:val="both"/>
        <w:rPr/>
      </w:pPr>
      <w:r>
        <w:rPr>
          <w:rFonts w:eastAsia="Calibri"/>
          <w:color w:val="000000"/>
          <w:sz w:val="24"/>
          <w:szCs w:val="24"/>
          <w:lang w:eastAsia="x-none"/>
        </w:rPr>
        <w:t xml:space="preserve"> </w:t>
      </w:r>
      <w:r>
        <w:rPr>
          <w:rFonts w:eastAsia="Calibri"/>
          <w:color w:val="000000"/>
          <w:sz w:val="24"/>
          <w:szCs w:val="24"/>
          <w:lang w:eastAsia="x-none"/>
        </w:rPr>
        <w:t>- МУК 4.3.2756-10 "Методические указания по измерению и оценке микроклимата производственных помещений".</w:t>
      </w:r>
      <w:bookmarkStart w:id="14" w:name="sub_204_Копия_1"/>
    </w:p>
    <w:p>
      <w:pPr>
        <w:pStyle w:val="Heading4"/>
        <w:numPr>
          <w:ilvl w:val="1"/>
          <w:numId w:val="3"/>
        </w:numPr>
        <w:spacing w:before="119" w:after="0"/>
        <w:rPr/>
      </w:pPr>
      <w:bookmarkStart w:id="15" w:name="_Toc54643709"/>
      <w:bookmarkStart w:id="16" w:name="_Toc51339698"/>
      <w:bookmarkStart w:id="17" w:name="_Toc54643708"/>
      <w:bookmarkStart w:id="18" w:name="_Toc46743511"/>
      <w:bookmarkEnd w:id="14"/>
      <w:r>
        <w:rPr/>
        <w:t xml:space="preserve">Требования к </w:t>
      </w:r>
      <w:bookmarkEnd w:id="18"/>
      <w:r>
        <w:rPr>
          <w:lang w:val="ru-RU"/>
        </w:rPr>
        <w:t>качеству услуг</w:t>
      </w:r>
      <w:bookmarkStart w:id="19" w:name="_GoBack"/>
      <w:bookmarkEnd w:id="17"/>
      <w:bookmarkEnd w:id="19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Требования к </w:t>
      </w:r>
      <w:bookmarkEnd w:id="11"/>
      <w:bookmarkEnd w:id="16"/>
      <w:r>
        <w:rPr>
          <w:sz w:val="24"/>
          <w:szCs w:val="24"/>
          <w:lang w:val="ru-RU"/>
        </w:rPr>
        <w:t>качеству услуг</w:t>
      </w:r>
      <w:bookmarkEnd w:id="15"/>
      <w:r>
        <w:rPr>
          <w:sz w:val="24"/>
          <w:szCs w:val="24"/>
        </w:rPr>
        <w:t xml:space="preserve"> </w:t>
      </w:r>
    </w:p>
    <w:p>
      <w:pPr>
        <w:pStyle w:val="Normal"/>
        <w:ind w:firstLine="709"/>
        <w:rPr>
          <w:rFonts w:eastAsia="Calibri"/>
          <w:sz w:val="24"/>
          <w:szCs w:val="24"/>
          <w:lang w:eastAsia="x-none"/>
        </w:rPr>
      </w:pPr>
      <w:r>
        <w:rPr>
          <w:b/>
          <w:bCs/>
          <w:sz w:val="24"/>
          <w:szCs w:val="24"/>
        </w:rPr>
        <w:t xml:space="preserve">Наименование услуг: </w:t>
      </w:r>
      <w:r>
        <w:rPr>
          <w:rFonts w:eastAsia="Calibri"/>
          <w:sz w:val="24"/>
          <w:szCs w:val="24"/>
          <w:lang w:eastAsia="x-none"/>
        </w:rPr>
        <w:t xml:space="preserve">ОКПД2 </w:t>
      </w:r>
      <w:r>
        <w:rPr>
          <w:rFonts w:eastAsia="Calibri"/>
          <w:color w:val="000000"/>
          <w:sz w:val="24"/>
          <w:szCs w:val="24"/>
          <w:lang w:eastAsia="x-none"/>
        </w:rPr>
        <w:t>71.20.11.190</w:t>
      </w:r>
      <w:r>
        <w:rPr>
          <w:rFonts w:eastAsia="Calibri"/>
          <w:sz w:val="24"/>
          <w:szCs w:val="24"/>
          <w:lang w:eastAsia="x-none"/>
        </w:rPr>
        <w:t xml:space="preserve"> «Оказание услуг по проведению лабораторных исследований рабочей зоны и среды пребывания работников Верхневолжского транспортного участка Центрального филиала АО «ТК РусГидро» в г. Рыбинск</w:t>
      </w:r>
    </w:p>
    <w:p>
      <w:pPr>
        <w:pStyle w:val="Normal"/>
        <w:rPr>
          <w:iCs/>
          <w:sz w:val="24"/>
          <w:szCs w:val="24"/>
          <w:shd w:fill="FFFF99" w:val="clear"/>
        </w:rPr>
      </w:pPr>
      <w:r>
        <w:rPr>
          <w:iCs/>
          <w:sz w:val="24"/>
          <w:szCs w:val="24"/>
          <w:shd w:fill="FFFF99" w:val="clear"/>
        </w:rPr>
      </w:r>
    </w:p>
    <w:tbl>
      <w:tblPr>
        <w:tblStyle w:val="affff8"/>
        <w:tblW w:w="1502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76"/>
        <w:gridCol w:w="7840"/>
        <w:gridCol w:w="3178"/>
        <w:gridCol w:w="3131"/>
      </w:tblGrid>
      <w:tr>
        <w:trPr/>
        <w:tc>
          <w:tcPr>
            <w:tcW w:w="87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784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630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7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784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1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13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0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20"/>
          </w:p>
        </w:tc>
        <w:tc>
          <w:tcPr>
            <w:tcW w:w="78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1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13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78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317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13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527" w:hRule="atLeast"/>
        </w:trPr>
        <w:tc>
          <w:tcPr>
            <w:tcW w:w="87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8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317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13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right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784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должен оказывать услуги по проведению ПК на рабочих местах работников Загорского транспортного участка в соответствии со ст. 32 Федерального закона от 30.03.1999 № 52-ФЗ «О санитарно-эпидемиологическом благополучии населения».</w:t>
            </w:r>
          </w:p>
        </w:tc>
        <w:tc>
          <w:tcPr>
            <w:tcW w:w="3178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jc w:val="center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i/>
                <w:iCs/>
                <w:kern w:val="2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оказать услуги, полностью соответствующие настоящим техническим</w:t>
            </w:r>
          </w:p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jc w:val="center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i/>
                <w:iCs/>
                <w:kern w:val="2"/>
                <w:sz w:val="24"/>
                <w:szCs w:val="24"/>
                <w:lang w:val="ru-RU" w:eastAsia="ru-RU" w:bidi="ar-SA"/>
              </w:rPr>
              <w:t>требованиям, по форме Технического предложения, установленной в Документации о</w:t>
            </w:r>
          </w:p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jc w:val="center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bCs/>
                <w:i/>
                <w:iCs/>
                <w:kern w:val="2"/>
                <w:sz w:val="24"/>
                <w:szCs w:val="24"/>
                <w:lang w:val="ru-RU" w:eastAsia="ru-RU" w:bidi="ar-SA"/>
              </w:rPr>
              <w:t>закупке</w:t>
            </w:r>
          </w:p>
        </w:tc>
        <w:tc>
          <w:tcPr>
            <w:tcW w:w="3131" w:type="dxa"/>
            <w:tcBorders/>
            <w:shd w:color="auto" w:fill="auto" w:val="clea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left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7840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hd w:val="clear" w:color="auto" w:fill="FFFFFF" w:themeFill="background1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Наличии аккредитации на осуществление деятельности, предусматривающей выполнение работ (услуг) по лабораторным исследованиям (испытаниям) и измерениям факторов производственной среды в соответствии с Федеральным законом от 28 декабря 2013 года №412-ФЗ "Об аккредитации в национальной системе аккредитации".</w:t>
            </w:r>
          </w:p>
        </w:tc>
        <w:tc>
          <w:tcPr>
            <w:tcW w:w="3178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131" w:type="dxa"/>
            <w:tcBorders/>
            <w:vAlign w:val="center"/>
          </w:tcPr>
          <w:p>
            <w:pPr>
              <w:pStyle w:val="18"/>
              <w:keepNext w:val="true"/>
              <w:widowControl w:val="false"/>
              <w:shd w:val="clear" w:color="auto" w:fill="FFFFFF" w:themeFill="background1"/>
              <w:suppressAutoHyphens w:val="true"/>
              <w:spacing w:beforeAutospacing="0" w:before="0" w:afterAutospacing="0" w:after="0"/>
              <w:ind w:left="44" w:hanging="0"/>
              <w:jc w:val="left"/>
              <w:rPr>
                <w:rFonts w:ascii="Times New Roman" w:hAnsi="Times New Roman" w:cs="Times New Roman"/>
                <w:i/>
                <w:i/>
                <w:iCs/>
              </w:rPr>
            </w:pPr>
            <w:r>
              <w:rPr>
                <w:rFonts w:cs="Times New Roman" w:ascii="Times New Roman" w:hAnsi="Times New Roman"/>
                <w:i/>
                <w:iCs/>
                <w:kern w:val="0"/>
                <w:lang w:val="ru-RU" w:eastAsia="ru-RU" w:bidi="ar-SA"/>
              </w:rPr>
              <w:t>Копия аттестата аккредитации РОСС RU.0001.21СВ03 от 13.11.2024.</w:t>
            </w:r>
          </w:p>
        </w:tc>
      </w:tr>
      <w:tr>
        <w:trPr/>
        <w:tc>
          <w:tcPr>
            <w:tcW w:w="87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left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7840" w:type="dxa"/>
            <w:tcBorders>
              <w:top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shd w:val="clear" w:color="auto" w:fill="FFFFFF" w:themeFill="background1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Лаборатория Исполнителя должна располагать персоналом, помещениями, оборудованием, системами и вспомогательными службами, необходимыми для управления лабораторной деятельностью и для ее осуществления и соответствовать требованиям межгосударственного стандарта ГОСТ ISO/IEC 17025-2019 «Общие требования к компетентности испытательных и калибровочных лабораторий» (ISO/IEC 17025:2017, IDT).</w:t>
            </w:r>
          </w:p>
        </w:tc>
        <w:tc>
          <w:tcPr>
            <w:tcW w:w="3178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131" w:type="dxa"/>
            <w:tcBorders>
              <w:top w:val="nil"/>
            </w:tcBorders>
          </w:tcPr>
          <w:p>
            <w:pPr>
              <w:pStyle w:val="18"/>
              <w:keepNext w:val="true"/>
              <w:widowControl w:val="false"/>
              <w:shd w:val="clear" w:color="auto" w:fill="FFFFFF" w:themeFill="background1"/>
              <w:suppressAutoHyphens w:val="true"/>
              <w:spacing w:beforeAutospacing="0" w:before="0" w:afterAutospacing="0" w:after="0"/>
              <w:ind w:left="44" w:hanging="0"/>
              <w:jc w:val="left"/>
              <w:rPr>
                <w:rFonts w:ascii="Times New Roman" w:hAnsi="Times New Roman" w:cs="Times New Roman"/>
                <w:i/>
                <w:i/>
                <w:iCs/>
              </w:rPr>
            </w:pPr>
            <w:r>
              <w:rPr>
                <w:rFonts w:cs="Times New Roman" w:ascii="Times New Roman" w:hAnsi="Times New Roman"/>
                <w:i/>
                <w:iCs/>
              </w:rPr>
            </w:r>
          </w:p>
        </w:tc>
      </w:tr>
      <w:tr>
        <w:trPr/>
        <w:tc>
          <w:tcPr>
            <w:tcW w:w="87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left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78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Исполнитель несет ответственность за деятельность, осуществляемую во всех местах ее постоянного размещения, вне мест ее постоянного размещения, на временных или передвижных площадях и на объектах Заказчика.</w:t>
            </w:r>
          </w:p>
        </w:tc>
        <w:tc>
          <w:tcPr>
            <w:tcW w:w="3178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131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78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3178" w:type="dxa"/>
            <w:vMerge w:val="continue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13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1.2.1</w:t>
            </w:r>
          </w:p>
        </w:tc>
        <w:tc>
          <w:tcPr>
            <w:tcW w:w="784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принимает на себя обязательства на выполнение инструментальных измерений и оценки вредных и опасных производственных факторов на рабочих местах Заказчика с оформлением результатов измерений в виде официальных протоколов, оформленных в соответствии с требованиями, предъявляемыми Законодательством РФ к данным протоколам.</w:t>
            </w:r>
          </w:p>
        </w:tc>
        <w:tc>
          <w:tcPr>
            <w:tcW w:w="3178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13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708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1.2.3</w:t>
            </w:r>
          </w:p>
        </w:tc>
        <w:tc>
          <w:tcPr>
            <w:tcW w:w="784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Количество рабочих мест (с указанием оцениваемых факторов), на которых проводятся инструментальные измерения и оценки, определяется на основании заявки Заказчика на оказание услуг с учетом требований СП 1.1.1058-01.</w:t>
            </w:r>
          </w:p>
        </w:tc>
        <w:tc>
          <w:tcPr>
            <w:tcW w:w="3178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W w:w="3131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78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3178" w:type="dxa"/>
            <w:vMerge w:val="continue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13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1.3.1</w:t>
            </w:r>
          </w:p>
        </w:tc>
        <w:tc>
          <w:tcPr>
            <w:tcW w:w="784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Лаборатория Исполнителя должна иметь оборудование (включая средства измерения, программное обеспечение, эталоны, стандартные образцы, справочные данные, реактивы, расходные материалы или вспомогательные устройства), которые необходимы для надлежащего осуществления лабораторной деятельности и которое может повлиять на ее результаты.</w:t>
            </w:r>
          </w:p>
        </w:tc>
        <w:tc>
          <w:tcPr>
            <w:tcW w:w="3178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13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1.3.2.</w:t>
            </w:r>
          </w:p>
        </w:tc>
        <w:tc>
          <w:tcPr>
            <w:tcW w:w="78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Лаборатория Исполнителя должна иметь процедуры обращения с оборудованием, его транспортировки, хранения, эксплуатации и планового обслуживания в целях обеспечения надлежащего функционирования и предотвращения загрязнения или повреждения.</w:t>
            </w:r>
          </w:p>
        </w:tc>
        <w:tc>
          <w:tcPr>
            <w:tcW w:w="3178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3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7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1.3.3.</w:t>
            </w:r>
          </w:p>
        </w:tc>
        <w:tc>
          <w:tcPr>
            <w:tcW w:w="78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Оборудование, используемое для измерений, должно обеспечивать точность и/или неопределенность измерений, требуемые для обеспечения достоверного результата.</w:t>
            </w:r>
          </w:p>
        </w:tc>
        <w:tc>
          <w:tcPr>
            <w:tcW w:w="317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31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tabs>
          <w:tab w:val="clear" w:pos="708"/>
          <w:tab w:val="left" w:pos="4335" w:leader="none"/>
        </w:tabs>
        <w:rPr>
          <w:sz w:val="24"/>
          <w:szCs w:val="24"/>
        </w:rPr>
      </w:pPr>
      <w:r>
        <w:rPr>
          <w:sz w:val="24"/>
          <w:szCs w:val="24"/>
        </w:rPr>
        <w:tab/>
        <w:tab/>
      </w:r>
    </w:p>
    <w:p>
      <w:pPr>
        <w:pStyle w:val="Heading1"/>
        <w:keepLines/>
        <w:numPr>
          <w:ilvl w:val="0"/>
          <w:numId w:val="3"/>
        </w:numPr>
        <w:ind w:left="357" w:firstLine="494"/>
        <w:rPr>
          <w:sz w:val="24"/>
          <w:szCs w:val="24"/>
          <w:lang w:val="ru-RU"/>
        </w:rPr>
      </w:pPr>
      <w:bookmarkStart w:id="21" w:name="_Toc54643710"/>
      <w:bookmarkStart w:id="22" w:name="_Toc53395937"/>
      <w:bookmarkStart w:id="23" w:name="_Toc53393312"/>
      <w:r>
        <w:rPr>
          <w:sz w:val="24"/>
          <w:szCs w:val="24"/>
          <w:lang w:val="ru-RU"/>
        </w:rPr>
        <w:t>Требования к документации по ценообразованию</w:t>
      </w:r>
      <w:bookmarkEnd w:id="22"/>
      <w:bookmarkEnd w:id="23"/>
      <w:r>
        <w:rPr>
          <w:sz w:val="24"/>
          <w:szCs w:val="24"/>
          <w:lang w:val="ru-RU"/>
        </w:rPr>
        <w:t xml:space="preserve"> на этапе закупки</w:t>
      </w:r>
      <w:bookmarkEnd w:id="21"/>
    </w:p>
    <w:p>
      <w:pPr>
        <w:pStyle w:val="Normal"/>
        <w:jc w:val="both"/>
        <w:rPr/>
      </w:pPr>
      <w:r>
        <w:rPr>
          <w:color w:val="000000"/>
        </w:rPr>
        <w:t xml:space="preserve">      </w:t>
      </w:r>
      <w:r>
        <w:rPr>
          <w:color w:val="000000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jc w:val="both"/>
        <w:rPr/>
      </w:pPr>
      <w:r>
        <w:rPr>
          <w:rFonts w:eastAsia="Calibri"/>
          <w:iCs/>
          <w:color w:val="000000"/>
          <w:lang w:eastAsia="x-none"/>
        </w:rPr>
        <w:t xml:space="preserve">      </w:t>
      </w:r>
      <w:r>
        <w:rPr>
          <w:rFonts w:eastAsia="Calibri"/>
          <w:iCs/>
          <w:color w:val="000000"/>
          <w:lang w:eastAsia="x-none"/>
        </w:rPr>
        <w:t>3.2. Дополнительные документы по ценообразованию в состав заявки Участника не включаются.</w:t>
      </w:r>
    </w:p>
    <w:p>
      <w:pPr>
        <w:pStyle w:val="Heading1"/>
        <w:tabs>
          <w:tab w:val="clear" w:pos="0"/>
        </w:tabs>
        <w:ind w:left="0" w:hanging="0"/>
        <w:rPr>
          <w:rStyle w:val="Style8"/>
          <w:b/>
          <w:i w:val="false"/>
          <w:i w:val="false"/>
          <w:shd w:fill="auto" w:val="clear"/>
          <w:lang w:val="ru-RU"/>
        </w:rPr>
      </w:pPr>
      <w:r>
        <w:rPr>
          <w:b/>
          <w:i w:val="false"/>
          <w:shd w:fill="auto" w:val="clear"/>
          <w:lang w:val="ru-RU"/>
        </w:rPr>
      </w:r>
    </w:p>
    <w:p>
      <w:pPr>
        <w:pStyle w:val="Normal"/>
        <w:rPr>
          <w:rStyle w:val="Style8"/>
          <w:i w:val="false"/>
          <w:i w:val="false"/>
          <w:shd w:fill="auto" w:val="clear"/>
        </w:rPr>
      </w:pPr>
      <w:r>
        <w:rPr>
          <w:i w:val="false"/>
          <w:shd w:fill="auto" w:val="clear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Руководитель Группы охраны труда  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и техники безопасности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Центрального филиала АО «ТК РусГидро»</w:t>
        <w:tab/>
        <w:tab/>
        <w:tab/>
        <w:t xml:space="preserve">              А.А. Дворецкова</w:t>
      </w:r>
    </w:p>
    <w:sectPr>
      <w:headerReference w:type="default" r:id="rId7"/>
      <w:headerReference w:type="first" r:id="rId8"/>
      <w:type w:val="nextPage"/>
      <w:pgSz w:w="11906" w:h="16838"/>
      <w:pgMar w:left="1701" w:right="707" w:gutter="0" w:header="680" w:top="1134" w:footer="0" w:bottom="992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" w:customStyle="1">
    <w:name w:val="Гиперссылка1"/>
    <w:uiPriority w:val="99"/>
    <w:qFormat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7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2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3" w:customStyle="1">
    <w:name w:val="УРОВЕНЬ_1. Знак"/>
    <w:link w:val="111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character" w:styleId="Hyperlink">
    <w:name w:val="Hyperlink"/>
    <w:rPr>
      <w:color w:val="000080"/>
      <w:u w:val="single"/>
    </w:rPr>
  </w:style>
  <w:style w:type="character" w:styleId="Style15" w:customStyle="1">
    <w:name w:val="Символ нумерации"/>
    <w:qFormat/>
    <w:rPr>
      <w:sz w:val="24"/>
      <w:szCs w:val="24"/>
    </w:rPr>
  </w:style>
  <w:style w:type="character" w:styleId="14" w:customStyle="1">
    <w:name w:val="Основной шрифт абзаца1"/>
    <w:qFormat/>
    <w:rsid w:val="008f37f9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15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15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15"/>
    <w:qFormat/>
    <w:pPr/>
    <w:rPr/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1" w:customStyle="1">
    <w:name w:val="index heading1111"/>
    <w:basedOn w:val="15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6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7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2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2e318d"/>
    <w:pPr>
      <w:shd w:val="clear" w:color="auto" w:fill="FFFFFF"/>
      <w:tabs>
        <w:tab w:val="clear" w:pos="708"/>
        <w:tab w:val="left" w:pos="560" w:leader="none"/>
        <w:tab w:val="right" w:pos="9465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465" w:leader="dot"/>
      </w:tabs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8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shd w:val="clear" w:color="auto" w:fill="FFFFFF"/>
      <w:tabs>
        <w:tab w:val="clear" w:pos="708"/>
        <w:tab w:val="left" w:pos="1120" w:leader="none"/>
        <w:tab w:val="right" w:pos="9465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9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0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1" w:customStyle="1">
    <w:name w:val="УРОВЕНЬ_1."/>
    <w:basedOn w:val="ListParagraph"/>
    <w:link w:val="13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Default" w:customStyle="1">
    <w:name w:val="Default"/>
    <w:qFormat/>
    <w:rsid w:val="002b091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000000"/>
      <w:kern w:val="0"/>
      <w:sz w:val="24"/>
      <w:szCs w:val="24"/>
      <w:lang w:val="ru-RU" w:eastAsia="en-US" w:bidi="ar-SA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2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3105688831" w:customStyle="1">
    <w:name w:val="310568883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217A9-1297-4E03-9DFB-80B6E10BF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Application>AlterOffice/3.4.0.9$Linux_X86_64 LibreOffice_project/b8daf9e823b1a5463a2f48435ddc2e8696e7d4fc</Application>
  <AppVersion>15.0000</AppVersion>
  <Pages>9</Pages>
  <Words>1659</Words>
  <Characters>11503</Characters>
  <CharactersWithSpaces>13309</CharactersWithSpaces>
  <Paragraphs>257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2023-10-31T05:49:00Z</dcterms:created>
  <dc:creator>Быстров Олег Геннадьевич</dc:creator>
  <dc:description/>
  <dc:language>ru-RU</dc:language>
  <cp:lastModifiedBy>yunusovaoia@corp.gidroogk.com</cp:lastModifiedBy>
  <cp:lastPrinted>2024-11-06T08:54:00Z</cp:lastPrinted>
  <dcterms:modified xsi:type="dcterms:W3CDTF">2026-09-07T16:21:16Z</dcterms:modified>
  <cp:revision>51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