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Договор поставки №_______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10200" w:leader="none"/>
        </w:tabs>
        <w:rPr>
          <w:bCs/>
          <w:sz w:val="24"/>
          <w:szCs w:val="24"/>
        </w:rPr>
      </w:pPr>
      <w:r>
        <w:rPr>
          <w:bCs/>
          <w:sz w:val="24"/>
          <w:szCs w:val="24"/>
        </w:rPr>
        <w:t>г. Хабаровск</w:t>
        <w:tab/>
        <w:t xml:space="preserve">   «___» _________ 20__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widowControl/>
        <w:ind w:firstLine="709"/>
        <w:jc w:val="both"/>
        <w:rPr>
          <w:bCs/>
          <w:sz w:val="24"/>
          <w:szCs w:val="24"/>
          <w:lang w:eastAsia="x-none"/>
        </w:rPr>
      </w:pPr>
      <w:r>
        <w:rPr>
          <w:b/>
          <w:sz w:val="24"/>
          <w:szCs w:val="24"/>
          <w:lang w:eastAsia="x-none"/>
        </w:rPr>
        <w:t>Акционерное общество «Сервисная Компания РусГидро»</w:t>
      </w:r>
      <w:r>
        <w:rPr>
          <w:bCs/>
          <w:sz w:val="24"/>
          <w:szCs w:val="24"/>
          <w:lang w:eastAsia="x-none"/>
        </w:rPr>
        <w:t xml:space="preserve"> </w:t>
      </w:r>
      <w:r>
        <w:rPr>
          <w:b/>
          <w:sz w:val="24"/>
          <w:szCs w:val="24"/>
          <w:lang w:eastAsia="x-none"/>
        </w:rPr>
        <w:t xml:space="preserve">(АО «СК РусГидро») </w:t>
      </w:r>
      <w:r>
        <w:rPr>
          <w:bCs/>
          <w:sz w:val="24"/>
          <w:szCs w:val="24"/>
          <w:lang w:eastAsia="x-none"/>
        </w:rPr>
        <w:t xml:space="preserve">именуемое в дальнейшем </w:t>
      </w:r>
      <w:r>
        <w:rPr>
          <w:b/>
          <w:sz w:val="24"/>
          <w:szCs w:val="24"/>
          <w:lang w:eastAsia="x-none"/>
        </w:rPr>
        <w:t>«Покупатель»</w:t>
      </w:r>
      <w:r>
        <w:rPr>
          <w:bCs/>
          <w:sz w:val="24"/>
          <w:szCs w:val="24"/>
          <w:lang w:eastAsia="x-none"/>
        </w:rPr>
        <w:t xml:space="preserve">, в лице Генерального директора Бойко Дмитрия Владимировича, действующего на основании Устава,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w:t>
      </w:r>
      <w:r>
        <w:rPr>
          <w:rFonts w:ascii="Times New Roman" w:hAnsi="Times New Roman"/>
          <w:b w:val="false"/>
          <w:color w:val="auto"/>
          <w:sz w:val="24"/>
          <w:szCs w:val="24"/>
          <w:lang w:val="ru-RU" w:eastAsia="en-US"/>
        </w:rPr>
        <w:t>определяются</w:t>
      </w:r>
      <w:r>
        <w:rPr>
          <w:rFonts w:ascii="Times New Roman" w:hAnsi="Times New Roman"/>
          <w:b w:val="false"/>
          <w:color w:val="auto"/>
          <w:sz w:val="24"/>
          <w:szCs w:val="24"/>
          <w:lang w:eastAsia="en-US"/>
        </w:rPr>
        <w:t xml:space="preserve">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АО «СК РусГидро».</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highlight w:val="lightGray"/>
        </w:rPr>
        <w:t>Производство и/или приобретение</w:t>
      </w:r>
      <w:r>
        <w:rPr>
          <w:bCs/>
          <w:sz w:val="24"/>
          <w:szCs w:val="24"/>
        </w:rPr>
        <w:t xml:space="preserve"> Товара;</w:t>
      </w:r>
    </w:p>
    <w:p>
      <w:pPr>
        <w:pStyle w:val="ListParagraph"/>
        <w:numPr>
          <w:ilvl w:val="2"/>
          <w:numId w:val="9"/>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Накладной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8"/>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 xml:space="preserve">фактуры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pPr>
        <w:pStyle w:val="Normal"/>
        <w:shd w:val="clear" w:color="auto" w:fill="FFFFFF"/>
        <w:tabs>
          <w:tab w:val="clear" w:pos="708"/>
          <w:tab w:val="left" w:pos="567" w:leader="none"/>
          <w:tab w:val="left" w:pos="716" w:leader="none"/>
          <w:tab w:val="left" w:pos="1134" w:leader="none"/>
          <w:tab w:val="left" w:pos="1708" w:leader="none"/>
        </w:tabs>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15 Договора</w:t>
      </w:r>
      <w:r>
        <w:rPr>
          <w:sz w:val="24"/>
          <w:szCs w:val="24"/>
        </w:rPr>
        <w:t>.</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15 Договора</w:t>
      </w:r>
      <w:r>
        <w:rPr>
          <w:sz w:val="24"/>
          <w:szCs w:val="24"/>
        </w:rPr>
        <w:t>.</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8"/>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8"/>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8"/>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8"/>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highlight w:val="lightGray"/>
        </w:rPr>
      </w:pPr>
      <w:r>
        <w:rPr>
          <w:sz w:val="24"/>
          <w:szCs w:val="24"/>
          <w:highlight w:val="lightGray"/>
        </w:rPr>
        <w:t>накладная ТОРГ-12 в __(____)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0" w:name="_Ref361408232"/>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8"/>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8"/>
          <w:tab w:val="left" w:pos="1418" w:leader="none"/>
        </w:tabs>
        <w:ind w:left="0" w:firstLine="709"/>
        <w:jc w:val="both"/>
        <w:rPr>
          <w:bCs/>
          <w:sz w:val="24"/>
          <w:szCs w:val="24"/>
        </w:rPr>
      </w:pPr>
      <w:r>
        <w:rPr>
          <w:bCs/>
          <w:sz w:val="24"/>
          <w:szCs w:val="24"/>
          <w:highlight w:val="lightGray"/>
        </w:rPr>
        <w:t xml:space="preserve">Стоимость тары и упаковки включена в стоимость Товара. Тара и упаковка возврату </w:t>
        <w:br/>
        <w:t>не подлежат.</w:t>
      </w:r>
      <w:r>
        <w:rPr>
          <w:bCs/>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8"/>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2"/>
        </w:numPr>
        <w:tabs>
          <w:tab w:val="clear" w:pos="708"/>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3"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ListParagraph"/>
        <w:numPr>
          <w:ilvl w:val="1"/>
          <w:numId w:val="2"/>
        </w:numPr>
        <w:shd w:val="clear" w:color="auto" w:fill="FFFFFF"/>
        <w:tabs>
          <w:tab w:val="clear" w:pos="708"/>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4"/>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w:t>
      </w:r>
      <w:r>
        <w:rPr>
          <w:sz w:val="24"/>
          <w:szCs w:val="24"/>
          <w:highlight w:val="lightGray"/>
        </w:rPr>
        <w:t>или ремонта</w:t>
      </w:r>
      <w:r>
        <w:rPr>
          <w:sz w:val="24"/>
          <w:szCs w:val="24"/>
        </w:rPr>
        <w:t xml:space="preserve"> Товара. </w:t>
      </w:r>
    </w:p>
    <w:p>
      <w:pPr>
        <w:pStyle w:val="Normal"/>
        <w:widowControl/>
        <w:shd w:val="clear" w:color="auto" w:fill="FFFFFF"/>
        <w:tabs>
          <w:tab w:val="clear" w:pos="708"/>
          <w:tab w:val="left" w:pos="1134" w:leader="none"/>
        </w:tabs>
        <w:ind w:firstLine="709"/>
        <w:jc w:val="both"/>
        <w:rPr>
          <w:sz w:val="24"/>
          <w:szCs w:val="24"/>
        </w:rPr>
      </w:pPr>
      <w:r>
        <w:rPr>
          <w:sz w:val="24"/>
          <w:szCs w:val="24"/>
          <w:highlight w:val="lightGray"/>
        </w:rPr>
        <w:t>Устранение недостатков путем ремонта Товара может осуществляться только по письменному согласованию с Покупателем</w:t>
      </w:r>
      <w:r>
        <w:rPr>
          <w:sz w:val="24"/>
          <w:szCs w:val="24"/>
        </w:rPr>
        <w:t xml:space="preserve">.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highlight w:val="lightGray"/>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w:t>
      </w:r>
      <w:r>
        <w:rPr>
          <w:sz w:val="24"/>
          <w:szCs w:val="24"/>
        </w:rPr>
        <w:t xml:space="preserve"> Гарантийный срок на замененную </w:t>
      </w:r>
      <w:r>
        <w:rPr>
          <w:sz w:val="24"/>
          <w:szCs w:val="24"/>
          <w:highlight w:val="lightGray"/>
        </w:rPr>
        <w:t>или отремонтированную</w:t>
      </w:r>
      <w:r>
        <w:rPr>
          <w:sz w:val="24"/>
          <w:szCs w:val="24"/>
        </w:rPr>
        <w:t xml:space="preserve">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8"/>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Pr>
          <w:bCs/>
          <w:i/>
          <w:iCs/>
          <w:sz w:val="24"/>
          <w:szCs w:val="24"/>
          <w:highlight w:val="lightGray"/>
          <w:lang w:val="en-GB"/>
        </w:rPr>
        <w:t>(</w:t>
      </w:r>
      <w:r>
        <w:rPr>
          <w:bCs/>
          <w:i/>
          <w:iCs/>
          <w:sz w:val="24"/>
          <w:szCs w:val="24"/>
          <w:highlight w:val="lightGray"/>
        </w:rPr>
        <w:t xml:space="preserve">если предусмотрен </w:t>
      </w:r>
      <w:r>
        <w:rPr>
          <w:bCs/>
          <w:i/>
          <w:iCs/>
          <w:sz w:val="24"/>
          <w:szCs w:val="24"/>
          <w:highlight w:val="lightGray"/>
          <w:lang w:val="en-GB"/>
        </w:rPr>
        <w:t>НДС)</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276" w:leader="none"/>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8.7.3.</w:t>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9"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w:t>
        <w:b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и/или </w:t>
      </w:r>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0"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1"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2"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3"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bookmarkStart w:id="14"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и/или нарушившим свои обязательства по Договору.</w:t>
      </w:r>
      <w:bookmarkEnd w:id="14"/>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shd w:val="clear" w:color="auto" w:fill="FFFFFF"/>
        <w:tabs>
          <w:tab w:val="clear" w:pos="708"/>
          <w:tab w:val="left" w:pos="1134"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8"/>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8"/>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r>
        <w:rPr>
          <w:sz w:val="24"/>
          <w:szCs w:val="24"/>
          <w:highlight w:val="lightGray"/>
        </w:rPr>
        <w:t xml:space="preserve"> В соответствии с пунктом 2 статьи 425 ГК РФ, условия Договора применяются к отношениям Сторон, возникшим </w:t>
        <w:br/>
        <w:t xml:space="preserve">с __________ </w:t>
      </w:r>
      <w:r>
        <w:rPr>
          <w:i/>
          <w:iCs/>
          <w:sz w:val="24"/>
          <w:szCs w:val="24"/>
          <w:highlight w:val="lightGray"/>
        </w:rPr>
        <w:t>(в случае начала поставки до заключения договора)</w:t>
      </w:r>
      <w:r>
        <w:rPr>
          <w:sz w:val="24"/>
          <w:szCs w:val="24"/>
        </w:rPr>
        <w:t>.</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15"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5"/>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2"/>
        </w:numPr>
        <w:tabs>
          <w:tab w:val="clear" w:pos="708"/>
        </w:tabs>
        <w:ind w:left="0" w:firstLine="709"/>
        <w:jc w:val="both"/>
        <w:rPr>
          <w:sz w:val="24"/>
          <w:szCs w:val="24"/>
        </w:rPr>
      </w:pPr>
      <w:r>
        <w:rPr>
          <w:bCs/>
          <w:sz w:val="24"/>
          <w:szCs w:val="24"/>
        </w:rPr>
        <w:t xml:space="preserve">По </w:t>
      </w:r>
      <w:bookmarkStart w:id="16"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6"/>
      <w:r>
        <w:rPr>
          <w:sz w:val="24"/>
          <w:szCs w:val="24"/>
        </w:rPr>
        <w:t>:</w:t>
      </w:r>
    </w:p>
    <w:p>
      <w:pPr>
        <w:pStyle w:val="ListParagraph"/>
        <w:numPr>
          <w:ilvl w:val="0"/>
          <w:numId w:val="14"/>
        </w:numPr>
        <w:tabs>
          <w:tab w:val="clear" w:pos="708"/>
          <w:tab w:val="left" w:pos="993" w:leader="none"/>
        </w:tabs>
        <w:ind w:left="0" w:firstLine="709"/>
        <w:jc w:val="both"/>
        <w:rPr>
          <w:sz w:val="24"/>
          <w:szCs w:val="24"/>
        </w:rPr>
      </w:pPr>
      <w:bookmarkStart w:id="17" w:name="_Hlk154477143"/>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4"/>
        </w:numPr>
        <w:tabs>
          <w:tab w:val="clear" w:pos="708"/>
          <w:tab w:val="left" w:pos="993" w:leader="none"/>
        </w:tabs>
        <w:ind w:left="0" w:firstLine="709"/>
        <w:jc w:val="both"/>
        <w:rPr>
          <w:sz w:val="24"/>
          <w:szCs w:val="24"/>
        </w:rPr>
      </w:pPr>
      <w:bookmarkStart w:id="18"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pPr>
        <w:pStyle w:val="ListParagraph"/>
        <w:numPr>
          <w:ilvl w:val="2"/>
          <w:numId w:val="2"/>
        </w:numPr>
        <w:tabs>
          <w:tab w:val="clear" w:pos="708"/>
        </w:tabs>
        <w:ind w:left="0" w:firstLine="709"/>
        <w:jc w:val="both"/>
        <w:rPr>
          <w:sz w:val="24"/>
          <w:szCs w:val="24"/>
        </w:rPr>
      </w:pPr>
      <w:r>
        <w:rPr>
          <w:bCs/>
          <w:sz w:val="24"/>
          <w:szCs w:val="24"/>
        </w:rPr>
        <w:t xml:space="preserve">Посредством </w:t>
      </w:r>
      <w:bookmarkStart w:id="19"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9"/>
      <w:r>
        <w:rPr>
          <w:sz w:val="24"/>
          <w:szCs w:val="24"/>
        </w:rPr>
        <w:t>.</w:t>
      </w:r>
    </w:p>
    <w:p>
      <w:pPr>
        <w:pStyle w:val="ListParagraph"/>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0"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0"/>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highlight w:val="lightGray"/>
        </w:rPr>
      </w:pPr>
      <w:bookmarkStart w:id="21" w:name="_Hlk154477404"/>
      <w:bookmarkStart w:id="22"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2"/>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bookmarkStart w:id="23"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3"/>
      <w:r>
        <w:rPr>
          <w:i/>
          <w:iCs/>
          <w:sz w:val="24"/>
          <w:szCs w:val="24"/>
          <w:highlight w:val="lightGray"/>
        </w:rPr>
        <w:t>(в случае заключения в электронной форме</w:t>
      </w:r>
      <w:bookmarkEnd w:id="21"/>
      <w:r>
        <w:rPr>
          <w:i/>
          <w:iCs/>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bookmarkStart w:id="24"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4"/>
    </w:p>
    <w:p>
      <w:pPr>
        <w:pStyle w:val="Normal"/>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Normal"/>
        <w:rPr>
          <w:sz w:val="24"/>
          <w:szCs w:val="24"/>
        </w:rPr>
      </w:pPr>
      <w:r>
        <w:rPr>
          <w:sz w:val="24"/>
          <w:szCs w:val="24"/>
        </w:rPr>
      </w:r>
    </w:p>
    <w:tbl>
      <w:tblPr>
        <w:tblStyle w:val="a9"/>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t>ПОКУПАТЕЛЬ:</w:t>
            </w:r>
          </w:p>
        </w:tc>
        <w:tc>
          <w:tcPr>
            <w:tcW w:w="5097"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t>ПОСТАВЩИК:</w:t>
            </w:r>
          </w:p>
        </w:tc>
      </w:tr>
      <w:tr>
        <w:trPr/>
        <w:tc>
          <w:tcPr>
            <w:tcW w:w="5097" w:type="dxa"/>
            <w:tcBorders>
              <w:top w:val="nil"/>
              <w:left w:val="nil"/>
              <w:bottom w:val="nil"/>
              <w:right w:val="nil"/>
            </w:tcBorders>
          </w:tcPr>
          <w:p>
            <w:pPr>
              <w:pStyle w:val="Normal"/>
              <w:widowControl w:val="false"/>
              <w:tabs>
                <w:tab w:val="clear" w:pos="708"/>
                <w:tab w:val="left" w:pos="851" w:leader="none"/>
              </w:tabs>
              <w:spacing w:before="0" w:after="0"/>
              <w:contextualSpacing/>
              <w:jc w:val="left"/>
              <w:rPr>
                <w:b/>
                <w:sz w:val="24"/>
                <w:szCs w:val="24"/>
              </w:rPr>
            </w:pPr>
            <w:r>
              <w:rPr>
                <w:rFonts w:eastAsia="Times New Roman" w:cs="Times New Roman"/>
                <w:b/>
                <w:kern w:val="0"/>
                <w:sz w:val="24"/>
                <w:szCs w:val="24"/>
                <w:lang w:val="ru-RU" w:eastAsia="ru-RU" w:bidi="ar-SA"/>
              </w:rPr>
              <w:t>Акционерное общество «</w:t>
            </w:r>
            <w:r>
              <w:rPr>
                <w:rFonts w:eastAsia="Times New Roman" w:cs="Times New Roman"/>
                <w:b/>
                <w:bCs/>
                <w:kern w:val="0"/>
                <w:sz w:val="24"/>
                <w:szCs w:val="24"/>
                <w:lang w:val="ru-RU" w:eastAsia="ru-RU" w:bidi="ar-SA"/>
              </w:rPr>
              <w:t>Сервисная Компания РусГидро</w:t>
            </w:r>
            <w:r>
              <w:rPr>
                <w:rFonts w:eastAsia="Times New Roman" w:cs="Times New Roman"/>
                <w:b/>
                <w:kern w:val="0"/>
                <w:sz w:val="24"/>
                <w:szCs w:val="24"/>
                <w:lang w:val="ru-RU" w:eastAsia="ru-RU" w:bidi="ar-SA"/>
              </w:rPr>
              <w:t xml:space="preserve">» </w:t>
            </w:r>
          </w:p>
          <w:p>
            <w:pPr>
              <w:pStyle w:val="Normal"/>
              <w:widowControl w:val="false"/>
              <w:tabs>
                <w:tab w:val="clear" w:pos="708"/>
                <w:tab w:val="left" w:pos="851" w:leader="none"/>
              </w:tabs>
              <w:spacing w:before="0" w:after="0"/>
              <w:contextualSpacing/>
              <w:jc w:val="both"/>
              <w:rPr>
                <w:b/>
                <w:sz w:val="24"/>
                <w:szCs w:val="24"/>
              </w:rPr>
            </w:pPr>
            <w:r>
              <w:rPr>
                <w:rFonts w:eastAsia="Times New Roman" w:cs="Times New Roman"/>
                <w:b/>
                <w:kern w:val="0"/>
                <w:sz w:val="24"/>
                <w:szCs w:val="24"/>
                <w:lang w:val="ru-RU" w:eastAsia="ru-RU" w:bidi="ar-SA"/>
              </w:rPr>
              <w:t>(</w:t>
            </w:r>
            <w:r>
              <w:rPr>
                <w:rFonts w:eastAsia="Times New Roman" w:cs="Times New Roman"/>
                <w:b/>
                <w:bCs/>
                <w:kern w:val="0"/>
                <w:sz w:val="24"/>
                <w:szCs w:val="24"/>
                <w:lang w:val="ru-RU" w:eastAsia="ru-RU" w:bidi="ar-SA"/>
              </w:rPr>
              <w:t>АО «СК РусГидро»</w:t>
            </w:r>
            <w:r>
              <w:rPr>
                <w:rFonts w:eastAsia="Times New Roman" w:cs="Times New Roman"/>
                <w:b/>
                <w:kern w:val="0"/>
                <w:sz w:val="24"/>
                <w:szCs w:val="24"/>
                <w:lang w:val="ru-RU" w:eastAsia="ru-RU" w:bidi="ar-SA"/>
              </w:rPr>
              <w:t>)</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 xml:space="preserve">Адрес (юридический/почтовый):  </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 xml:space="preserve">680000, Хабаровский край, г. Хабаровск, </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 xml:space="preserve">ул. Тургенева, дом 80, этаж 2, помещ. </w:t>
            </w:r>
            <w:r>
              <w:rPr>
                <w:rFonts w:eastAsia="Times New Roman" w:cs="Times New Roman"/>
                <w:kern w:val="0"/>
                <w:sz w:val="24"/>
                <w:szCs w:val="24"/>
                <w:lang w:val="en-US" w:eastAsia="ru-RU" w:bidi="ar-SA"/>
              </w:rPr>
              <w:t>II</w:t>
            </w:r>
            <w:r>
              <w:rPr>
                <w:rFonts w:eastAsia="Times New Roman" w:cs="Times New Roman"/>
                <w:kern w:val="0"/>
                <w:sz w:val="24"/>
                <w:szCs w:val="24"/>
                <w:lang w:val="ru-RU" w:eastAsia="ru-RU" w:bidi="ar-SA"/>
              </w:rPr>
              <w:t xml:space="preserve"> (1-13)</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ОГРН 1042502690339</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ИНН 2526007482 КПП 272101001</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р/с 40702810223022005387</w:t>
            </w:r>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 xml:space="preserve">Филиал Банка ВТБ (ПАО) в г. Хабаровске </w:t>
            </w:r>
            <w:bookmarkStart w:id="25" w:name="_GoBack"/>
            <w:bookmarkEnd w:id="25"/>
          </w:p>
          <w:p>
            <w:pPr>
              <w:pStyle w:val="Normal"/>
              <w:widowControl w:val="false"/>
              <w:tabs>
                <w:tab w:val="clear" w:pos="708"/>
                <w:tab w:val="left" w:pos="851" w:leader="none"/>
              </w:tabs>
              <w:spacing w:before="0" w:after="0"/>
              <w:contextualSpacing/>
              <w:jc w:val="both"/>
              <w:rPr>
                <w:sz w:val="24"/>
                <w:szCs w:val="24"/>
              </w:rPr>
            </w:pPr>
            <w:r>
              <w:rPr>
                <w:rFonts w:eastAsia="Times New Roman" w:cs="Times New Roman"/>
                <w:kern w:val="0"/>
                <w:sz w:val="24"/>
                <w:szCs w:val="24"/>
                <w:lang w:val="ru-RU" w:eastAsia="ru-RU" w:bidi="ar-SA"/>
              </w:rPr>
              <w:t>к/с 30101810400000000727</w:t>
            </w:r>
          </w:p>
          <w:p>
            <w:pPr>
              <w:pStyle w:val="Normal"/>
              <w:widowControl w:val="false"/>
              <w:spacing w:before="0" w:after="0"/>
              <w:jc w:val="left"/>
              <w:rPr>
                <w:sz w:val="24"/>
                <w:szCs w:val="24"/>
              </w:rPr>
            </w:pPr>
            <w:r>
              <w:rPr>
                <w:rFonts w:eastAsia="Times New Roman" w:cs="Times New Roman"/>
                <w:kern w:val="0"/>
                <w:sz w:val="24"/>
                <w:szCs w:val="24"/>
                <w:lang w:val="ru-RU" w:eastAsia="ru-RU" w:bidi="ar-SA"/>
              </w:rPr>
              <w:t>БИК 040813727</w:t>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color w:val="000000"/>
                <w:kern w:val="0"/>
                <w:sz w:val="24"/>
                <w:szCs w:val="24"/>
                <w:lang w:val="en-US" w:eastAsia="ru-RU" w:bidi="ar-SA"/>
              </w:rPr>
              <w:t>E</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US" w:eastAsia="ru-RU" w:bidi="ar-SA"/>
              </w:rPr>
              <w:t>mail</w:t>
            </w: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en-GB" w:eastAsia="ru-RU" w:bidi="ar-SA"/>
              </w:rPr>
              <w:t>sk</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rushydro</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w:t>
            </w:r>
            <w:r>
              <w:rPr>
                <w:rFonts w:eastAsia="Times New Roman" w:cs="Times New Roman"/>
                <w:color w:val="000000"/>
                <w:kern w:val="0"/>
                <w:sz w:val="24"/>
                <w:szCs w:val="24"/>
                <w:lang w:val="en-US" w:eastAsia="ru-RU" w:bidi="ar-SA"/>
              </w:rPr>
              <w:t>u</w:t>
            </w:r>
          </w:p>
        </w:tc>
        <w:tc>
          <w:tcPr>
            <w:tcW w:w="5097" w:type="dxa"/>
            <w:tcBorders>
              <w:top w:val="nil"/>
              <w:left w:val="nil"/>
              <w:bottom w:val="nil"/>
              <w:right w:val="nil"/>
            </w:tcBorders>
          </w:tcPr>
          <w:p>
            <w:pPr>
              <w:pStyle w:val="Normal"/>
              <w:widowControl w:val="false"/>
              <w:tabs>
                <w:tab w:val="clear" w:pos="708"/>
                <w:tab w:val="left" w:pos="5638" w:leader="none"/>
              </w:tabs>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Адрес (место нахождения):</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Почтовый адрес:</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sz w:val="24"/>
                <w:szCs w:val="24"/>
              </w:rPr>
            </w:pPr>
            <w:r>
              <w:rPr>
                <w:rFonts w:eastAsia="Times New Roman" w:cs="Times New Roman"/>
                <w:kern w:val="0"/>
                <w:sz w:val="24"/>
                <w:szCs w:val="24"/>
                <w:lang w:val="ru-RU" w:eastAsia="ru-RU" w:bidi="ar-SA"/>
              </w:rPr>
              <w:t>_______________________________</w:t>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kern w:val="0"/>
                <w:sz w:val="20"/>
                <w:szCs w:val="20"/>
                <w:lang w:val="ru-RU" w:eastAsia="ru-RU" w:bidi="ar-SA"/>
              </w:rPr>
              <w:t>(номер телефона, адрес электронной почты)</w:t>
            </w:r>
          </w:p>
        </w:tc>
      </w:tr>
      <w:tr>
        <w:trPr/>
        <w:tc>
          <w:tcPr>
            <w:tcW w:w="5097" w:type="dxa"/>
            <w:tcBorders>
              <w:top w:val="nil"/>
              <w:left w:val="nil"/>
              <w:bottom w:val="nil"/>
              <w:right w:val="nil"/>
            </w:tcBorders>
          </w:tcPr>
          <w:p>
            <w:pPr>
              <w:pStyle w:val="Normal"/>
              <w:widowControl w:val="false"/>
              <w:spacing w:before="0" w:after="0"/>
              <w:jc w:val="left"/>
              <w:rPr>
                <w:sz w:val="24"/>
                <w:szCs w:val="24"/>
              </w:rPr>
            </w:pPr>
            <w:r>
              <w:rPr>
                <w:rFonts w:eastAsia="Times New Roman" w:cs="Times New Roman"/>
                <w:kern w:val="0"/>
                <w:sz w:val="24"/>
                <w:szCs w:val="24"/>
                <w:lang w:val="ru-RU" w:eastAsia="ru-RU" w:bidi="ar-SA"/>
              </w:rPr>
              <w:t>Генеральный директор</w:t>
            </w:r>
          </w:p>
          <w:p>
            <w:pPr>
              <w:pStyle w:val="Normal"/>
              <w:widowControl w:val="false"/>
              <w:spacing w:before="0" w:after="0"/>
              <w:jc w:val="left"/>
              <w:rPr>
                <w:sz w:val="24"/>
                <w:szCs w:val="24"/>
              </w:rPr>
            </w:pPr>
            <w:r>
              <w:rPr>
                <w:rFonts w:eastAsia="Times New Roman" w:cs="Times New Roman"/>
                <w:kern w:val="0"/>
                <w:sz w:val="24"/>
                <w:szCs w:val="24"/>
                <w:lang w:val="ru-RU" w:eastAsia="ru-RU" w:bidi="ar-SA"/>
              </w:rPr>
            </w:r>
          </w:p>
          <w:p>
            <w:pPr>
              <w:pStyle w:val="Normal"/>
              <w:widowControl w:val="false"/>
              <w:spacing w:before="0" w:after="0"/>
              <w:jc w:val="left"/>
              <w:rPr>
                <w:sz w:val="24"/>
                <w:szCs w:val="24"/>
              </w:rPr>
            </w:pPr>
            <w:r>
              <w:rPr>
                <w:rFonts w:eastAsia="Times New Roman" w:cs="Times New Roman"/>
                <w:kern w:val="0"/>
                <w:sz w:val="24"/>
                <w:szCs w:val="24"/>
                <w:lang w:val="ru-RU" w:eastAsia="ru-RU" w:bidi="ar-SA"/>
              </w:rPr>
            </w:r>
          </w:p>
          <w:p>
            <w:pPr>
              <w:pStyle w:val="Normal"/>
              <w:widowControl w:val="false"/>
              <w:spacing w:before="0" w:after="0"/>
              <w:jc w:val="left"/>
              <w:rPr>
                <w:sz w:val="24"/>
                <w:szCs w:val="24"/>
              </w:rPr>
            </w:pPr>
            <w:r>
              <w:rPr>
                <w:rFonts w:eastAsia="Times New Roman" w:cs="Times New Roman"/>
                <w:kern w:val="0"/>
                <w:sz w:val="24"/>
                <w:szCs w:val="24"/>
                <w:lang w:val="ru-RU" w:eastAsia="ru-RU" w:bidi="ar-SA"/>
              </w:rPr>
            </w:r>
          </w:p>
          <w:p>
            <w:pPr>
              <w:pStyle w:val="Normal"/>
              <w:widowControl w:val="false"/>
              <w:spacing w:before="0" w:after="0"/>
              <w:jc w:val="left"/>
              <w:rPr>
                <w:sz w:val="24"/>
                <w:szCs w:val="24"/>
              </w:rPr>
            </w:pPr>
            <w:r>
              <w:rPr>
                <w:rFonts w:eastAsia="Times New Roman" w:cs="Times New Roman"/>
                <w:kern w:val="0"/>
                <w:sz w:val="24"/>
                <w:szCs w:val="24"/>
                <w:lang w:val="ru-RU" w:eastAsia="ru-RU" w:bidi="ar-SA"/>
              </w:rPr>
              <w:t xml:space="preserve">__________________ / Д.В. Бойко </w:t>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r>
          </w:p>
        </w:tc>
        <w:tc>
          <w:tcPr>
            <w:tcW w:w="5097"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_______________________________</w:t>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widowControl w:val="false"/>
              <w:tabs>
                <w:tab w:val="clear" w:pos="708"/>
                <w:tab w:val="left" w:pos="426" w:leader="none"/>
              </w:tabs>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 / _____________</w:t>
            </w:r>
          </w:p>
        </w:tc>
      </w:tr>
    </w:tbl>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rPr>
          <w:sz w:val="22"/>
          <w:szCs w:val="22"/>
        </w:rPr>
        <w:t>Приложение № 1</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ind w:firstLine="709"/>
        <w:jc w:val="center"/>
        <w:rPr>
          <w:b/>
          <w:sz w:val="24"/>
          <w:szCs w:val="24"/>
        </w:rPr>
      </w:pPr>
      <w:r>
        <w:rPr>
          <w:b/>
          <w:sz w:val="24"/>
          <w:szCs w:val="24"/>
        </w:rPr>
      </w:r>
    </w:p>
    <w:tbl>
      <w:tblPr>
        <w:tblW w:w="495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64"/>
        <w:gridCol w:w="1175"/>
        <w:gridCol w:w="1209"/>
        <w:gridCol w:w="1044"/>
        <w:gridCol w:w="1340"/>
        <w:gridCol w:w="1115"/>
        <w:gridCol w:w="972"/>
        <w:gridCol w:w="2681"/>
      </w:tblGrid>
      <w:tr>
        <w:trPr>
          <w:trHeight w:val="543" w:hRule="atLeast"/>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2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Артикул, тип, марка</w:t>
            </w:r>
          </w:p>
        </w:tc>
        <w:tc>
          <w:tcPr>
            <w:tcW w:w="10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9" w:leader="none"/>
              </w:tabs>
              <w:jc w:val="center"/>
              <w:rPr>
                <w:bCs/>
                <w:color w:val="000000"/>
                <w:sz w:val="22"/>
                <w:szCs w:val="22"/>
              </w:rPr>
            </w:pPr>
            <w:r>
              <w:rPr>
                <w:bCs/>
                <w:color w:val="000000"/>
                <w:sz w:val="22"/>
                <w:szCs w:val="22"/>
                <w:highlight w:val="lightGray"/>
              </w:rPr>
              <w:t>Страна происхождения</w:t>
            </w:r>
            <w:r>
              <w:rPr>
                <w:bCs/>
                <w:color w:val="000000"/>
                <w:sz w:val="22"/>
                <w:szCs w:val="22"/>
              </w:rPr>
              <w:t xml:space="preserve"> Товара</w:t>
            </w:r>
            <w:r>
              <w:rPr>
                <w:rStyle w:val="FootnoteReference"/>
                <w:bCs/>
                <w:color w:val="000000"/>
                <w:sz w:val="22"/>
                <w:szCs w:val="22"/>
              </w:rPr>
              <w:footnoteReference w:id="5"/>
            </w:r>
          </w:p>
        </w:tc>
        <w:tc>
          <w:tcPr>
            <w:tcW w:w="1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Цена за единицу, руб. без НДС</w:t>
            </w:r>
          </w:p>
        </w:tc>
        <w:tc>
          <w:tcPr>
            <w:tcW w:w="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НДС (___%), руб.</w:t>
            </w:r>
          </w:p>
        </w:tc>
        <w:tc>
          <w:tcPr>
            <w:tcW w:w="2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Перечень сопроводительных документов (в том числе подтверждающих качество Товара)</w:t>
            </w:r>
          </w:p>
        </w:tc>
      </w:tr>
      <w:tr>
        <w:trPr>
          <w:trHeight w:val="556" w:hRule="atLeast"/>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bCs/>
                <w:color w:val="000000"/>
                <w:sz w:val="24"/>
                <w:szCs w:val="24"/>
              </w:rPr>
            </w:pPr>
            <w:r>
              <w:rPr>
                <w:bCs/>
                <w:color w:val="000000"/>
                <w:sz w:val="24"/>
                <w:szCs w:val="24"/>
              </w:rPr>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20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0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1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2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color w:val="000000"/>
                <w:sz w:val="24"/>
                <w:szCs w:val="24"/>
                <w:highlight w:val="yellow"/>
              </w:rPr>
            </w:pPr>
            <w:r>
              <w:rPr>
                <w:color w:val="000000"/>
                <w:sz w:val="24"/>
                <w:szCs w:val="24"/>
                <w:highlight w:val="yellow"/>
              </w:rPr>
            </w:r>
          </w:p>
        </w:tc>
      </w:tr>
      <w:tr>
        <w:trPr>
          <w:trHeight w:val="556" w:hRule="atLeast"/>
        </w:trPr>
        <w:tc>
          <w:tcPr>
            <w:tcW w:w="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bCs/>
                <w:color w:val="000000"/>
                <w:sz w:val="24"/>
                <w:szCs w:val="24"/>
              </w:rPr>
            </w:pPr>
            <w:r>
              <w:rPr>
                <w:bCs/>
                <w:color w:val="000000"/>
                <w:sz w:val="24"/>
                <w:szCs w:val="24"/>
              </w:rPr>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20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0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3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1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2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color w:val="000000"/>
                <w:sz w:val="24"/>
                <w:szCs w:val="24"/>
                <w:highlight w:val="yellow"/>
              </w:rPr>
            </w:pPr>
            <w:r>
              <w:rPr>
                <w:color w:val="000000"/>
                <w:sz w:val="24"/>
                <w:szCs w:val="24"/>
                <w:highlight w:val="yellow"/>
              </w:rPr>
            </w:r>
          </w:p>
        </w:tc>
      </w:tr>
    </w:tbl>
    <w:p>
      <w:pPr>
        <w:pStyle w:val="Normal"/>
        <w:ind w:firstLine="709"/>
        <w:rPr>
          <w:i/>
          <w:i/>
          <w:sz w:val="24"/>
          <w:szCs w:val="24"/>
          <w:highlight w:val="yellow"/>
        </w:rPr>
      </w:pPr>
      <w:r>
        <w:rPr>
          <w:i/>
          <w:sz w:val="24"/>
          <w:szCs w:val="24"/>
          <w:highlight w:val="yellow"/>
        </w:rPr>
      </w:r>
    </w:p>
    <w:p>
      <w:pPr>
        <w:pStyle w:val="Normal"/>
        <w:jc w:val="both"/>
        <w:rPr>
          <w:i/>
          <w:i/>
          <w:sz w:val="24"/>
          <w:szCs w:val="24"/>
        </w:rPr>
      </w:pPr>
      <w:r>
        <w:rPr>
          <w:i/>
          <w:sz w:val="24"/>
          <w:szCs w:val="24"/>
          <w:highlight w:val="lightGray"/>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Д.В. Бойко</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6"/>
                    <a:stretch>
                      <a:fillRect/>
                    </a:stretch>
                  </pic:blipFill>
                  <pic:spPr bwMode="auto">
                    <a:xfrm>
                      <a:off x="0" y="0"/>
                      <a:ext cx="2131060" cy="453390"/>
                    </a:xfrm>
                    <a:prstGeom prst="rect">
                      <a:avLst/>
                    </a:prstGeom>
                  </pic:spPr>
                </pic:pic>
              </a:graphicData>
            </a:graphic>
          </wp:anchor>
        </w:drawing>
      </w:r>
      <w:r>
        <w:rPr>
          <w:sz w:val="22"/>
          <w:szCs w:val="22"/>
        </w:rPr>
        <w:t>Приложение № 2</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61"/>
        <w:gridCol w:w="1038"/>
        <w:gridCol w:w="1186"/>
        <w:gridCol w:w="743"/>
        <w:gridCol w:w="1129"/>
        <w:gridCol w:w="1243"/>
        <w:gridCol w:w="1040"/>
        <w:gridCol w:w="1485"/>
        <w:gridCol w:w="890"/>
        <w:gridCol w:w="889"/>
      </w:tblGrid>
      <w:tr>
        <w:trPr>
          <w:trHeight w:val="543"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Д.В. Бойко</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jc w:val="right"/>
        <w:rPr>
          <w:sz w:val="22"/>
          <w:szCs w:val="22"/>
        </w:rPr>
      </w:pPr>
      <w:r>
        <w:rPr>
          <w:sz w:val="22"/>
          <w:szCs w:val="22"/>
        </w:rPr>
        <w:t>Приложение № 3</w:t>
      </w:r>
    </w:p>
    <w:p>
      <w:pPr>
        <w:pStyle w:val="Normal"/>
        <w:suppressAutoHyphens w:val="true"/>
        <w:jc w:val="right"/>
        <w:rPr>
          <w:sz w:val="22"/>
          <w:szCs w:val="22"/>
        </w:rPr>
      </w:pPr>
      <w:r>
        <w:rPr>
          <w:sz w:val="22"/>
          <w:szCs w:val="22"/>
        </w:rPr>
        <w:t>к Договору поставки</w:t>
      </w:r>
    </w:p>
    <w:p>
      <w:pPr>
        <w:pStyle w:val="Normal"/>
        <w:jc w:val="right"/>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055"/>
        <w:gridCol w:w="6149"/>
      </w:tblGrid>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Д.В. Бойко</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widowControl/>
        <w:rPr>
          <w:sz w:val="24"/>
          <w:szCs w:val="24"/>
        </w:rPr>
      </w:pPr>
      <w:r>
        <w:rPr/>
      </w:r>
    </w:p>
    <w:sectPr>
      <w:headerReference w:type="even" r:id="rId7"/>
      <w:headerReference w:type="default" r:id="rId8"/>
      <w:headerReference w:type="first" r:id="rId9"/>
      <w:footerReference w:type="even" r:id="rId10"/>
      <w:footerReference w:type="default" r:id="rId11"/>
      <w:footerReference w:type="first" r:id="rId12"/>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78707125"/>
    </w:sdtPr>
    <w:sdtContent>
      <w:p>
        <w:pPr>
          <w:pStyle w:val="Footer"/>
          <w:jc w:val="center"/>
          <w:rPr/>
        </w:pPr>
        <w:r>
          <w:rPr/>
          <w:fldChar w:fldCharType="begin"/>
        </w:r>
        <w:r>
          <w:rPr/>
          <w:instrText xml:space="preserve"> PAGE </w:instrText>
        </w:r>
        <w:r>
          <w:rPr/>
          <w:fldChar w:fldCharType="separate"/>
        </w:r>
        <w:r>
          <w:rPr/>
          <w:t>8</w:t>
        </w:r>
        <w:r>
          <w:rPr/>
          <w:fldChar w:fldCharType="end"/>
        </w:r>
      </w:p>
    </w:sdtContent>
  </w:sdt>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5">
    <w:p>
      <w:pPr>
        <w:pStyle w:val="FootnoteText"/>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p>
      <w:pPr>
        <w:pStyle w:val="FootnoteText"/>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rPr>
    </w:pPr>
    <w:r>
      <w:rPr>
        <w:color w:val="A6A6A6" w:themeColor="background1" w:themeShade="a6"/>
      </w:rPr>
      <w:t>Договор № ___ от __.__.202_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b206e"/>
    <w:pPr>
      <w:widowControl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UnresolvedMention">
    <w:name w:val="Unresolved Mention"/>
    <w:basedOn w:val="DefaultParagraphFont"/>
    <w:uiPriority w:val="99"/>
    <w:semiHidden/>
    <w:unhideWhenUsed/>
    <w:qFormat/>
    <w:rsid w:val="00231bfe"/>
    <w:rPr>
      <w:color w:val="605E5C"/>
      <w:shd w:fill="E1DFDD" w:val="clear"/>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D33768-46CF-4563-9268-0A308D95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AlterOffice/3.4.0.9$Linux_X86_64 LibreOffice_project/b8daf9e823b1a5463a2f48435ddc2e8696e7d4fc</Application>
  <AppVersion>15.0000</AppVersion>
  <Pages>18</Pages>
  <Words>6736</Words>
  <Characters>48216</Characters>
  <CharactersWithSpaces>54693</CharactersWithSpaces>
  <Paragraphs>344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2020-04-17T12:25:00Z</dcterms:created>
  <dc:creator>tsypilev_ag</dc:creator>
  <dc:description/>
  <dc:language>ru-RU</dc:language>
  <cp:lastModifiedBy/>
  <cp:lastPrinted>2018-05-22T09:46:00Z</cp:lastPrinted>
  <dcterms:modified xsi:type="dcterms:W3CDTF">2026-06-25T11:32:35Z</dcterms:modified>
  <cp:revision>80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