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ОКПД2 20.30.22.110 Поставка лакокрасочных изделий для нужд Якутской ГРЭС в рамках эксплуатационных расходов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360"/>
        <w:jc w:val="center"/>
        <w:rPr>
          <w:rFonts w:eastAsia="Calibri"/>
          <w:b/>
        </w:rPr>
      </w:pPr>
      <w:r>
        <w:rPr>
          <w:rFonts w:eastAsia="Calibri"/>
          <w:b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</w:rPr>
      </w:pPr>
      <w:r>
        <w:rPr>
          <w:rFonts w:eastAsia="Calibri"/>
          <w:b/>
          <w:i/>
        </w:rPr>
      </w:r>
    </w:p>
    <w:p>
      <w:pPr>
        <w:pStyle w:val="Normal"/>
        <w:keepNext w:val="true"/>
        <w:keepLines/>
        <w:jc w:val="both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webHidden/>
              <w:rStyle w:val="Style14"/>
              <w:sz w:val="24"/>
              <w:szCs w:val="24"/>
              <w:vanish w:val="false"/>
              <w:rFonts w:cs="Times New Roman"/>
            </w:rPr>
            <w:instrText xml:space="preserve"> TOC \z \o "1-4" \u \h</w:instrText>
          </w:r>
          <w:r>
            <w:rPr>
              <w:webHidden/>
              <w:rStyle w:val="Style14"/>
              <w:sz w:val="24"/>
              <w:szCs w:val="24"/>
              <w:vanish w:val="false"/>
              <w:rFonts w:cs="Times New Roman"/>
            </w:rPr>
            <w:fldChar w:fldCharType="separate"/>
          </w:r>
          <w:hyperlink w:anchor="_Toc75446566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1.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68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>Наименование закупаемой продукции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69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1.2.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 xml:space="preserve">Цель использования закупаемой продукции 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75446573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2.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iCs/>
                <w:sz w:val="24"/>
                <w:szCs w:val="24"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74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2.1.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>Требования к объемам и срокам поставки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75446575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2.1.1.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>Перечень и объем закупаемой продукции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76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Таблица 1.1 Перечень и объем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79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Таблица 2.1 Требования по срокам поставки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75446582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Таблица 3. 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75446585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4.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iCs/>
                <w:sz w:val="24"/>
                <w:szCs w:val="24"/>
              </w:rPr>
              <w:t>Приложения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_Toc75446585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sz w:val="24"/>
                <w:szCs w:val="24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4"/>
              <w:sz w:val="24"/>
              <w:szCs w:val="24"/>
              <w:rFonts w:cs="Times New Roman"/>
            </w:rPr>
            <w:fldChar w:fldCharType="end"/>
          </w:r>
        </w:p>
      </w:sdtContent>
    </w:sdt>
    <w:p>
      <w:pPr>
        <w:pStyle w:val="Heading2"/>
        <w:tabs>
          <w:tab w:val="clear" w:pos="0"/>
        </w:tabs>
        <w:ind w:left="0" w:hanging="0"/>
        <w:rPr>
          <w:b w:val="false"/>
          <w:sz w:val="24"/>
          <w:szCs w:val="24"/>
        </w:rPr>
      </w:pPr>
      <w:r>
        <w:rPr>
          <w:b w:val="false"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sz w:val="24"/>
          <w:szCs w:val="24"/>
        </w:rPr>
      </w:pPr>
      <w:bookmarkStart w:id="0" w:name="_Toc75446566"/>
      <w:bookmarkStart w:id="1" w:name="_Toc51339692"/>
      <w:r>
        <w:rPr>
          <w:sz w:val="24"/>
          <w:szCs w:val="24"/>
          <w:lang w:val="ru-RU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rPr>
          <w:sz w:val="24"/>
          <w:szCs w:val="24"/>
        </w:rPr>
      </w:pPr>
      <w:bookmarkStart w:id="2" w:name="_Toc46743506"/>
      <w:bookmarkStart w:id="3" w:name="_Toc75446568"/>
      <w:r>
        <w:rPr>
          <w:sz w:val="24"/>
          <w:szCs w:val="24"/>
        </w:rPr>
        <w:t>Наименование закупаемой продукции</w:t>
      </w:r>
      <w:bookmarkEnd w:id="2"/>
      <w:bookmarkEnd w:id="3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/>
      </w:pPr>
      <w:r>
        <w:rPr>
          <w:rStyle w:val="Style8"/>
          <w:rFonts w:eastAsia="Calibri"/>
          <w:b w:val="false"/>
          <w:bCs w:val="false"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  <w:lang w:eastAsia="x-none"/>
        </w:rPr>
        <w:t>Лакокрасочные материалы</w:t>
      </w:r>
      <w:r>
        <w:rPr>
          <w:rStyle w:val="Style8"/>
          <w:rFonts w:eastAsia="Calibri"/>
          <w:b w:val="false"/>
          <w:bCs/>
          <w:i w:val="false"/>
          <w:sz w:val="24"/>
          <w:szCs w:val="24"/>
          <w:shd w:fill="auto" w:val="clear"/>
          <w:lang w:eastAsia="x-none"/>
        </w:rPr>
        <w:t xml:space="preserve">  </w:t>
      </w:r>
    </w:p>
    <w:p>
      <w:pPr>
        <w:pStyle w:val="Heading4"/>
        <w:numPr>
          <w:ilvl w:val="1"/>
          <w:numId w:val="3"/>
        </w:numPr>
        <w:spacing w:before="240" w:after="60"/>
        <w:ind w:left="431" w:hanging="431"/>
        <w:rPr>
          <w:sz w:val="24"/>
          <w:szCs w:val="24"/>
        </w:rPr>
      </w:pPr>
      <w:bookmarkStart w:id="4" w:name="_Toc75446569"/>
      <w:bookmarkStart w:id="5" w:name="_Toc46743507"/>
      <w:r>
        <w:rPr>
          <w:sz w:val="24"/>
          <w:szCs w:val="24"/>
        </w:rPr>
        <w:t xml:space="preserve">Цель </w:t>
      </w:r>
      <w:bookmarkEnd w:id="5"/>
      <w:r>
        <w:rPr>
          <w:sz w:val="24"/>
          <w:szCs w:val="24"/>
          <w:lang w:val="ru-RU"/>
        </w:rPr>
        <w:t xml:space="preserve">использования закупаемой продукции </w:t>
      </w:r>
      <w:bookmarkEnd w:id="4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rPr>
          <w:sz w:val="24"/>
          <w:szCs w:val="24"/>
        </w:rPr>
      </w:pPr>
      <w:r>
        <w:rPr>
          <w:rFonts w:eastAsia="Calibri"/>
          <w:sz w:val="24"/>
          <w:szCs w:val="24"/>
          <w:lang w:eastAsia="x-none"/>
        </w:rPr>
        <w:t xml:space="preserve">Выполнение эксплуатационной программы Якутской ГРЭС, Якутской ГРЭС-2 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sz w:val="24"/>
          <w:szCs w:val="24"/>
        </w:rPr>
      </w:pPr>
      <w:bookmarkStart w:id="6" w:name="_Toc51339693"/>
      <w:bookmarkStart w:id="7" w:name="_Toc75446573"/>
      <w:r>
        <w:rPr>
          <w:iCs/>
          <w:sz w:val="24"/>
          <w:szCs w:val="24"/>
        </w:rPr>
        <w:t xml:space="preserve">Требования к </w:t>
      </w:r>
      <w:r>
        <w:rPr>
          <w:sz w:val="24"/>
          <w:szCs w:val="24"/>
          <w:lang w:val="ru-RU"/>
        </w:rPr>
        <w:t>продукции</w:t>
      </w:r>
      <w:bookmarkEnd w:id="6"/>
      <w:bookmarkEnd w:id="7"/>
    </w:p>
    <w:p>
      <w:pPr>
        <w:pStyle w:val="Heading4"/>
        <w:numPr>
          <w:ilvl w:val="1"/>
          <w:numId w:val="3"/>
        </w:numPr>
        <w:rPr>
          <w:sz w:val="24"/>
          <w:szCs w:val="24"/>
        </w:rPr>
      </w:pPr>
      <w:bookmarkStart w:id="8" w:name="_Toc75446574"/>
      <w:r>
        <w:rPr>
          <w:sz w:val="24"/>
          <w:szCs w:val="24"/>
        </w:rPr>
        <w:t xml:space="preserve">Требования к объемам и срокам </w:t>
      </w:r>
      <w:r>
        <w:rPr>
          <w:sz w:val="24"/>
          <w:szCs w:val="24"/>
          <w:lang w:val="ru-RU"/>
        </w:rPr>
        <w:t>поставки</w:t>
      </w:r>
      <w:bookmarkEnd w:id="8"/>
    </w:p>
    <w:p>
      <w:pPr>
        <w:pStyle w:val="Heading3"/>
        <w:numPr>
          <w:ilvl w:val="2"/>
          <w:numId w:val="3"/>
        </w:numPr>
        <w:rPr>
          <w:sz w:val="24"/>
          <w:szCs w:val="24"/>
        </w:rPr>
      </w:pPr>
      <w:bookmarkStart w:id="9" w:name="_Toc75446575"/>
      <w:r>
        <w:rPr>
          <w:sz w:val="24"/>
          <w:szCs w:val="24"/>
          <w:lang w:val="ru-RU"/>
        </w:rPr>
        <w:t>Перечень и объем закупаемой продукции</w:t>
      </w:r>
      <w:bookmarkEnd w:id="9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</w:rPr>
      </w:pPr>
      <w:bookmarkStart w:id="10" w:name="_Toc75446576"/>
      <w:bookmarkStart w:id="11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1.1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1"/>
      <w:r>
        <w:rPr>
          <w:sz w:val="24"/>
          <w:szCs w:val="24"/>
          <w:lang w:val="ru-RU"/>
        </w:rPr>
        <w:t>и объем закупаемой продукции</w:t>
      </w:r>
      <w:bookmarkEnd w:id="10"/>
    </w:p>
    <w:tbl>
      <w:tblPr>
        <w:tblW w:w="10140" w:type="dxa"/>
        <w:jc w:val="left"/>
        <w:tblInd w:w="3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514"/>
        <w:gridCol w:w="4319"/>
        <w:gridCol w:w="1081"/>
        <w:gridCol w:w="793"/>
        <w:gridCol w:w="1570"/>
        <w:gridCol w:w="1862"/>
      </w:tblGrid>
      <w:tr>
        <w:trPr/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3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Применение законодательства о национальном режиме</w:t>
            </w:r>
          </w:p>
        </w:tc>
      </w:tr>
      <w:tr>
        <w:trPr/>
        <w:tc>
          <w:tcPr>
            <w:tcW w:w="5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по ОКПД 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по предоставлению национального режима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>
        <w:trPr>
          <w:trHeight w:val="346" w:hRule="exact"/>
        </w:trPr>
        <w:tc>
          <w:tcPr>
            <w:tcW w:w="670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ЯГРЭС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желтая аэрозоль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зеленая аэрозоль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серебристая аэрозоль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белая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красная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серая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синяя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черная 520мл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Лак глифталевый для электрических машин и аппаратов МЛ-92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Растворитель нефтяной Сольвент Нефрас-А-130/150 ГОСТ 10214-78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20.30.22.220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белая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Колор ЧТЗ светло-серый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серая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синяя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>
          <w:trHeight w:val="346" w:hRule="exact"/>
        </w:trPr>
        <w:tc>
          <w:tcPr>
            <w:tcW w:w="8277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ЯГРЭС-2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Грунт-эмаль алкидная по ржавчине 3в1 белая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Грунт-эмаль алкидная по ржавчине 3в1 черная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химстойкая антикоррозионная по металлу Химполимер стальной</w:t>
            </w:r>
          </w:p>
        </w:tc>
        <w:tc>
          <w:tcPr>
            <w:tcW w:w="108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20.30.22.110</w:t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 режим запрета закупки иностранной продукции</w:t>
            </w:r>
          </w:p>
        </w:tc>
      </w:tr>
      <w:tr>
        <w:trPr/>
        <w:tc>
          <w:tcPr>
            <w:tcW w:w="5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3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Style36"/>
              <w:widowControl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CC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93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0" w:type="dxa"/>
            <w:tcBorders>
              <w:left w:val="single" w:sz="8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ind w:firstLine="142"/>
        <w:rPr>
          <w:bCs/>
          <w:sz w:val="24"/>
          <w:szCs w:val="24"/>
          <w:shd w:fill="FFFF99" w:val="clear"/>
        </w:rPr>
      </w:pPr>
      <w:r>
        <w:rPr>
          <w:bCs/>
          <w:sz w:val="24"/>
          <w:szCs w:val="24"/>
          <w:shd w:fill="FFFF99" w:val="clear"/>
        </w:rPr>
      </w:r>
    </w:p>
    <w:p>
      <w:pPr>
        <w:pStyle w:val="Normal"/>
        <w:shd w:val="clear" w:fill="FFFFFF"/>
        <w:spacing w:before="0" w:after="120"/>
        <w:jc w:val="both"/>
        <w:rPr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  <w:shd w:fill="FFFFFF" w:val="clear"/>
          <w:lang w:val="x-none"/>
        </w:rPr>
        <w:t xml:space="preserve">* </w:t>
      </w: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>Запрет может не применяться в соответствии с  подп. "и" п. 5 ПП РФ №1875,</w:t>
      </w:r>
      <w:r>
        <w:rPr>
          <w:rFonts w:eastAsia="Calibri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 xml:space="preserve"> </w:t>
      </w: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 xml:space="preserve"> в одном из следующих случаев:</w:t>
      </w:r>
    </w:p>
    <w:p>
      <w:pPr>
        <w:pStyle w:val="Normal"/>
        <w:shd w:val="clear" w:fill="FFFFFF"/>
        <w:spacing w:before="0" w:after="120"/>
        <w:jc w:val="both"/>
        <w:rPr>
          <w:sz w:val="24"/>
          <w:szCs w:val="24"/>
        </w:rPr>
      </w:pP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 xml:space="preserve"> </w:t>
      </w: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>- НМЦК (НМЦД), макс. значение цены контракта (договора), цена контракта (договора) с ед. поставщиком, ≤ 1 млн рублей и при этом ни одна из использованных при определении таких цен цена единицы товара не превышает 300 тыс. рублей;</w:t>
      </w:r>
    </w:p>
    <w:p>
      <w:pPr>
        <w:pStyle w:val="Normal"/>
        <w:shd w:val="clear" w:fill="FFFFFF"/>
        <w:spacing w:before="0" w:after="120"/>
        <w:jc w:val="both"/>
        <w:rPr>
          <w:sz w:val="24"/>
          <w:szCs w:val="24"/>
        </w:rPr>
      </w:pP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 xml:space="preserve"> </w:t>
      </w:r>
      <w:r>
        <w:rPr>
          <w:rFonts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x-none"/>
        </w:rPr>
        <w:t>- ни одна из использованных при определении НМЦК (НМЦД) или цены контракта (договора), заключаемого с ед.поставщиком, цена единицы товара не превышает 300 тыс. рублей и при этом произведение каждой цены единицы товара на количество такого товара ≤ 1 млн. рублей</w:t>
      </w:r>
      <w:r>
        <w:br w:type="page"/>
      </w:r>
    </w:p>
    <w:p>
      <w:pPr>
        <w:pStyle w:val="Heading3"/>
        <w:numPr>
          <w:ilvl w:val="2"/>
          <w:numId w:val="3"/>
        </w:numPr>
        <w:rPr>
          <w:sz w:val="24"/>
          <w:szCs w:val="24"/>
        </w:rPr>
      </w:pPr>
      <w:bookmarkStart w:id="12" w:name="_Toc75446578"/>
      <w:bookmarkStart w:id="13" w:name="_Toc51339696"/>
      <w:r>
        <w:rPr>
          <w:sz w:val="24"/>
          <w:szCs w:val="24"/>
          <w:lang w:val="ru-RU"/>
        </w:rPr>
        <w:t xml:space="preserve">Требования </w:t>
      </w:r>
      <w:bookmarkEnd w:id="13"/>
      <w:r>
        <w:rPr>
          <w:sz w:val="24"/>
          <w:szCs w:val="24"/>
          <w:lang w:val="ru-RU"/>
        </w:rPr>
        <w:t>к срокам поставки продукции и оказания сопутствующих услуг</w:t>
      </w:r>
      <w:bookmarkEnd w:id="12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</w:rPr>
      </w:pPr>
      <w:bookmarkStart w:id="14" w:name="_Toc75446579"/>
      <w:bookmarkStart w:id="15" w:name="_Toc50125127"/>
      <w:bookmarkStart w:id="16" w:name="_Toc51339697"/>
      <w:bookmarkStart w:id="17" w:name="_Toc50125126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18" w:name="_Hlk50465284"/>
      <w:r>
        <w:rPr>
          <w:sz w:val="24"/>
          <w:szCs w:val="24"/>
        </w:rPr>
        <w:t xml:space="preserve">Требования по срокам </w:t>
      </w:r>
      <w:bookmarkEnd w:id="15"/>
      <w:bookmarkEnd w:id="16"/>
      <w:bookmarkEnd w:id="18"/>
      <w:r>
        <w:rPr>
          <w:sz w:val="24"/>
          <w:szCs w:val="24"/>
          <w:lang w:val="ru-RU"/>
        </w:rPr>
        <w:t>поставки продукции</w:t>
      </w:r>
      <w:bookmarkEnd w:id="14"/>
      <w:r>
        <w:rPr>
          <w:sz w:val="24"/>
          <w:szCs w:val="24"/>
          <w:lang w:val="ru-RU"/>
        </w:rPr>
        <w:t xml:space="preserve"> </w:t>
      </w:r>
    </w:p>
    <w:p>
      <w:pPr>
        <w:pStyle w:val="Normal"/>
        <w:tabs>
          <w:tab w:val="clear" w:pos="708"/>
        </w:tabs>
        <w:spacing w:before="240" w:after="60"/>
        <w:ind w:left="0" w:hang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tabs>
          <w:tab w:val="clear" w:pos="708"/>
        </w:tabs>
        <w:spacing w:before="240" w:after="60"/>
        <w:ind w:left="0" w:hang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575" w:type="dxa"/>
        <w:jc w:val="left"/>
        <w:tblInd w:w="-2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4542"/>
        <w:gridCol w:w="2423"/>
        <w:gridCol w:w="2827"/>
      </w:tblGrid>
      <w:tr>
        <w:trPr/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0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ЯГРЭС</w:t>
            </w:r>
          </w:p>
        </w:tc>
      </w:tr>
      <w:tr>
        <w:trPr/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желтая аэрозоль 520мл</w:t>
            </w:r>
          </w:p>
        </w:tc>
        <w:tc>
          <w:tcPr>
            <w:tcW w:w="2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2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bookmarkStart w:id="19" w:name="_GoBack_Копия_1"/>
            <w:bookmarkEnd w:id="19"/>
            <w:r>
              <w:rPr>
                <w:sz w:val="24"/>
                <w:szCs w:val="24"/>
              </w:rPr>
              <w:t>0 календарных дней с даты подписания договора</w:t>
            </w:r>
          </w:p>
        </w:tc>
      </w:tr>
      <w:tr>
        <w:trPr/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зеленая аэрозоль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алкидная универсальная серебристая аэрозоль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белая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красная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серая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синяя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аэрозольная черная 520мл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Лак глифталевый для электрических машин и аппаратов МЛ-92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Растворитель нефтяной Сольвент Нефрас-А-130/150 ГОСТ 10214-78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белая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Колор ЧТЗ светло-серый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серая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Эмаль нитроцеллюлозная по дереву/металлу НЦ-132 синяя</w:t>
            </w:r>
          </w:p>
        </w:tc>
        <w:tc>
          <w:tcPr>
            <w:tcW w:w="2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10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ЯГРЭС-2</w:t>
            </w:r>
          </w:p>
        </w:tc>
      </w:tr>
      <w:tr>
        <w:trPr>
          <w:trHeight w:val="431" w:hRule="atLeast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Грунт-эмаль алкидная по ржавчине 3в1 белая</w:t>
            </w:r>
          </w:p>
        </w:tc>
        <w:tc>
          <w:tcPr>
            <w:tcW w:w="2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2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bookmarkStart w:id="20" w:name="_GoBack"/>
            <w:bookmarkEnd w:id="20"/>
            <w:r>
              <w:rPr>
                <w:sz w:val="24"/>
                <w:szCs w:val="24"/>
              </w:rPr>
              <w:t>0 календарных дней с даты подписания договора</w:t>
            </w:r>
          </w:p>
        </w:tc>
      </w:tr>
      <w:tr>
        <w:trPr>
          <w:trHeight w:val="431" w:hRule="atLeast"/>
        </w:trPr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Грунт-эмаль алкидная по ржавчине 3в1 черная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431" w:hRule="atLeast"/>
        </w:trPr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4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Style36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Краска химстойкая антикоррозионная по металлу Химполимер стальной</w:t>
            </w:r>
          </w:p>
        </w:tc>
        <w:tc>
          <w:tcPr>
            <w:tcW w:w="2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>
          <w:sz w:val="24"/>
          <w:szCs w:val="24"/>
        </w:rPr>
      </w:pPr>
      <w:bookmarkStart w:id="21" w:name="_Toc51339698"/>
      <w:bookmarkStart w:id="22" w:name="_Toc75446581"/>
      <w:bookmarkStart w:id="23" w:name="_Toc46743511"/>
      <w:bookmarkStart w:id="24" w:name="_Toc54785622"/>
      <w:bookmarkEnd w:id="24"/>
      <w:r>
        <w:rPr>
          <w:sz w:val="24"/>
          <w:szCs w:val="24"/>
        </w:rPr>
        <w:t xml:space="preserve">Требования к </w:t>
      </w:r>
      <w:bookmarkEnd w:id="23"/>
      <w:r>
        <w:rPr>
          <w:sz w:val="24"/>
          <w:szCs w:val="24"/>
          <w:lang w:val="ru-RU"/>
        </w:rPr>
        <w:t>качеству продукции</w:t>
      </w:r>
      <w:bookmarkEnd w:id="22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_Toc75446582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25"/>
      <w:r>
        <w:rPr>
          <w:sz w:val="24"/>
          <w:szCs w:val="24"/>
        </w:rPr>
        <w:t xml:space="preserve"> </w:t>
      </w:r>
      <w:bookmarkEnd w:id="21"/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b/>
          <w:bCs/>
          <w:iCs/>
          <w:sz w:val="24"/>
          <w:szCs w:val="24"/>
        </w:rPr>
        <w:t xml:space="preserve">Наименование продукции (позиция №1-28 Таблицы 3.1): </w:t>
      </w:r>
      <w:r>
        <w:rPr>
          <w:rFonts w:eastAsia="Calibri"/>
          <w:b/>
          <w:bCs/>
          <w:sz w:val="24"/>
          <w:szCs w:val="24"/>
        </w:rPr>
        <w:t>« лакокрасочны</w:t>
      </w:r>
      <w:r>
        <w:rPr>
          <w:rStyle w:val="Style8"/>
          <w:rFonts w:eastAsia="Calibri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  <w:lang w:eastAsia="x-none"/>
        </w:rPr>
        <w:t>е материал</w:t>
      </w:r>
      <w:r>
        <w:rPr>
          <w:rStyle w:val="Style8"/>
          <w:rFonts w:eastAsia="Calibri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shd w:fill="auto" w:val="clear"/>
          <w:em w:val="none"/>
          <w:lang w:eastAsia="x-none"/>
        </w:rPr>
        <w:t>ы</w:t>
      </w:r>
      <w:r>
        <w:rPr>
          <w:rStyle w:val="Style8"/>
          <w:rFonts w:eastAsia="Calibri"/>
          <w:b/>
          <w:bCs/>
          <w:i w:val="false"/>
          <w:sz w:val="22"/>
          <w:szCs w:val="22"/>
          <w:shd w:fill="auto" w:val="clear"/>
          <w:lang w:eastAsia="x-none"/>
        </w:rPr>
        <w:t xml:space="preserve"> </w:t>
      </w:r>
      <w:r>
        <w:rPr>
          <w:rFonts w:eastAsia="Calibri"/>
          <w:b/>
          <w:bCs/>
          <w:sz w:val="22"/>
          <w:szCs w:val="22"/>
        </w:rPr>
        <w:t>»</w:t>
      </w:r>
    </w:p>
    <w:p>
      <w:pPr>
        <w:pStyle w:val="Normal"/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</w:r>
    </w:p>
    <w:tbl>
      <w:tblPr>
        <w:tblStyle w:val="affff7"/>
        <w:tblW w:w="15309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"/>
        <w:gridCol w:w="1811"/>
        <w:gridCol w:w="31"/>
        <w:gridCol w:w="2956"/>
        <w:gridCol w:w="2990"/>
        <w:gridCol w:w="3262"/>
        <w:gridCol w:w="3406"/>
      </w:tblGrid>
      <w:tr>
        <w:trPr/>
        <w:tc>
          <w:tcPr>
            <w:tcW w:w="852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181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2987" w:type="dxa"/>
            <w:gridSpan w:val="2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625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340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5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81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87" w:type="dxa"/>
            <w:gridSpan w:val="2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340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8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987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техническим и функциональным характеристикам в отношении каждой позиции продукции представлены в Приложении № 1 к настоящим Техническим требованиям</w:t>
            </w:r>
          </w:p>
        </w:tc>
        <w:tc>
          <w:tcPr>
            <w:tcW w:w="2990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326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</w:t>
            </w:r>
          </w:p>
        </w:tc>
        <w:tc>
          <w:tcPr>
            <w:tcW w:w="340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Место поставки</w:t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677004, Республика Саха (Якутия), г.Якутск, ул. Кржижановского, д. 2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Style29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Транспортные расходы на продукцию, подлежащий замене по гарантии, несет поставщик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Style29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241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Соответствие тары и упаковки согласно ГОСТ 15846-202. На каждое место составляется подробный упаковочный лист, с указанием упакованных товаров.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241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Продукция передается Заказчику комплектно с техническими паспортами, сертификатами соответствия продукции, сертификатами качества и другими подтверждающими документами по действующему законодательству РФ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2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2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2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Гарантийный срок: в течение 12 месяцев с даты поставки на склад Покупателя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Style29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Гарантия распространяется в полном объеме на поставляемую продукцию.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Style29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241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течение гарантийного срока поставщик обязуется заменить продукцию в случае его несоответствия заявленному качеству.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Style29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0" w:hanging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479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Поставщик гарантирует обязательное предоставление паспорта качества на каждую поставляемую партию.</w:t>
            </w:r>
          </w:p>
        </w:tc>
        <w:tc>
          <w:tcPr>
            <w:tcW w:w="299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0" w:hanging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479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Продукция при поставке должна сопровождаться действующими сертификатами, удостоверениями, техническими паспортами и другими документами, подтверждающими качество товара предприятия-изготовителя продукции, его происхождение и указывающие условия, а также сроки гарантии</w:t>
            </w:r>
          </w:p>
        </w:tc>
        <w:tc>
          <w:tcPr>
            <w:tcW w:w="299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Прочие (дополнительные) требования к продукции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- Номер реестровой записи из реестра российской промышленной продукции, содержащей в том числе: 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№719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№719 для целей осуществления закупок</w:t>
            </w:r>
          </w:p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- Номер реестровой записи из евразийского реестра промышленных товаров, содержащей в том числе: - информацию о совокупном количестве баллов за выполнение (освоение) на территории ЕАЭС соответствующих операций (условий) (если в отношении такого товара правом ЕАЭС за выполнение (освоение) на территории ЕАЭС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ЕАЭС</w:t>
            </w:r>
          </w:p>
        </w:tc>
        <w:tc>
          <w:tcPr>
            <w:tcW w:w="29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left"/>
              <w:rPr>
                <w:sz w:val="24"/>
                <w:szCs w:val="24"/>
              </w:rPr>
            </w:pPr>
            <w:r>
              <w:rPr>
                <w:rFonts w:eastAsia="Calibri" w:cs="Arial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Указание наименования реестра и номер реестровой записи в Форме Коммерческого предложения и Структуры НМЦ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Требуется в составе заявки представить заполненную Форму Коммерческого предложения и Структуры НМЦ в части столбцов раздела «Коммерческое предложение».</w:t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2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Прочие (дополнительные) требования к продукции</w:t>
            </w:r>
          </w:p>
        </w:tc>
        <w:tc>
          <w:tcPr>
            <w:tcW w:w="299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2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340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52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  <w:tab w:val="left" w:pos="426" w:leader="none"/>
                <w:tab w:val="left" w:pos="851" w:leader="none"/>
              </w:tabs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Поставляемая продукция должна быть новая (не ранее 2024 года изготовления) и ранее не использованная.</w:t>
            </w:r>
          </w:p>
        </w:tc>
        <w:tc>
          <w:tcPr>
            <w:tcW w:w="299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32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06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spacing w:before="0" w:after="120"/>
        <w:jc w:val="right"/>
        <w:rPr>
          <w:sz w:val="24"/>
          <w:szCs w:val="24"/>
        </w:rPr>
      </w:pPr>
      <w:r>
        <w:rPr>
          <w:rFonts w:eastAsia="Calibri"/>
          <w:sz w:val="24"/>
          <w:szCs w:val="24"/>
        </w:rPr>
        <w:t>Приложение №1 к Техническим требованиям</w:t>
      </w:r>
    </w:p>
    <w:p>
      <w:pPr>
        <w:pStyle w:val="Normal"/>
        <w:spacing w:before="0" w:after="120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val="x-none"/>
        </w:rPr>
        <w:t>Таблица </w:t>
      </w:r>
      <w:r>
        <w:rPr>
          <w:rFonts w:eastAsia="Calibri"/>
          <w:b/>
          <w:bCs/>
          <w:sz w:val="24"/>
          <w:szCs w:val="24"/>
        </w:rPr>
        <w:t>3.1</w:t>
      </w:r>
      <w:r>
        <w:rPr>
          <w:rFonts w:eastAsia="Calibri"/>
          <w:b/>
          <w:bCs/>
          <w:sz w:val="24"/>
          <w:szCs w:val="24"/>
          <w:lang w:val="x-none"/>
        </w:rPr>
        <w:t xml:space="preserve">. </w:t>
      </w:r>
      <w:r>
        <w:rPr>
          <w:rFonts w:eastAsia="Calibri"/>
          <w:b/>
          <w:bCs/>
          <w:sz w:val="24"/>
          <w:szCs w:val="24"/>
        </w:rPr>
        <w:t>Требования к продукции (индивидуальные требования по каждой позиции перечня продукции)</w:t>
      </w:r>
    </w:p>
    <w:p>
      <w:pPr>
        <w:pStyle w:val="Normal"/>
        <w:spacing w:before="0" w:after="120"/>
        <w:ind w:right="397" w:hanging="0"/>
        <w:jc w:val="both"/>
        <w:rPr/>
      </w:pPr>
      <w:r>
        <w:rPr>
          <w:b/>
          <w:bCs/>
          <w:sz w:val="24"/>
          <w:szCs w:val="24"/>
        </w:rPr>
        <w:t xml:space="preserve">Наименование продукции: </w:t>
      </w:r>
      <w:r>
        <w:rPr>
          <w:rFonts w:eastAsia="Calibri"/>
          <w:b/>
          <w:bCs/>
          <w:sz w:val="24"/>
          <w:szCs w:val="24"/>
        </w:rPr>
        <w:t>«</w:t>
      </w:r>
      <w:r>
        <w:rPr>
          <w:rStyle w:val="Style8"/>
          <w:rFonts w:eastAsia="Calibri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shd w:fill="auto" w:val="clear"/>
          <w:em w:val="none"/>
          <w:lang w:eastAsia="x-none"/>
        </w:rPr>
        <w:t xml:space="preserve"> лакокрасочные материалы</w:t>
      </w:r>
      <w:r>
        <w:rPr>
          <w:rStyle w:val="Style8"/>
          <w:rFonts w:eastAsia="Calibri"/>
          <w:b/>
          <w:bCs/>
          <w:i w:val="false"/>
          <w:sz w:val="24"/>
          <w:szCs w:val="24"/>
          <w:shd w:fill="auto" w:val="clear"/>
          <w:lang w:eastAsia="x-none"/>
        </w:rPr>
        <w:t xml:space="preserve"> </w:t>
      </w:r>
      <w:r>
        <w:rPr>
          <w:rFonts w:eastAsia="Calibri"/>
          <w:b/>
          <w:bCs/>
          <w:sz w:val="24"/>
          <w:szCs w:val="24"/>
        </w:rPr>
        <w:t>»</w:t>
      </w:r>
    </w:p>
    <w:tbl>
      <w:tblPr>
        <w:tblStyle w:val="1d"/>
        <w:tblW w:w="15488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2"/>
        <w:gridCol w:w="1360"/>
        <w:gridCol w:w="2034"/>
        <w:gridCol w:w="1200"/>
        <w:gridCol w:w="4765"/>
        <w:gridCol w:w="2046"/>
        <w:gridCol w:w="635"/>
        <w:gridCol w:w="604"/>
        <w:gridCol w:w="1179"/>
        <w:gridCol w:w="931"/>
      </w:tblGrid>
      <w:tr>
        <w:trPr>
          <w:trHeight w:val="206" w:hRule="atLeast"/>
        </w:trPr>
        <w:tc>
          <w:tcPr>
            <w:tcW w:w="732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column"/>
            </w: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136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 xml:space="preserve">позиции </w:t>
              <w:br/>
              <w:t>Таблицы 1.1. «Перечень и объем закупаемой продукции»</w:t>
            </w:r>
          </w:p>
        </w:tc>
        <w:tc>
          <w:tcPr>
            <w:tcW w:w="203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Наименование продукции</w:t>
            </w:r>
          </w:p>
        </w:tc>
        <w:tc>
          <w:tcPr>
            <w:tcW w:w="8011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cs=""/>
                <w:b/>
                <w:bCs/>
                <w:kern w:val="0"/>
                <w:sz w:val="24"/>
                <w:szCs w:val="24"/>
                <w:lang w:val="ru-RU" w:eastAsia="en-US" w:bidi="ar-SA"/>
              </w:rPr>
              <w:t>Требования заказчика *</w:t>
            </w:r>
          </w:p>
        </w:tc>
        <w:tc>
          <w:tcPr>
            <w:tcW w:w="3349" w:type="dxa"/>
            <w:gridSpan w:val="4"/>
            <w:tcBorders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Предложения поставщика</w:t>
            </w:r>
          </w:p>
        </w:tc>
      </w:tr>
      <w:tr>
        <w:trPr/>
        <w:tc>
          <w:tcPr>
            <w:tcW w:w="73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136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203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ГОСТ</w:t>
            </w:r>
          </w:p>
        </w:tc>
        <w:tc>
          <w:tcPr>
            <w:tcW w:w="47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Технические и функциональные характеристики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bCs/>
                <w:kern w:val="0"/>
                <w:sz w:val="24"/>
                <w:szCs w:val="24"/>
                <w:lang w:val="ru-RU" w:eastAsia="en-US" w:bidi="ar-SA"/>
              </w:rPr>
              <w:t>(параметры эквивалентности)</w:t>
            </w:r>
          </w:p>
        </w:tc>
        <w:tc>
          <w:tcPr>
            <w:tcW w:w="204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Место поставки</w:t>
            </w:r>
          </w:p>
        </w:tc>
        <w:tc>
          <w:tcPr>
            <w:tcW w:w="6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Наименование продукции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ГОСТ</w:t>
            </w:r>
          </w:p>
        </w:tc>
        <w:tc>
          <w:tcPr>
            <w:tcW w:w="117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Технические и функциональные характеристики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Место поставки</w:t>
            </w:r>
          </w:p>
        </w:tc>
      </w:tr>
      <w:tr>
        <w:trPr/>
        <w:tc>
          <w:tcPr>
            <w:tcW w:w="7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3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0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7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04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6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117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1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алкидная универсальная желтая аэрозоль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Свойства - атмосферостойкая/высокая твердость; Способ нанесения - аэрозольное распыление; Расход - 0.26 л/м²; Время полного высыхания - 24 ч; Температура основания - 10 °С; Min температура эксплуатации -20 °С; Max температура эксплуатации - 40 °С; Основания - ДВП/ДСП/МДФ/ОСП/ПВХ/бетон/газобетон/гипс/гипсокартон/дерево/кожа/камень/керамика/кирпич/металл/пенобетон/резина/стекло/текстиль/ткань/фанера/цемент/шифер/шпатлевка/штукатурка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2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алкидная универсальная зеленая аэрозоль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Свойства - атмосферостойкая/высокая твердость; Способ нанесения - аэрозольное распыление; Расход - 0.26 л/м²; Время полного высыхания - 24 ч; Температура основания - 10 °С; Min температура эксплуатации -20 °С; Max температура эксплуатации - 40 °С; Основания - ДВП/ДСП/МДФ/ОСП/ПВХ/бетон/газобетон/гипс/гипсокартон/дерево/кожа/камень/керамика/кирпич/металл/пенобетон/резина/стекло/текстиль/ткань/фанера/цемент/шифер/шпатлевка/штукатурка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>
          <w:trHeight w:val="1620" w:hRule="atLeast"/>
        </w:trPr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3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алкидная универсальная серебристая аэрозоль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Свойства - атмосферостойкая/высокая твердость; Способ нанесения - аэрозольное распыление; Расход - 0.26 л/м²; Время полного высыхания - 24 ч; Температура основания - 10 °С; Min температура эксплуатации -20 °С; Max температура эксплуатации - 40 °С; Основания - ДВП/ДСП/МДФ/ОСП/ПВХ/бетон/газобетон/гипс/гипсокартон/дерево/кожа/камень/керамика/кирпич/металл/пенобетон/резина/стекло/текстиль/ткань/фанера/цемент/шифер/шпатлевка/штукатурка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4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аэрозольная белая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Основа: алкидная; Свойства: влагостойкая; Упаковка: баллончик с распылителем; Степень блеска: глянцевая; Температурный режим: -50+120*С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5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аэрозольная красная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Свойства - атмосферостойкая/высокая твердость; Способ нанесения - аэрозольное распыление; Расход - 0.26 л/м²; Время полного высыхания - 24 ч; Температура основания - 10 °С; Min температура эксплуатации -20 °С; Max температура эксплуатации - 40 °С; Основания - ДВП/ДСП/МДФ/ОСП/ПВХ/бетон/газобетон/гипс/гипсокартон/дерево/кожа/камень/керамика/кирпич/металл/пенобетон/резина/стекло/текстиль/ткань/фанера/цемент/шифер/шпатлевка/штукатурка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6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аэрозольная серая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 - алкидная, Свойства - атмосферостойкая, Способ нанесения - аэрозольное распыление; Расход - 0.26-0.52 л/м²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7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аэрозольная синяя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краска аэрозольная в баллонах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8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аэрозольная черная 520мл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 - алкидная, Свойства - атмосферостойкая, Способ нанесения - аэрозольное распыление; Расход - 0.26-0.52 л/м²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9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Лак глифталевый для электрических машин и аппаратов МЛ-92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Лак МЛ-92 представляет собой раствор смеси глифталевого лака и меламиноформальдегидной смолы К-421-2 в органических растворителях.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1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Растворитель нефтяной Сольвент Нефрас-А-130/150 ГОСТ 10214-78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Растворитель нефтяной Сольвент Нефрас-А-130/150 ГОСТ 10214-78 10л.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 xml:space="preserve">Позиция 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Эмаль нитроцеллюлозная по дереву/металлу НЦ-132 белая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Время высыхания — до степени 4 при температуре +20°С не более 24 ч; Прочность плёнки — не менее 1 см; Блеск плёнки — не менее 40,0%; Эластичность при изгибе — 1 мм; Фасовка: 0,7 кг Упаковка: банка металлическая.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1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Эмаль нитроцеллюлозная по дереву/металлу НЦ-132 Колор ЧТЗ светло-серый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высыхания — до степени 4 при температуре +20°С не более 24 ч; Прочность плёнки — не менее 1 см; Блеск плёнки — не менее 40,0%; Эластичность при изгибе — 1 мм; Фасовка: 0,7 кг Упаковка: банка металлическая.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1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Эмаль нитроцеллюлозная по дереву/металлу НЦ-132 серая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характеристики Эмали НЦ-132 ГОСТ 9198-83: Блеск пленки, %, не менее: 40-55 Массовая доля нелетучих веществ, % —- (в зависимости от цвета): 22 — 40 Условная вязкость по вискозиметру ВЗ-246 с диаметром сопла 4 мм при температуре 20оС, с: 60 — 150 Укрывистость высушенной плёнки, г/м2, не более —- (в зависимости от цвета): 30 — 100 Время высыхания до степени 3 при температуре 20оС, ч, не более: 2 — 3 Эластичность пленки при изгибе, мм, не более: 1 Прочность пленки при ударе, см, не менее: 50 Твердость пленки, усл. ед. 0,22 — 0,3 Адгезия пленки, баллы, не более: 1 Стойкость пленки к статическому воздействию жидкостей при температуре 20оС, ч, не менее: — воды — индустриального масла: 6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Позиция 1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Эмаль нитроцеллюлозная по дереву/металлу НЦ-132 синяя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характеристики Эмали НЦ-132 ГОСТ 9198-83: Блеск пленки, %, не менее: 40-55 Массовая доля нелетучих веществ, % —- (в зависимости от цвета): 22 — 40 Условная вязкость по вискозиметру ВЗ-246 с диаметром сопла 4 мм при температуре 20оС, с: 60 — 150 Укрывистость высушенной плёнки, г/м2, не более —- (в зависимости от цвета): 30 — 100 Время высыхания до степени 3 при температуре 20оС, ч, не более: 2 — 3 Эластичность пленки при изгибе, мм, не более: 1 Прочность пленки при ударе, см, не менее: 50 Твердость пленки, усл. ед. 0,22 — 0,3 Адгезия пленки, баллы, не более: 1 Стойкость пленки к статическому воздействию жидкостей при температуре 20оС, ч, не менее: — воды — индустриального масла: 6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 xml:space="preserve">Позиция 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Грунт-эмаль алкидная по ржавчине 3в1 белая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Органические растворители, синтетические смолы, пластификатор, антикоррозионные пигменты, специальные добавки. Область применения:¶Для защиты и окраски как чистых, так и ржавых или частично прокорродированных металлических поверхностей с толщиной плотнодержащейся ржавчины до 0,1 мм. После высыхания образует глянцевое покрытие, устойчивое к механическим и атмосферным воздействиям. Для наружных и внутренних работ.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 xml:space="preserve">Позиция 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16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Грунт-эмаль алкидная по ржавчине 3в1 черная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Органические растворители, синтетические смолы, пластификатор, антикоррозионные пигменты, специальные добавки. Область применения: Для защиты и окраски как чистых, так и ржавых или частично прокорродированных металлических поверхностей с толщиной плотнодержащейся ржавчины до 0,1 мм. После высыхания образует глянцевое покрытие, устойчивое к механическим и атмосферным воздействиям. Для наружных и внутренних работ.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  <w:tr>
        <w:trPr/>
        <w:tc>
          <w:tcPr>
            <w:tcW w:w="732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6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 xml:space="preserve">Позиция </w:t>
            </w:r>
            <w:r>
              <w:rPr>
                <w:rFonts w:eastAsia="Calibri" w:cs=""/>
                <w:iCs/>
                <w:kern w:val="0"/>
                <w:sz w:val="24"/>
                <w:szCs w:val="24"/>
                <w:lang w:val="ru-RU" w:eastAsia="en-US" w:bidi="ar-SA"/>
              </w:rPr>
              <w:t>17</w:t>
            </w:r>
          </w:p>
        </w:tc>
        <w:tc>
          <w:tcPr>
            <w:tcW w:w="20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color="000000" w:fill="FFFFFF" w:val="clear"/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Calibri" w:hAnsi="Calibri"/>
                <w:color w:val="000000"/>
                <w:kern w:val="0"/>
                <w:sz w:val="24"/>
                <w:szCs w:val="24"/>
                <w:lang w:val="ru-RU" w:eastAsia="en-US" w:bidi="ar-SA"/>
              </w:rPr>
              <w:t>Краска химстойкая антикоррозионная по металлу Химполимер стальной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Style36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76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основы: эпоксидная; цвет: стальная; применение по материалу: по металлу; функция: антикоррозийная; страна-производитель: Россия. повышенная атмосферостойкость; химическая устойчивость; трещиностойкость, в кг.</w:t>
            </w: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677004, РФ, Республика Саха (Якутия), г.Якутск, ул. Кржижановского, д. 2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60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1179" w:type="dxa"/>
            <w:tcBorders>
              <w:top w:val="nil"/>
            </w:tcBorders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178" w:hanging="0"/>
              <w:contextualSpacing/>
              <w:jc w:val="left"/>
              <w:rPr>
                <w:rFonts w:ascii="Times New Roman" w:hAnsi="Times New Roman" w:eastAsia="Calibri" w:eastAsiaTheme="minorHAns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 w:eastAsiaTheme="minorHAnsi"/>
                <w:iCs/>
                <w:color w:val="808080" w:themeColor="background1" w:themeShade="80"/>
                <w:sz w:val="24"/>
                <w:szCs w:val="24"/>
              </w:rPr>
            </w:r>
          </w:p>
        </w:tc>
        <w:tc>
          <w:tcPr>
            <w:tcW w:w="93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eastAsia="Calibri"/>
                <w:iCs/>
                <w:color w:val="808080" w:themeColor="background1" w:themeShade="80"/>
                <w:sz w:val="24"/>
                <w:szCs w:val="24"/>
              </w:rPr>
            </w:r>
          </w:p>
        </w:tc>
      </w:tr>
    </w:tbl>
    <w:p>
      <w:pPr>
        <w:pStyle w:val="Normal"/>
        <w:spacing w:before="40" w:after="120"/>
        <w:ind w:right="-28" w:hanging="0"/>
        <w:jc w:val="both"/>
        <w:rPr>
          <w:b/>
          <w:bCs/>
          <w:iCs/>
          <w:sz w:val="16"/>
          <w:szCs w:val="16"/>
        </w:rPr>
      </w:pPr>
      <w:r>
        <w:rPr>
          <w:b/>
          <w:bCs/>
          <w:iCs/>
          <w:sz w:val="16"/>
          <w:szCs w:val="16"/>
        </w:rPr>
      </w:r>
    </w:p>
    <w:p>
      <w:pPr>
        <w:pStyle w:val="Normal"/>
        <w:spacing w:before="40" w:after="120"/>
        <w:ind w:right="-28" w:hanging="0"/>
        <w:jc w:val="both"/>
        <w:rPr>
          <w:sz w:val="20"/>
          <w:szCs w:val="20"/>
        </w:rPr>
      </w:pPr>
      <w:r>
        <w:rPr>
          <w:iCs/>
          <w:sz w:val="20"/>
          <w:szCs w:val="20"/>
        </w:rPr>
        <w:t>"Указанные в настоящем ТТ ссылки на ТУ, марку (тип) продукции носят описательный, а не обязательный характер. В случае, если Участником предлагается эквивалентная продукция требуемой Заказчику продукции или ее составных частей, он должен в обязательном порядке в составе своего предложения предоставить подробное техническое описание предлагаемого к поставке эквивалента, в объеме не менее установленных в настоящем ТТ требований, обозначенных как «параметры эквивалентности.</w:t>
      </w:r>
    </w:p>
    <w:p>
      <w:pPr>
        <w:pStyle w:val="Normal"/>
        <w:spacing w:before="40" w:after="120"/>
        <w:ind w:right="-28" w:hanging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</w:r>
    </w:p>
    <w:p>
      <w:pPr>
        <w:pStyle w:val="Normal"/>
        <w:spacing w:before="40" w:after="120"/>
        <w:ind w:right="-28" w:hanging="0"/>
        <w:jc w:val="both"/>
        <w:rPr>
          <w:sz w:val="20"/>
          <w:szCs w:val="20"/>
        </w:rPr>
      </w:pPr>
      <w:r>
        <w:rPr>
          <w:iCs/>
          <w:sz w:val="20"/>
          <w:szCs w:val="20"/>
        </w:rPr>
        <w:t>Эквивалентная продукция – это продукция, которая по техническим и функциональным характеристикам не уступает характеристикам, заявленным в документации о закупке, в том числе, по гарантийным срокам и срокам эксплуатации</w:t>
      </w:r>
    </w:p>
    <w:p>
      <w:pPr>
        <w:pStyle w:val="Normal"/>
        <w:spacing w:before="40" w:after="120"/>
        <w:ind w:right="-28" w:hanging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</w:r>
    </w:p>
    <w:p>
      <w:pPr>
        <w:pStyle w:val="Normal"/>
        <w:spacing w:before="40" w:after="120"/>
        <w:ind w:right="-28" w:hanging="0"/>
        <w:jc w:val="both"/>
        <w:rPr>
          <w:sz w:val="20"/>
          <w:szCs w:val="20"/>
        </w:rPr>
      </w:pPr>
      <w:r>
        <w:rPr>
          <w:iCs/>
          <w:sz w:val="20"/>
          <w:szCs w:val="20"/>
        </w:rPr>
        <w:t>** Способ подтверждения участником соответствия требованиям указан в таблице в отношении каждой позиции закупаемой продукции"</w:t>
      </w:r>
    </w:p>
    <w:sectPr>
      <w:headerReference w:type="default" r:id="rId7"/>
      <w:headerReference w:type="first" r:id="rId8"/>
      <w:type w:val="nextPage"/>
      <w:pgSz w:orient="landscape" w:w="16838" w:h="11906"/>
      <w:pgMar w:left="992" w:right="1134" w:gutter="0" w:header="435" w:top="555" w:footer="0" w:bottom="58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9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7a4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sid w:val="00d561d9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1" w:customStyle="1">
    <w:name w:val="Гиперссылка1"/>
    <w:uiPriority w:val="99"/>
    <w:qFormat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6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2" w:customStyle="1">
    <w:name w:val="Подпункт Знак1"/>
    <w:link w:val="Style23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1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sid w:val="003879d4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3" w:customStyle="1">
    <w:name w:val="УРОВЕНЬ_1. Знак"/>
    <w:link w:val="110"/>
    <w:qFormat/>
    <w:rsid w:val="004a17ae"/>
    <w:rPr>
      <w:rFonts w:eastAsia="Calibri"/>
      <w:caps/>
      <w:sz w:val="28"/>
      <w:szCs w:val="28"/>
      <w:lang w:eastAsia="en-US"/>
    </w:rPr>
  </w:style>
  <w:style w:type="character" w:styleId="14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 w:customStyle="1">
    <w:name w:val="Ссылка указателя"/>
    <w:qFormat/>
    <w:rPr/>
  </w:style>
  <w:style w:type="character" w:styleId="Style15" w:customStyle="1">
    <w:name w:val="Маркеры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tyle16">
    <w:name w:val="Символ нумерации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Indexheading11" w:customStyle="1">
    <w:name w:val="index heading11"/>
    <w:basedOn w:val="Title"/>
    <w:qFormat/>
    <w:pPr/>
    <w:rPr/>
  </w:style>
  <w:style w:type="paragraph" w:styleId="Style19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20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1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5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6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2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3" w:customStyle="1">
    <w:name w:val="Подпункт"/>
    <w:basedOn w:val="Normal"/>
    <w:link w:val="12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4" w:customStyle="1">
    <w:name w:val="Раздел регламента"/>
    <w:basedOn w:val="Normal"/>
    <w:qFormat/>
    <w:rsid w:val="00e228fa"/>
    <w:pPr/>
    <w:rPr/>
  </w:style>
  <w:style w:type="paragraph" w:styleId="Style25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7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6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7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8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8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9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0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1" w:customStyle="1">
    <w:name w:val="Подподпункт"/>
    <w:basedOn w:val="Style23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2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3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9" w:customStyle="1">
    <w:name w:val="Стиль Заголовок 1 + по ширине"/>
    <w:basedOn w:val="Heading1"/>
    <w:qFormat/>
    <w:rsid w:val="005773b2"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4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10" w:customStyle="1">
    <w:name w:val="УРОВЕНЬ_1."/>
    <w:basedOn w:val="ListParagraph"/>
    <w:link w:val="13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5" w:customStyle="1">
    <w:name w:val="Содержимое врезки"/>
    <w:basedOn w:val="Normal"/>
    <w:qFormat/>
    <w:pPr/>
    <w:rPr/>
  </w:style>
  <w:style w:type="paragraph" w:styleId="Style3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7" w:customStyle="1">
    <w:name w:val="Заголовок таблицы"/>
    <w:basedOn w:val="Style36"/>
    <w:qFormat/>
    <w:pPr>
      <w:jc w:val="center"/>
    </w:pPr>
    <w:rPr>
      <w:b/>
      <w:bCs/>
    </w:rPr>
  </w:style>
  <w:style w:type="paragraph" w:styleId="Style38">
    <w:name w:val="Заголовок списка"/>
    <w:basedOn w:val="Normal"/>
    <w:next w:val="Style39"/>
    <w:qFormat/>
    <w:pPr>
      <w:ind w:hanging="0"/>
    </w:pPr>
    <w:rPr/>
  </w:style>
  <w:style w:type="paragraph" w:styleId="Style39">
    <w:name w:val="Содержимое списка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7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E519-16B0-47BC-90EC-0C1703F0A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Application>AlterOffice/3.4.0.9$Linux_X86_64 LibreOffice_project/b8daf9e823b1a5463a2f48435ddc2e8696e7d4fc</Application>
  <AppVersion>15.0000</AppVersion>
  <Pages>15</Pages>
  <Words>2306</Words>
  <Characters>15662</Characters>
  <CharactersWithSpaces>17593</CharactersWithSpaces>
  <Paragraphs>394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2023-10-31T01:55:00Z</dcterms:created>
  <dc:creator>Тимофеев Александр Викторович</dc:creator>
  <dc:description/>
  <dc:language>ru-RU</dc:language>
  <cp:lastModifiedBy>gladkihaa</cp:lastModifiedBy>
  <cp:lastPrinted>2023-06-06T07:56:00Z</cp:lastPrinted>
  <dcterms:modified xsi:type="dcterms:W3CDTF">2026-04-24T13:06:15Z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