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8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</w:rPr>
      </w:pPr>
      <w:r>
        <w:rPr>
          <w:b/>
          <w:bCs/>
        </w:rPr>
        <w:t>«УТВЕРЖДАЮ»</w:t>
      </w:r>
    </w:p>
    <w:p>
      <w:pPr>
        <w:pStyle w:val="Normal"/>
        <w:keepNext w:val="true"/>
        <w:keepLines/>
        <w:jc w:val="right"/>
        <w:rPr>
          <w:b/>
          <w:bCs/>
        </w:rPr>
      </w:pPr>
      <w:r>
        <w:rPr>
          <w:b/>
          <w:bCs/>
        </w:rPr>
        <w:t>И.о. Главного инженера ЯГРЭС</w:t>
      </w:r>
    </w:p>
    <w:p>
      <w:pPr>
        <w:pStyle w:val="Normal"/>
        <w:keepNext w:val="true"/>
        <w:keepLines/>
        <w:jc w:val="right"/>
        <w:rPr>
          <w:b/>
          <w:bCs/>
        </w:rPr>
      </w:pPr>
      <w:r>
        <w:rPr>
          <w:b/>
          <w:bCs/>
        </w:rPr>
        <w:t>ПАО «Якутскэнерго»</w:t>
      </w:r>
    </w:p>
    <w:p>
      <w:pPr>
        <w:pStyle w:val="Normal"/>
        <w:keepNext w:val="true"/>
        <w:keepLines/>
        <w:jc w:val="right"/>
        <w:rPr>
          <w:b/>
          <w:bCs/>
        </w:rPr>
      </w:pPr>
      <w:r>
        <w:rPr>
          <w:b/>
          <w:bCs/>
        </w:rPr>
        <w:t>______________ Д.А. Чалов</w:t>
      </w:r>
    </w:p>
    <w:p>
      <w:pPr>
        <w:pStyle w:val="Normal"/>
        <w:keepNext w:val="true"/>
        <w:keepLines/>
        <w:jc w:val="right"/>
        <w:rPr>
          <w:b/>
          <w:bCs/>
        </w:rPr>
      </w:pPr>
      <w:r>
        <w:rPr>
          <w:b/>
          <w:bCs/>
        </w:rPr>
        <w:t>«___» ________________202</w:t>
      </w:r>
      <w:r>
        <w:rPr>
          <w:b/>
          <w:bCs/>
        </w:rPr>
        <w:t>6</w:t>
      </w:r>
      <w:r>
        <w:rPr>
          <w:b/>
          <w:bCs/>
        </w:rPr>
        <w:t xml:space="preserve"> г.</w:t>
      </w:r>
    </w:p>
    <w:p>
      <w:pPr>
        <w:pStyle w:val="Normal"/>
        <w:keepNext w:val="true"/>
        <w:keepLines/>
        <w:rPr>
          <w:rFonts w:ascii="Times New Roman" w:hAnsi="Times New Roman"/>
        </w:rPr>
      </w:pPr>
      <w:r>
        <w:rPr/>
      </w:r>
    </w:p>
    <w:p>
      <w:pPr>
        <w:pStyle w:val="Normal"/>
        <w:keepNext w:val="true"/>
        <w:keepLines/>
        <w:rPr>
          <w:rFonts w:ascii="Times New Roman" w:hAnsi="Times New Roman"/>
        </w:rPr>
      </w:pPr>
      <w:r>
        <w:rPr/>
      </w:r>
    </w:p>
    <w:p>
      <w:pPr>
        <w:pStyle w:val="Normal"/>
        <w:keepNext w:val="true"/>
        <w:keepLines/>
        <w:rPr>
          <w:rFonts w:ascii="Times New Roman" w:hAnsi="Times New Roman"/>
        </w:rPr>
      </w:pPr>
      <w:r>
        <w:rPr/>
      </w:r>
    </w:p>
    <w:p>
      <w:pPr>
        <w:pStyle w:val="Normal"/>
        <w:keepNext w:val="true"/>
        <w:keepLines/>
        <w:rPr>
          <w:rFonts w:ascii="Times New Roman" w:hAnsi="Times New Roman"/>
        </w:rPr>
      </w:pPr>
      <w:r>
        <w:rPr/>
      </w:r>
    </w:p>
    <w:p>
      <w:pPr>
        <w:pStyle w:val="Normal"/>
        <w:keepNext w:val="true"/>
        <w:keepLines/>
        <w:rPr>
          <w:rFonts w:ascii="Times New Roman" w:hAnsi="Times New Roman"/>
        </w:rPr>
      </w:pPr>
      <w:r>
        <w:rPr/>
      </w:r>
    </w:p>
    <w:p>
      <w:pPr>
        <w:pStyle w:val="Normal"/>
        <w:keepNext w:val="true"/>
        <w:keepLines/>
        <w:rPr>
          <w:rFonts w:ascii="Times New Roman" w:hAnsi="Times New Roman"/>
        </w:rPr>
      </w:pPr>
      <w:r>
        <w:rPr/>
      </w:r>
    </w:p>
    <w:p>
      <w:pPr>
        <w:pStyle w:val="Normal"/>
        <w:keepNext w:val="true"/>
        <w:keepLines/>
        <w:rPr>
          <w:rFonts w:ascii="Times New Roman" w:hAnsi="Times New Roman"/>
        </w:rPr>
      </w:pPr>
      <w:r>
        <w:rPr/>
      </w:r>
    </w:p>
    <w:p>
      <w:pPr>
        <w:pStyle w:val="Normal"/>
        <w:keepNext w:val="true"/>
        <w:keepLines/>
        <w:rPr>
          <w:rFonts w:ascii="Times New Roman" w:hAnsi="Times New Roman"/>
        </w:rPr>
      </w:pPr>
      <w:r>
        <w:rPr/>
      </w:r>
    </w:p>
    <w:p>
      <w:pPr>
        <w:pStyle w:val="Normal"/>
        <w:keepNext w:val="true"/>
        <w:keepLines/>
        <w:spacing w:lineRule="auto" w:line="360"/>
        <w:jc w:val="center"/>
        <w:rPr>
          <w:rFonts w:ascii="Times New Roman" w:hAnsi="Times New Roman"/>
        </w:rPr>
      </w:pPr>
      <w:r>
        <w:rPr>
          <w:rFonts w:eastAsia="Calibri"/>
          <w:b/>
        </w:rPr>
        <w:t>Технические требования на поставку МТР</w:t>
      </w:r>
    </w:p>
    <w:p>
      <w:pPr>
        <w:pStyle w:val="Normal"/>
        <w:spacing w:lineRule="auto" w:line="360"/>
        <w:jc w:val="center"/>
        <w:rPr>
          <w:rFonts w:ascii="Times New Roman" w:hAnsi="Times New Roman"/>
        </w:rPr>
      </w:pPr>
      <w:r>
        <w:rPr/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360"/>
        <w:jc w:val="center"/>
        <w:rPr>
          <w:rFonts w:ascii="Times New Roman" w:hAnsi="Times New Roman"/>
          <w:sz w:val="28"/>
          <w:szCs w:val="28"/>
        </w:rPr>
      </w:pPr>
      <w:r>
        <w:rPr>
          <w:rFonts w:eastAsia="Calibri"/>
          <w:b/>
          <w:sz w:val="28"/>
          <w:szCs w:val="28"/>
        </w:rPr>
        <w:t>ОКПД2 27.90.70.000 Поставка светового и сигнального оборудования для нужд Якутской ГРЭС в рамках эксплуатационных расходов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b/>
          <w:sz w:val="22"/>
          <w:szCs w:val="22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sz w:val="22"/>
              <w:szCs w:val="22"/>
              <w:vanish w:val="false"/>
              <w:rFonts w:cs="Times New Roman"/>
            </w:rPr>
            <w:instrText xml:space="preserve"> TOC \z \o "1-4" \u \h</w:instrText>
          </w:r>
          <w:r>
            <w:rPr>
              <w:webHidden/>
              <w:rStyle w:val="Style14"/>
              <w:sz w:val="22"/>
              <w:szCs w:val="22"/>
              <w:vanish w:val="false"/>
              <w:rFonts w:cs="Times New Roman"/>
            </w:rPr>
            <w:fldChar w:fldCharType="separate"/>
          </w:r>
          <w:hyperlink w:anchor="_Toc75446566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1.</w:t>
            </w:r>
            <w:r>
              <w:rPr>
                <w:rStyle w:val="Style14"/>
                <w:rFonts w:eastAsia="" w:cs="Times New Roman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68">
            <w:r>
              <w:rPr>
                <w:webHidden/>
                <w:rStyle w:val="Style14"/>
                <w:rFonts w:cs="Times New Roman"/>
                <w:iCs/>
                <w:vanish w:val="false"/>
                <w:sz w:val="22"/>
                <w:szCs w:val="22"/>
              </w:rPr>
              <w:t>1.1.</w:t>
            </w:r>
            <w:r>
              <w:rPr>
                <w:rStyle w:val="Style14"/>
                <w:rFonts w:eastAsia="" w:cs="Times New Roman" w:eastAsiaTheme="minorEastAsi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>Наименование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69">
            <w:r>
              <w:rPr>
                <w:webHidden/>
                <w:rStyle w:val="Style14"/>
                <w:rFonts w:cs="Times New Roman"/>
                <w:iCs/>
                <w:vanish w:val="false"/>
                <w:sz w:val="22"/>
                <w:szCs w:val="22"/>
              </w:rPr>
              <w:t>1.2.</w:t>
            </w:r>
            <w:r>
              <w:rPr>
                <w:rStyle w:val="Style14"/>
                <w:rFonts w:eastAsia="" w:cs="Times New Roman" w:eastAsiaTheme="minorEastAsi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 xml:space="preserve">Цель использования закупаемой продукции 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75446573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2.</w:t>
            </w:r>
            <w:r>
              <w:rPr>
                <w:rStyle w:val="Style14"/>
                <w:rFonts w:eastAsia="" w:cs="Times New Roman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cs="Times New Roman"/>
                <w:iCs/>
                <w:sz w:val="22"/>
                <w:szCs w:val="22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74">
            <w:r>
              <w:rPr>
                <w:webHidden/>
                <w:rStyle w:val="Style14"/>
                <w:rFonts w:cs="Times New Roman"/>
                <w:iCs/>
                <w:vanish w:val="false"/>
                <w:sz w:val="22"/>
                <w:szCs w:val="22"/>
              </w:rPr>
              <w:t>2.1.</w:t>
            </w:r>
            <w:r>
              <w:rPr>
                <w:rStyle w:val="Style14"/>
                <w:rFonts w:eastAsia="" w:cs="Times New Roman" w:eastAsiaTheme="minorEastAsi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>Требования к объемам и срокам поставки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75446575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2.1.1.</w:t>
            </w:r>
            <w:r>
              <w:rPr>
                <w:rStyle w:val="Style14"/>
                <w:rFonts w:eastAsia="" w:cs="Times New Roman" w:eastAsiaTheme="minorEastAsia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>Перечень и объем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76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79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Таблица 2.1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75446582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Таблица 3.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75446585">
            <w:r>
              <w:rPr>
                <w:webHidden/>
                <w:rStyle w:val="Style14"/>
                <w:rFonts w:cs="Times New Roman"/>
                <w:vanish w:val="false"/>
                <w:sz w:val="22"/>
                <w:szCs w:val="22"/>
              </w:rPr>
              <w:t>4.</w:t>
            </w:r>
            <w:r>
              <w:rPr>
                <w:rStyle w:val="Style14"/>
                <w:rFonts w:eastAsia="" w:cs="Times New Roman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cs="Times New Roman"/>
                <w:iCs/>
                <w:sz w:val="22"/>
                <w:szCs w:val="22"/>
              </w:rPr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Times New Roman"/>
                <w:sz w:val="22"/>
                <w:szCs w:val="22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sz w:val="22"/>
              <w:szCs w:val="22"/>
              <w:rFonts w:cs="Times New Roman"/>
            </w:rPr>
            <w:fldChar w:fldCharType="end"/>
          </w:r>
        </w:p>
      </w:sdtContent>
    </w:sdt>
    <w:p>
      <w:pPr>
        <w:pStyle w:val="Heading2"/>
        <w:tabs>
          <w:tab w:val="clear" w:pos="0"/>
        </w:tabs>
        <w:ind w:left="0" w:hanging="0"/>
        <w:rPr>
          <w:rFonts w:ascii="Times New Roman" w:hAnsi="Times New Roman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rFonts w:ascii="Times New Roman" w:hAnsi="Times New Roman"/>
        </w:rPr>
      </w:pPr>
      <w:bookmarkStart w:id="0" w:name="_Toc51339692"/>
      <w:bookmarkStart w:id="1" w:name="_Toc75446566"/>
      <w:r>
        <w:rPr>
          <w:sz w:val="22"/>
          <w:szCs w:val="22"/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>
          <w:rFonts w:ascii="Times New Roman" w:hAnsi="Times New Roman"/>
        </w:rPr>
      </w:pPr>
      <w:bookmarkStart w:id="2" w:name="_Toc46743506"/>
      <w:bookmarkStart w:id="3" w:name="_Toc75446568"/>
      <w:r>
        <w:rPr>
          <w:sz w:val="22"/>
          <w:szCs w:val="22"/>
        </w:rPr>
        <w:t>Наименование закупаемой продукции</w:t>
      </w:r>
      <w:bookmarkEnd w:id="2"/>
      <w:bookmarkEnd w:id="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r>
        <w:rPr>
          <w:rStyle w:val="Style8"/>
          <w:rFonts w:eastAsia="Calibri"/>
          <w:b w:val="false"/>
          <w:bCs/>
          <w:i w:val="false"/>
          <w:sz w:val="22"/>
          <w:szCs w:val="22"/>
          <w:shd w:fill="auto" w:val="clear"/>
          <w:lang w:eastAsia="x-none"/>
        </w:rPr>
        <w:t>Световое и сигнальное оборудование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>
          <w:rFonts w:ascii="Times New Roman" w:hAnsi="Times New Roman"/>
        </w:rPr>
      </w:pPr>
      <w:bookmarkStart w:id="4" w:name="_Toc75446569"/>
      <w:bookmarkStart w:id="5" w:name="_Toc46743507"/>
      <w:r>
        <w:rPr>
          <w:sz w:val="22"/>
          <w:szCs w:val="22"/>
        </w:rPr>
        <w:t xml:space="preserve">Цель </w:t>
      </w:r>
      <w:bookmarkEnd w:id="5"/>
      <w:r>
        <w:rPr>
          <w:sz w:val="22"/>
          <w:szCs w:val="22"/>
          <w:lang w:val="ru-RU"/>
        </w:rPr>
        <w:t xml:space="preserve">использования закупаемой продукции </w:t>
      </w:r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rFonts w:ascii="Times New Roman" w:hAnsi="Times New Roman"/>
        </w:rPr>
      </w:pPr>
      <w:r>
        <w:rPr>
          <w:rFonts w:eastAsia="Calibri"/>
          <w:sz w:val="22"/>
          <w:szCs w:val="22"/>
          <w:lang w:eastAsia="x-none"/>
        </w:rPr>
        <w:t xml:space="preserve">Выполнение ремонтной программы Якутской ГРЭС 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rFonts w:ascii="Times New Roman" w:hAnsi="Times New Roman"/>
        </w:rPr>
      </w:pPr>
      <w:bookmarkStart w:id="6" w:name="_Toc51339693"/>
      <w:bookmarkStart w:id="7" w:name="_Toc75446573"/>
      <w:r>
        <w:rPr>
          <w:iCs/>
          <w:sz w:val="22"/>
          <w:szCs w:val="22"/>
        </w:rPr>
        <w:t xml:space="preserve">Требования к </w:t>
      </w:r>
      <w:r>
        <w:rPr>
          <w:sz w:val="22"/>
          <w:szCs w:val="22"/>
          <w:lang w:val="ru-RU"/>
        </w:rPr>
        <w:t>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rPr>
          <w:rFonts w:ascii="Times New Roman" w:hAnsi="Times New Roman"/>
        </w:rPr>
      </w:pPr>
      <w:bookmarkStart w:id="8" w:name="_Toc75446574"/>
      <w:r>
        <w:rPr>
          <w:sz w:val="22"/>
          <w:szCs w:val="22"/>
        </w:rPr>
        <w:t xml:space="preserve">Требования к объемам и срокам </w:t>
      </w:r>
      <w:r>
        <w:rPr>
          <w:sz w:val="22"/>
          <w:szCs w:val="22"/>
          <w:lang w:val="ru-RU"/>
        </w:rPr>
        <w:t>поставки</w:t>
      </w:r>
      <w:bookmarkEnd w:id="8"/>
    </w:p>
    <w:p>
      <w:pPr>
        <w:pStyle w:val="Heading3"/>
        <w:numPr>
          <w:ilvl w:val="2"/>
          <w:numId w:val="3"/>
        </w:numPr>
        <w:rPr>
          <w:rFonts w:ascii="Times New Roman" w:hAnsi="Times New Roman"/>
        </w:rPr>
      </w:pPr>
      <w:bookmarkStart w:id="9" w:name="_Toc75446575"/>
      <w:r>
        <w:rPr>
          <w:sz w:val="22"/>
          <w:szCs w:val="22"/>
          <w:lang w:val="ru-RU"/>
        </w:rPr>
        <w:t>Перечень и объем закупаемой продукции</w:t>
      </w:r>
      <w:bookmarkEnd w:id="9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Fonts w:ascii="Times New Roman" w:hAnsi="Times New Roman"/>
        </w:rPr>
      </w:pPr>
      <w:bookmarkStart w:id="10" w:name="_Toc75446576"/>
      <w:bookmarkStart w:id="11" w:name="_Toc51339695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1.1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Перечень </w:t>
      </w:r>
      <w:bookmarkEnd w:id="11"/>
      <w:r>
        <w:rPr>
          <w:sz w:val="22"/>
          <w:szCs w:val="22"/>
          <w:lang w:val="ru-RU"/>
        </w:rPr>
        <w:t>и объем закупаемой продукции</w:t>
      </w:r>
      <w:bookmarkEnd w:id="10"/>
    </w:p>
    <w:p>
      <w:pPr>
        <w:pStyle w:val="Normal"/>
        <w:tabs>
          <w:tab w:val="clear" w:pos="708"/>
        </w:tabs>
        <w:spacing w:before="240" w:after="60"/>
        <w:ind w:left="0" w:hanging="0"/>
        <w:rPr>
          <w:rFonts w:ascii="Times New Roman" w:hAnsi="Times New Roman"/>
        </w:rPr>
      </w:pPr>
      <w:r>
        <w:rPr/>
      </w:r>
    </w:p>
    <w:tbl>
      <w:tblPr>
        <w:tblW w:w="9935" w:type="dxa"/>
        <w:jc w:val="left"/>
        <w:tblInd w:w="1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02"/>
        <w:gridCol w:w="4468"/>
        <w:gridCol w:w="1053"/>
        <w:gridCol w:w="962"/>
        <w:gridCol w:w="1525"/>
        <w:gridCol w:w="1524"/>
      </w:tblGrid>
      <w:tr>
        <w:trPr/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1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3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Применение законодательства о национальном режиме</w:t>
            </w:r>
          </w:p>
        </w:tc>
      </w:tr>
      <w:tr>
        <w:trPr/>
        <w:tc>
          <w:tcPr>
            <w:tcW w:w="4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44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по ОКПД 2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Меры по предоставлению национального режима</w:t>
            </w:r>
          </w:p>
        </w:tc>
      </w:tr>
      <w:tr>
        <w:trPr/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>
        <w:trPr>
          <w:trHeight w:val="332" w:hRule="atLeast"/>
        </w:trPr>
        <w:tc>
          <w:tcPr>
            <w:tcW w:w="688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ЯГРЭС</w:t>
            </w: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bookmarkStart w:id="12" w:name="__RefNumPara__25024_3612817740"/>
            <w:bookmarkStart w:id="13" w:name="__RefNumPara__25024_3612817740"/>
            <w:bookmarkEnd w:id="13"/>
          </w:p>
        </w:tc>
        <w:tc>
          <w:tcPr>
            <w:tcW w:w="44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Табло световое ТСС-66 светодиодное 65В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  <w:t>27.40.24.123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298" w:hRule="atLeast"/>
        </w:trPr>
        <w:tc>
          <w:tcPr>
            <w:tcW w:w="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46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Табло световое ТСС-66М</w:t>
            </w:r>
          </w:p>
        </w:tc>
        <w:tc>
          <w:tcPr>
            <w:tcW w:w="105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962" w:type="dxa"/>
            <w:tcBorders>
              <w:left w:val="single" w:sz="8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525" w:type="dxa"/>
            <w:tcBorders>
              <w:left w:val="single" w:sz="8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  <w:t>27.40.24.129</w:t>
            </w:r>
          </w:p>
        </w:tc>
        <w:tc>
          <w:tcPr>
            <w:tcW w:w="152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563" w:hRule="atLeast"/>
        </w:trPr>
        <w:tc>
          <w:tcPr>
            <w:tcW w:w="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46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Табло световое ТСС-92 110В</w:t>
            </w:r>
          </w:p>
        </w:tc>
        <w:tc>
          <w:tcPr>
            <w:tcW w:w="105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962" w:type="dxa"/>
            <w:tcBorders>
              <w:left w:val="single" w:sz="8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Style35"/>
              <w:widowControl w:val="fals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525" w:type="dxa"/>
            <w:tcBorders>
              <w:left w:val="single" w:sz="8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/>
                <w:b w:val="false"/>
                <w:bCs w:val="false"/>
                <w:sz w:val="22"/>
                <w:szCs w:val="22"/>
              </w:rPr>
              <w:t>27.40.24.129</w:t>
            </w:r>
          </w:p>
        </w:tc>
        <w:tc>
          <w:tcPr>
            <w:tcW w:w="152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BodyText"/>
              <w:widowControl w:val="false"/>
              <w:spacing w:before="0" w:after="0"/>
              <w:ind w:left="0" w:right="0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Установлен режим ограничения закупки иностранной продукции</w:t>
            </w:r>
          </w:p>
        </w:tc>
      </w:tr>
      <w:tr>
        <w:trPr>
          <w:trHeight w:val="362" w:hRule="atLeast"/>
        </w:trPr>
        <w:tc>
          <w:tcPr>
            <w:tcW w:w="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360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46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right"/>
              <w:outlineLv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9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120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rFonts w:ascii="Times New Roman" w:hAnsi="Times New Roman"/>
          <w:bCs/>
          <w:sz w:val="22"/>
          <w:szCs w:val="22"/>
          <w:shd w:fill="FFFF99" w:val="clear"/>
        </w:rPr>
      </w:pPr>
      <w:r>
        <w:rPr>
          <w:bCs/>
          <w:sz w:val="22"/>
          <w:szCs w:val="22"/>
          <w:shd w:fill="FFFF99" w:val="clear"/>
        </w:rPr>
      </w:r>
      <w:r>
        <w:br w:type="page"/>
      </w:r>
    </w:p>
    <w:p>
      <w:pPr>
        <w:pStyle w:val="Heading3"/>
        <w:numPr>
          <w:ilvl w:val="2"/>
          <w:numId w:val="3"/>
        </w:numPr>
        <w:rPr>
          <w:rFonts w:ascii="Times New Roman" w:hAnsi="Times New Roman"/>
        </w:rPr>
      </w:pPr>
      <w:bookmarkStart w:id="14" w:name="_Toc75446578"/>
      <w:bookmarkStart w:id="15" w:name="_Toc51339696"/>
      <w:r>
        <w:rPr>
          <w:sz w:val="22"/>
          <w:szCs w:val="22"/>
          <w:lang w:val="ru-RU"/>
        </w:rPr>
        <w:t xml:space="preserve">Требования </w:t>
      </w:r>
      <w:bookmarkEnd w:id="15"/>
      <w:r>
        <w:rPr>
          <w:sz w:val="22"/>
          <w:szCs w:val="22"/>
          <w:lang w:val="ru-RU"/>
        </w:rPr>
        <w:t>к срокам поставки продукции и оказания сопутствующих услуг</w:t>
      </w:r>
      <w:bookmarkEnd w:id="14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Fonts w:ascii="Times New Roman" w:hAnsi="Times New Roman"/>
        </w:rPr>
      </w:pPr>
      <w:bookmarkStart w:id="16" w:name="_Toc75446579"/>
      <w:bookmarkStart w:id="17" w:name="_Toc50125127"/>
      <w:bookmarkStart w:id="18" w:name="_Toc51339697"/>
      <w:bookmarkStart w:id="19" w:name="_Toc50125126"/>
      <w:bookmarkEnd w:id="19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2</w:t>
      </w:r>
      <w:r>
        <w:rPr>
          <w:sz w:val="22"/>
          <w:szCs w:val="22"/>
        </w:rPr>
        <w:t>.</w:t>
      </w:r>
      <w:r>
        <w:rPr>
          <w:sz w:val="22"/>
          <w:szCs w:val="22"/>
          <w:lang w:val="ru-RU"/>
        </w:rPr>
        <w:t>1</w:t>
      </w:r>
      <w:r>
        <w:rPr>
          <w:sz w:val="22"/>
          <w:szCs w:val="22"/>
        </w:rPr>
        <w:t xml:space="preserve"> </w:t>
      </w:r>
      <w:bookmarkStart w:id="20" w:name="_Hlk50465284"/>
      <w:r>
        <w:rPr>
          <w:sz w:val="22"/>
          <w:szCs w:val="22"/>
        </w:rPr>
        <w:t xml:space="preserve">Требования по срокам </w:t>
      </w:r>
      <w:bookmarkEnd w:id="17"/>
      <w:bookmarkEnd w:id="18"/>
      <w:bookmarkEnd w:id="20"/>
      <w:r>
        <w:rPr>
          <w:sz w:val="22"/>
          <w:szCs w:val="22"/>
          <w:lang w:val="ru-RU"/>
        </w:rPr>
        <w:t>поставки продукции</w:t>
      </w:r>
      <w:bookmarkEnd w:id="16"/>
      <w:r>
        <w:rPr>
          <w:sz w:val="22"/>
          <w:szCs w:val="22"/>
          <w:lang w:val="ru-RU"/>
        </w:rPr>
        <w:t xml:space="preserve"> </w:t>
      </w:r>
    </w:p>
    <w:p>
      <w:pPr>
        <w:pStyle w:val="Normal"/>
        <w:tabs>
          <w:tab w:val="clear" w:pos="708"/>
        </w:tabs>
        <w:spacing w:before="240" w:after="60"/>
        <w:ind w:left="0" w:hanging="0"/>
        <w:rPr>
          <w:rFonts w:ascii="Times New Roman" w:hAnsi="Times New Roman"/>
        </w:rPr>
      </w:pPr>
      <w:r>
        <w:rPr/>
      </w:r>
    </w:p>
    <w:tbl>
      <w:tblPr>
        <w:tblW w:w="10571" w:type="dxa"/>
        <w:jc w:val="left"/>
        <w:tblInd w:w="-3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787"/>
        <w:gridCol w:w="4825"/>
        <w:gridCol w:w="2541"/>
        <w:gridCol w:w="2417"/>
      </w:tblGrid>
      <w:tr>
        <w:trPr/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>
          <w:trHeight w:val="184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8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>
        <w:trPr/>
        <w:tc>
          <w:tcPr>
            <w:tcW w:w="1057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ЯГРЭС</w:t>
            </w:r>
          </w:p>
        </w:tc>
      </w:tr>
      <w:tr>
        <w:trPr/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8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Табло световое ТСС-66 светодиодное 65В</w:t>
            </w:r>
          </w:p>
        </w:tc>
        <w:tc>
          <w:tcPr>
            <w:tcW w:w="254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24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90 календарных дней с даты подписания договора</w:t>
            </w:r>
          </w:p>
        </w:tc>
      </w:tr>
      <w:tr>
        <w:trPr/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8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Табло световое ТСС-66М</w:t>
            </w:r>
          </w:p>
        </w:tc>
        <w:tc>
          <w:tcPr>
            <w:tcW w:w="2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311" w:hRule="atLeast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8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35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Табло световое ТСС-92 110В</w:t>
            </w:r>
          </w:p>
        </w:tc>
        <w:tc>
          <w:tcPr>
            <w:tcW w:w="2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4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>
          <w:rFonts w:ascii="Times New Roman" w:hAnsi="Times New Roman"/>
        </w:rPr>
      </w:pPr>
      <w:bookmarkStart w:id="21" w:name="_Toc51339698"/>
      <w:bookmarkStart w:id="22" w:name="_Toc75446581"/>
      <w:bookmarkStart w:id="23" w:name="_Toc46743511"/>
      <w:bookmarkStart w:id="24" w:name="_Toc54785622"/>
      <w:bookmarkEnd w:id="24"/>
      <w:r>
        <w:rPr>
          <w:sz w:val="22"/>
          <w:szCs w:val="22"/>
        </w:rPr>
        <w:t xml:space="preserve">Требования к </w:t>
      </w:r>
      <w:bookmarkEnd w:id="23"/>
      <w:r>
        <w:rPr>
          <w:sz w:val="22"/>
          <w:szCs w:val="22"/>
          <w:lang w:val="ru-RU"/>
        </w:rPr>
        <w:t>качеству продукции</w:t>
      </w:r>
      <w:bookmarkEnd w:id="22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Fonts w:ascii="Times New Roman" w:hAnsi="Times New Roman"/>
        </w:rPr>
      </w:pPr>
      <w:r>
        <w:rPr>
          <w:sz w:val="22"/>
          <w:szCs w:val="22"/>
        </w:rPr>
        <w:t xml:space="preserve"> </w:t>
      </w:r>
      <w:bookmarkStart w:id="25" w:name="_Toc75446582"/>
      <w:r>
        <w:rPr>
          <w:sz w:val="22"/>
          <w:szCs w:val="22"/>
        </w:rPr>
        <w:t>Таблица </w:t>
      </w:r>
      <w:r>
        <w:rPr>
          <w:sz w:val="22"/>
          <w:szCs w:val="22"/>
          <w:lang w:val="ru-RU"/>
        </w:rPr>
        <w:t>3</w:t>
      </w:r>
      <w:r>
        <w:rPr>
          <w:sz w:val="22"/>
          <w:szCs w:val="22"/>
        </w:rPr>
        <w:t xml:space="preserve">. Требования к </w:t>
      </w:r>
      <w:r>
        <w:rPr>
          <w:sz w:val="22"/>
          <w:szCs w:val="22"/>
          <w:lang w:val="ru-RU"/>
        </w:rPr>
        <w:t>продукции</w:t>
      </w:r>
      <w:bookmarkEnd w:id="25"/>
      <w:r>
        <w:rPr>
          <w:sz w:val="22"/>
          <w:szCs w:val="22"/>
        </w:rPr>
        <w:t xml:space="preserve"> </w:t>
      </w:r>
      <w:bookmarkEnd w:id="21"/>
    </w:p>
    <w:p>
      <w:pPr>
        <w:pStyle w:val="Normal"/>
        <w:rPr>
          <w:rFonts w:ascii="Times New Roman" w:hAnsi="Times New Roman"/>
          <w:b w:val="false"/>
          <w:i w:val="false"/>
          <w:i w:val="false"/>
          <w:sz w:val="22"/>
          <w:szCs w:val="22"/>
        </w:rPr>
      </w:pPr>
      <w:r>
        <w:rPr>
          <w:b w:val="false"/>
          <w:i w:val="false"/>
          <w:sz w:val="22"/>
          <w:szCs w:val="22"/>
        </w:rPr>
      </w:r>
    </w:p>
    <w:p>
      <w:pPr>
        <w:pStyle w:val="Normal"/>
        <w:jc w:val="both"/>
        <w:rPr/>
      </w:pPr>
      <w:r>
        <w:rPr>
          <w:b/>
          <w:bCs/>
          <w:iCs/>
          <w:sz w:val="22"/>
          <w:szCs w:val="22"/>
        </w:rPr>
        <w:t xml:space="preserve">Наименование продукции (позиция №1-3 Таблицы 3.1): </w:t>
      </w:r>
      <w:r>
        <w:rPr>
          <w:rFonts w:eastAsia="Calibri"/>
          <w:b/>
          <w:sz w:val="22"/>
          <w:szCs w:val="22"/>
        </w:rPr>
        <w:t>«Световое и сигнальное оборудование</w:t>
      </w:r>
      <w:r>
        <w:rPr>
          <w:rFonts w:eastAsia="Calibri"/>
          <w:b/>
          <w:bCs/>
          <w:sz w:val="22"/>
          <w:szCs w:val="22"/>
        </w:rPr>
        <w:t>»</w:t>
      </w:r>
    </w:p>
    <w:tbl>
      <w:tblPr>
        <w:tblStyle w:val="affff5"/>
        <w:tblW w:w="15309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2"/>
        <w:gridCol w:w="1811"/>
        <w:gridCol w:w="31"/>
        <w:gridCol w:w="2956"/>
        <w:gridCol w:w="2990"/>
        <w:gridCol w:w="3262"/>
        <w:gridCol w:w="3406"/>
      </w:tblGrid>
      <w:tr>
        <w:trPr/>
        <w:tc>
          <w:tcPr>
            <w:tcW w:w="85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18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987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625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8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987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18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298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в отношении каждой позиции продукции представлены в Приложении № 1 к настоящим Техническим требованиям</w:t>
            </w:r>
          </w:p>
        </w:tc>
        <w:tc>
          <w:tcPr>
            <w:tcW w:w="299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32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4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</w:t>
            </w:r>
          </w:p>
        </w:tc>
        <w:tc>
          <w:tcPr>
            <w:tcW w:w="295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677004, Республика Саха (Якутия), г.Якутск, ул. Кржижановского, д. 2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Транспортные расходы на продукцию, подлежащий замене по гарантии, несет поставщик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241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Соответствие тары и упаковки согласно ГОСТ 15846-202. На каждое место составляется подробный упаковочный лист, с указанием упакованных товаров.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241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Продукция передается Заказчику комплектно с техническими паспортами, сертификатами соответствия продукции, сертификатами качества и другими подтверждающими документами по действующему законодательству РФ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6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6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Гарантийный срок: в течение 12 месяцев с даты поставки на склад Покупателя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Гарантия распространяется в полном объеме на поставляемую продукцию.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241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В течение гарантийного срока поставщик обязуется заменить продукцию в случае его несоответствия заявленному качеству.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/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29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i w:val="false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Arial"/>
                <w:i w:val="false"/>
                <w:iCs w:val="false"/>
                <w:kern w:val="0"/>
                <w:sz w:val="22"/>
                <w:szCs w:val="22"/>
                <w:lang w:val="ru-RU" w:eastAsia="ru-RU" w:bidi="ar-SA"/>
              </w:rPr>
              <w:t>Указание наименования реестра и номер реестровой записи в Форме Коммерческого предложения и Структуры НМЦ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2"/>
                <w:szCs w:val="22"/>
                <w:lang w:val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34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9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2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798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426" w:leader="none"/>
                <w:tab w:val="left" w:pos="851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Поставляемая продукция должна быть новая (не ранее 2025 года изготовления) и ранее не использованная.</w:t>
            </w:r>
          </w:p>
        </w:tc>
        <w:tc>
          <w:tcPr>
            <w:tcW w:w="29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0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sectPr>
          <w:headerReference w:type="default" r:id="rId6"/>
          <w:headerReference w:type="first" r:id="rId7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spacing w:before="0" w:after="120"/>
        <w:jc w:val="right"/>
        <w:rPr>
          <w:rFonts w:ascii="Times New Roman" w:hAnsi="Times New Roman"/>
        </w:rPr>
      </w:pPr>
      <w:r>
        <w:rPr>
          <w:rFonts w:eastAsia="Calibri"/>
          <w:sz w:val="22"/>
          <w:szCs w:val="22"/>
        </w:rPr>
        <w:t>Приложение №1 к Техническим требованиям</w:t>
      </w:r>
    </w:p>
    <w:p>
      <w:pPr>
        <w:pStyle w:val="Normal"/>
        <w:spacing w:before="0" w:after="120"/>
        <w:rPr>
          <w:rFonts w:ascii="Times New Roman" w:hAnsi="Times New Roman"/>
        </w:rPr>
      </w:pPr>
      <w:r>
        <w:rPr>
          <w:rFonts w:eastAsia="Calibri"/>
          <w:b/>
          <w:bCs/>
          <w:sz w:val="22"/>
          <w:szCs w:val="22"/>
          <w:lang w:val="x-none"/>
        </w:rPr>
        <w:t>Таблица </w:t>
      </w:r>
      <w:r>
        <w:rPr>
          <w:rFonts w:eastAsia="Calibri"/>
          <w:b/>
          <w:bCs/>
          <w:sz w:val="22"/>
          <w:szCs w:val="22"/>
        </w:rPr>
        <w:t>3.1</w:t>
      </w:r>
      <w:r>
        <w:rPr>
          <w:rFonts w:eastAsia="Calibri"/>
          <w:b/>
          <w:bCs/>
          <w:sz w:val="22"/>
          <w:szCs w:val="22"/>
          <w:lang w:val="x-none"/>
        </w:rPr>
        <w:t xml:space="preserve">. </w:t>
      </w:r>
      <w:r>
        <w:rPr>
          <w:rFonts w:eastAsia="Calibri"/>
          <w:b/>
          <w:bCs/>
          <w:sz w:val="22"/>
          <w:szCs w:val="22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spacing w:before="0" w:after="120"/>
        <w:ind w:right="397" w:hanging="0"/>
        <w:jc w:val="both"/>
        <w:rPr/>
      </w:pPr>
      <w:r>
        <w:rPr>
          <w:b/>
          <w:bCs/>
          <w:sz w:val="22"/>
          <w:szCs w:val="22"/>
        </w:rPr>
        <w:t xml:space="preserve">Наименование продукции: </w:t>
      </w:r>
      <w:r>
        <w:rPr>
          <w:rFonts w:eastAsia="Calibri"/>
          <w:b/>
          <w:sz w:val="22"/>
          <w:szCs w:val="22"/>
        </w:rPr>
        <w:t>«Световое и сигнальное оборудование»</w:t>
      </w:r>
    </w:p>
    <w:tbl>
      <w:tblPr>
        <w:tblStyle w:val="1c"/>
        <w:tblW w:w="1548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30"/>
        <w:gridCol w:w="1361"/>
        <w:gridCol w:w="1689"/>
        <w:gridCol w:w="1080"/>
        <w:gridCol w:w="5559"/>
        <w:gridCol w:w="1410"/>
        <w:gridCol w:w="938"/>
        <w:gridCol w:w="599"/>
        <w:gridCol w:w="1174"/>
        <w:gridCol w:w="938"/>
      </w:tblGrid>
      <w:tr>
        <w:trPr/>
        <w:tc>
          <w:tcPr>
            <w:tcW w:w="73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1361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 xml:space="preserve">позиции </w:t>
              <w:br/>
              <w:t>Таблицы 1.1. «Перечень и объем закупаемой продукции»</w:t>
            </w:r>
          </w:p>
        </w:tc>
        <w:tc>
          <w:tcPr>
            <w:tcW w:w="168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804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Требования заказчика *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W w:w="73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361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68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ГОСТ</w:t>
            </w:r>
          </w:p>
        </w:tc>
        <w:tc>
          <w:tcPr>
            <w:tcW w:w="555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Технические и функциональные характеристики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bCs/>
                <w:kern w:val="0"/>
                <w:sz w:val="22"/>
                <w:szCs w:val="22"/>
                <w:lang w:val="ru-RU" w:eastAsia="en-US" w:bidi="ar-SA"/>
              </w:rPr>
              <w:t>(параметры эквивалентности)</w:t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Место поставки</w:t>
            </w:r>
          </w:p>
        </w:tc>
        <w:tc>
          <w:tcPr>
            <w:tcW w:w="9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5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ГОСТ</w:t>
            </w:r>
          </w:p>
        </w:tc>
        <w:tc>
          <w:tcPr>
            <w:tcW w:w="11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Технические и функциональные характеристики</w:t>
            </w:r>
          </w:p>
        </w:tc>
        <w:tc>
          <w:tcPr>
            <w:tcW w:w="9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Место поставки</w:t>
            </w:r>
          </w:p>
        </w:tc>
      </w:tr>
      <w:tr>
        <w:trPr/>
        <w:tc>
          <w:tcPr>
            <w:tcW w:w="73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136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6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08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555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4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9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5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11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93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ru-RU" w:eastAsia="en-US" w:bidi="ar-SA"/>
              </w:rPr>
              <w:t>10</w:t>
            </w:r>
          </w:p>
        </w:tc>
      </w:tr>
      <w:tr>
        <w:trPr/>
        <w:tc>
          <w:tcPr>
            <w:tcW w:w="73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13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/>
                <w:iCs/>
                <w:kern w:val="0"/>
                <w:sz w:val="22"/>
                <w:szCs w:val="22"/>
                <w:lang w:val="ru-RU" w:eastAsia="en-US" w:bidi="ar-SA"/>
              </w:rPr>
              <w:t>Позиция 1</w:t>
            </w:r>
          </w:p>
        </w:tc>
        <w:tc>
          <w:tcPr>
            <w:tcW w:w="1689" w:type="dxa"/>
            <w:tcBorders>
              <w:left w:val="single" w:sz="8" w:space="0" w:color="000000"/>
              <w:right w:val="single" w:sz="8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Табло световое ТСС-66 светодиодное 65В</w:t>
            </w:r>
          </w:p>
        </w:tc>
        <w:tc>
          <w:tcPr>
            <w:tcW w:w="1080" w:type="dxa"/>
            <w:tcBorders/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559" w:type="dxa"/>
            <w:tcBorders/>
            <w:shd w:color="auto" w:fill="auto" w:val="clear"/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Техническая характеристика. Напряжение питания от 80В до 160В Напряжение зажигания</w:t>
              <w:tab/>
              <w:t>не менее 65В. Потребляемая мощность не более 2.5 Вт. Количество светодиодов 3 независимые. Нагрузка на сигнальный орган 2 Вт. Сила света и цвет излучения 100кД бел. 60кД кр. 60кД желт. 50кД зел. Ток запуска имп. реле.</w:t>
              <w:tab/>
              <w:t>55 мА Режим работы Длительный. Разъем РП-10-11. Заменяет лампы накаливания в табло ТСС без изменения конструктива и схем питания. Не содержит электромеханических реле. Помехозащишено по всем подключенным шинам. Функции выполняемые ТСС-С-66 в электронном виде полностью соответствуют ламповому аналогу.</w:t>
            </w:r>
          </w:p>
        </w:tc>
        <w:tc>
          <w:tcPr>
            <w:tcW w:w="141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iCs/>
                <w:color w:val="808080" w:themeColor="background1" w:themeShade="80"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color w:val="808080" w:themeColor="background1" w:themeShade="80"/>
                <w:sz w:val="22"/>
                <w:szCs w:val="22"/>
                <w:lang w:eastAsia="en-US"/>
              </w:rPr>
            </w:r>
          </w:p>
        </w:tc>
        <w:tc>
          <w:tcPr>
            <w:tcW w:w="59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iCs/>
                <w:color w:val="808080" w:themeColor="background1" w:themeShade="80"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color w:val="808080" w:themeColor="background1" w:themeShade="80"/>
                <w:sz w:val="22"/>
                <w:szCs w:val="22"/>
                <w:lang w:eastAsia="en-US"/>
              </w:rPr>
            </w:r>
          </w:p>
        </w:tc>
        <w:tc>
          <w:tcPr>
            <w:tcW w:w="1174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eastAsiaTheme="minorHAnsi"/>
                <w:iCs/>
                <w:color w:val="808080" w:themeColor="background1" w:themeShade="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 w:themeColor="background1" w:themeShade="80"/>
                <w:sz w:val="22"/>
                <w:szCs w:val="22"/>
                <w:lang w:eastAsia="en-US"/>
              </w:rPr>
            </w:r>
          </w:p>
        </w:tc>
        <w:tc>
          <w:tcPr>
            <w:tcW w:w="93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iCs/>
                <w:color w:val="808080" w:themeColor="background1" w:themeShade="80"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color w:val="808080" w:themeColor="background1" w:themeShade="80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W w:w="730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bookmarkStart w:id="26" w:name="__RefNumPara__25022_3612817740"/>
            <w:bookmarkStart w:id="27" w:name="__RefNumPara__25022_3612817740"/>
            <w:bookmarkEnd w:id="27"/>
          </w:p>
        </w:tc>
        <w:tc>
          <w:tcPr>
            <w:tcW w:w="136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iCs/>
                <w:kern w:val="0"/>
                <w:sz w:val="22"/>
                <w:szCs w:val="22"/>
                <w:lang w:val="ru-RU" w:eastAsia="en-US" w:bidi="ar-SA"/>
              </w:rPr>
              <w:t>Позиция 2</w:t>
            </w:r>
          </w:p>
        </w:tc>
        <w:tc>
          <w:tcPr>
            <w:tcW w:w="1689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Табло световое ТСС-66М</w:t>
            </w:r>
          </w:p>
        </w:tc>
        <w:tc>
          <w:tcPr>
            <w:tcW w:w="1080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color w:val="000000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color w:val="000000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559" w:type="dxa"/>
            <w:tcBorders>
              <w:top w:val="nil"/>
            </w:tcBorders>
            <w:shd w:color="auto" w:fill="auto" w:val="clear"/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ТСС-66М табло световое сигнальное используется в устройствах светозвуковой сигнализации, в щитах централизованного управления и контроля с больших объемов сигнализации при необходимости обеспечить отличие каждого нового сигнала от уже действующих. Технические характеристики. Диапазон рабочих температур, С  для умеренного климата от 10 до 35 для тропического климата от 10 до 45. Напряжение питания постоянного тока, В110. Допустимое отклонение напряжения питания, % +10. Нагрузка от табло на контакт сигнального органа, Вт, не более 10. Габаритные размеры, мм 45х110х220. Масса, кг, не более 1,2</w:t>
            </w:r>
          </w:p>
        </w:tc>
        <w:tc>
          <w:tcPr>
            <w:tcW w:w="14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iCs/>
                <w:color w:val="808080" w:themeColor="background1" w:themeShade="80"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color w:val="808080" w:themeColor="background1" w:themeShade="80"/>
                <w:sz w:val="22"/>
                <w:szCs w:val="22"/>
                <w:lang w:eastAsia="en-US"/>
              </w:rPr>
            </w:r>
          </w:p>
        </w:tc>
        <w:tc>
          <w:tcPr>
            <w:tcW w:w="59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iCs/>
                <w:color w:val="808080" w:themeColor="background1" w:themeShade="80"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color w:val="808080" w:themeColor="background1" w:themeShade="80"/>
                <w:sz w:val="22"/>
                <w:szCs w:val="22"/>
                <w:lang w:eastAsia="en-US"/>
              </w:rPr>
            </w:r>
          </w:p>
        </w:tc>
        <w:tc>
          <w:tcPr>
            <w:tcW w:w="1174" w:type="dxa"/>
            <w:tcBorders>
              <w:top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eastAsiaTheme="minorHAnsi"/>
                <w:iCs/>
                <w:color w:val="808080" w:themeColor="background1" w:themeShade="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 w:themeColor="background1" w:themeShade="80"/>
                <w:sz w:val="22"/>
                <w:szCs w:val="22"/>
                <w:lang w:eastAsia="en-US"/>
              </w:rPr>
            </w:r>
          </w:p>
        </w:tc>
        <w:tc>
          <w:tcPr>
            <w:tcW w:w="9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iCs/>
                <w:color w:val="808080" w:themeColor="background1" w:themeShade="80"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color w:val="808080" w:themeColor="background1" w:themeShade="80"/>
                <w:sz w:val="22"/>
                <w:szCs w:val="22"/>
                <w:lang w:eastAsia="en-US"/>
              </w:rPr>
            </w:r>
          </w:p>
        </w:tc>
      </w:tr>
      <w:tr>
        <w:trPr/>
        <w:tc>
          <w:tcPr>
            <w:tcW w:w="730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136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iCs/>
                <w:kern w:val="0"/>
                <w:sz w:val="22"/>
                <w:szCs w:val="22"/>
                <w:lang w:val="ru-RU" w:eastAsia="en-US" w:bidi="ar-SA"/>
              </w:rPr>
              <w:t>Позиция 3</w:t>
            </w:r>
          </w:p>
        </w:tc>
        <w:tc>
          <w:tcPr>
            <w:tcW w:w="1689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color="000000" w:fill="FFFFFF" w:val="clear"/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Табло световое ТСС-92 110В</w:t>
            </w:r>
          </w:p>
        </w:tc>
        <w:tc>
          <w:tcPr>
            <w:tcW w:w="1080" w:type="dxa"/>
            <w:tcBorders>
              <w:top w:val="nil"/>
            </w:tcBorders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559" w:type="dxa"/>
            <w:tcBorders>
              <w:top w:val="nil"/>
            </w:tcBorders>
            <w:shd w:color="auto" w:fill="auto" w:val="clear"/>
          </w:tcPr>
          <w:p>
            <w:pPr>
              <w:pStyle w:val="Style35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Calibri" w:cs="" w:ascii="Calibri" w:hAnsi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Номинальное напряжение 110В постоянный ток; Потребляемая мощность не более 18 Вт; Нагрузка выходной цепи не более 50 мА; Размер табло 45*110*170мм; Размер светового поля 93*28мм; Безопасен при демонтаже без снятия напряжения. разъем РП-10-11</w:t>
            </w:r>
          </w:p>
        </w:tc>
        <w:tc>
          <w:tcPr>
            <w:tcW w:w="141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>677004, РФ, Республика Саха (Якутия), г.Якутск, ул. Кржижановского, д. 2</w:t>
            </w:r>
          </w:p>
        </w:tc>
        <w:tc>
          <w:tcPr>
            <w:tcW w:w="9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iCs/>
                <w:color w:val="808080" w:themeColor="background1" w:themeShade="80"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color w:val="808080" w:themeColor="background1" w:themeShade="80"/>
                <w:sz w:val="22"/>
                <w:szCs w:val="22"/>
                <w:lang w:eastAsia="en-US"/>
              </w:rPr>
            </w:r>
          </w:p>
        </w:tc>
        <w:tc>
          <w:tcPr>
            <w:tcW w:w="59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iCs/>
                <w:color w:val="808080" w:themeColor="background1" w:themeShade="80"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color w:val="808080" w:themeColor="background1" w:themeShade="80"/>
                <w:sz w:val="22"/>
                <w:szCs w:val="22"/>
                <w:lang w:eastAsia="en-US"/>
              </w:rPr>
            </w:r>
          </w:p>
        </w:tc>
        <w:tc>
          <w:tcPr>
            <w:tcW w:w="1174" w:type="dxa"/>
            <w:tcBorders>
              <w:top w:val="nil"/>
            </w:tcBorders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178" w:hanging="0"/>
              <w:contextualSpacing/>
              <w:jc w:val="left"/>
              <w:rPr>
                <w:rFonts w:ascii="Times New Roman" w:hAnsi="Times New Roman" w:eastAsia="Calibri" w:eastAsiaTheme="minorHAnsi"/>
                <w:iCs/>
                <w:color w:val="808080" w:themeColor="background1" w:themeShade="80"/>
                <w:sz w:val="22"/>
                <w:szCs w:val="22"/>
                <w:lang w:eastAsia="en-US"/>
              </w:rPr>
            </w:pPr>
            <w:r>
              <w:rPr>
                <w:rFonts w:eastAsia="Calibri" w:eastAsiaTheme="minorHAnsi"/>
                <w:iCs/>
                <w:color w:val="808080" w:themeColor="background1" w:themeShade="80"/>
                <w:sz w:val="22"/>
                <w:szCs w:val="22"/>
                <w:lang w:eastAsia="en-US"/>
              </w:rPr>
            </w:r>
          </w:p>
        </w:tc>
        <w:tc>
          <w:tcPr>
            <w:tcW w:w="93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/>
                <w:iCs/>
                <w:color w:val="808080" w:themeColor="background1" w:themeShade="80"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color w:val="808080" w:themeColor="background1" w:themeShade="80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spacing w:before="40" w:after="120"/>
        <w:ind w:right="-28" w:hanging="0"/>
        <w:jc w:val="both"/>
        <w:rPr>
          <w:rFonts w:ascii="Times New Roman" w:hAnsi="Times New Roman"/>
        </w:rPr>
      </w:pPr>
      <w:r>
        <w:rPr>
          <w:b/>
          <w:bCs/>
          <w:iCs/>
          <w:sz w:val="16"/>
          <w:szCs w:val="16"/>
        </w:rPr>
        <w:t>В случае, если Участником предлагается эквивалентная продукция</w:t>
      </w:r>
      <w:r>
        <w:rPr>
          <w:iCs/>
          <w:sz w:val="16"/>
          <w:szCs w:val="16"/>
        </w:rPr>
        <w:t xml:space="preserve"> требуемой Заказчику продукции или ее составных частей, он должен в 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требовании.</w:t>
      </w:r>
    </w:p>
    <w:p>
      <w:pPr>
        <w:pStyle w:val="Normal"/>
        <w:spacing w:before="40" w:after="120"/>
        <w:ind w:right="-28" w:hanging="0"/>
        <w:jc w:val="both"/>
        <w:rPr>
          <w:rFonts w:ascii="Times New Roman" w:hAnsi="Times New Roman"/>
        </w:rPr>
      </w:pPr>
      <w:bookmarkStart w:id="28" w:name="_Ref40301253"/>
      <w:r>
        <w:rPr>
          <w:iCs/>
          <w:sz w:val="16"/>
          <w:szCs w:val="16"/>
        </w:rPr>
        <w:t>* Способ подтверждения участником соответствия требованиям указан в таблице в отношении каждой позиции закупаемой продукции</w:t>
      </w:r>
      <w:bookmarkEnd w:id="28"/>
    </w:p>
    <w:sectPr>
      <w:headerReference w:type="default" r:id="rId8"/>
      <w:headerReference w:type="first" r:id="rId9"/>
      <w:type w:val="nextPage"/>
      <w:pgSz w:orient="landscape" w:w="16838" w:h="11906"/>
      <w:pgMar w:left="992" w:right="1134" w:gutter="0" w:header="435" w:top="555" w:footer="0" w:bottom="58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d7a4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 w:customStyle="1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5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B2E63-D185-4C26-BE73-6DA1D72DF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Application>AlterOffice/3.4.0.9$Linux_X86_64 LibreOffice_project/b8daf9e823b1a5463a2f48435ddc2e8696e7d4fc</Application>
  <AppVersion>15.0000</AppVersion>
  <Pages>9</Pages>
  <Words>1107</Words>
  <Characters>7344</Characters>
  <CharactersWithSpaces>8247</CharactersWithSpaces>
  <Paragraphs>205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2023-10-31T01:55:00Z</dcterms:created>
  <dc:creator>Тимофеев Александр Викторович</dc:creator>
  <dc:description/>
  <dc:language>ru-RU</dc:language>
  <cp:lastModifiedBy>gladkihaa</cp:lastModifiedBy>
  <cp:lastPrinted>2025-12-02T16:35:51Z</cp:lastPrinted>
  <dcterms:modified xsi:type="dcterms:W3CDTF">2026-08-07T10:20:47Z</dcterms:modified>
  <cp:revision>125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