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aption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aption"/>
        <w:rPr>
          <w:sz w:val="28"/>
          <w:szCs w:val="28"/>
        </w:rPr>
      </w:pPr>
      <w:r>
        <w:rPr>
          <w:sz w:val="28"/>
          <w:szCs w:val="28"/>
        </w:rPr>
        <w:t>ОПРОСНЫЙ ЛИСТ</w:t>
      </w:r>
    </w:p>
    <w:p>
      <w:pPr>
        <w:pStyle w:val="Caption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>
      <w:pPr>
        <w:pStyle w:val="Caption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 xml:space="preserve">ДИЗИЛЬНУЮ  ЭЛЕКТРОСТАНЦИЮ </w:t>
      </w:r>
    </w:p>
    <w:p>
      <w:pPr>
        <w:pStyle w:val="Caption"/>
        <w:rPr/>
      </w:pPr>
      <w:r>
        <w:rPr/>
      </w:r>
    </w:p>
    <w:p>
      <w:pPr>
        <w:pStyle w:val="Normal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ОБЩИЕ СВЕДЕНИЯ</w:t>
      </w:r>
    </w:p>
    <w:p>
      <w:pPr>
        <w:pStyle w:val="Normal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tbl>
      <w:tblPr>
        <w:tblW w:w="10633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3119"/>
        <w:gridCol w:w="7513"/>
      </w:tblGrid>
      <w:tr>
        <w:trPr>
          <w:trHeight w:val="305" w:hRule="atLeast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Дата заполнения: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08.09.2026</w:t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Организация: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Филиал ПАО «РусГидро» - «Дагестанский филиал»</w:t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  <w:u w:val="single"/>
              </w:rPr>
            </w:pPr>
            <w:r>
              <w:rPr>
                <w:b/>
                <w:bCs/>
                <w:sz w:val="24"/>
                <w:szCs w:val="24"/>
                <w:u w:val="single"/>
              </w:rPr>
              <w:t>ИНН организации: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000000"/>
                <w:spacing w:val="0"/>
                <w:sz w:val="22"/>
                <w:szCs w:val="22"/>
              </w:rPr>
              <w:t>2460066195</w:t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Контактное лицо </w:t>
            </w:r>
          </w:p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(ФИО, должность):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Контактные телефоны </w:t>
            </w:r>
            <w:r>
              <w:rPr>
                <w:b/>
                <w:color w:val="000000"/>
                <w:sz w:val="24"/>
                <w:szCs w:val="24"/>
              </w:rPr>
              <w:t>(с кодом города)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2"/>
                <w:szCs w:val="22"/>
              </w:rPr>
            </w:pPr>
            <w:r>
              <w:rPr/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Факс </w:t>
            </w:r>
            <w:r>
              <w:rPr>
                <w:b/>
                <w:color w:val="000000"/>
                <w:sz w:val="24"/>
                <w:szCs w:val="24"/>
              </w:rPr>
              <w:t>(с кодом города)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i w:val="false"/>
                <w:i w:val="false"/>
                <w:caps w:val="false"/>
                <w:smallCaps w:val="false"/>
                <w:color w:val="87898F"/>
                <w:spacing w:val="0"/>
                <w:sz w:val="22"/>
                <w:szCs w:val="22"/>
              </w:rPr>
            </w:pPr>
            <w:r>
              <w:rPr>
                <w:b w:val="false"/>
                <w:i w:val="false"/>
                <w:caps w:val="false"/>
                <w:smallCaps w:val="false"/>
                <w:color w:val="87898F"/>
                <w:spacing w:val="0"/>
                <w:sz w:val="22"/>
                <w:szCs w:val="22"/>
              </w:rPr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Электронный адрес: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gamzatovma@rushydro.ru</w:t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Наименование объекта: 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ОП «Чиркейская ГЭС»</w:t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проектировщика: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Адрес установки оборудования: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Республика Дагестан, Буйнакский район, Чиркейская ГЭС</w:t>
            </w:r>
          </w:p>
        </w:tc>
      </w:tr>
    </w:tbl>
    <w:p>
      <w:pPr>
        <w:pStyle w:val="Normal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center"/>
        <w:rPr>
          <w:b/>
          <w:bCs/>
          <w:sz w:val="24"/>
          <w:szCs w:val="24"/>
        </w:rPr>
      </w:pPr>
      <w:bookmarkStart w:id="0" w:name="_Hlk230680021"/>
      <w:r>
        <w:rPr>
          <w:b/>
          <w:bCs/>
          <w:sz w:val="24"/>
          <w:szCs w:val="24"/>
        </w:rPr>
        <w:t xml:space="preserve">АНКЕТА ТЕХНИЧЕСКИХ ТРЕБОВАНИЙ к ДЭС </w:t>
      </w:r>
      <w:bookmarkEnd w:id="0"/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0632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696"/>
        <w:gridCol w:w="756"/>
        <w:gridCol w:w="4862"/>
        <w:gridCol w:w="4317"/>
      </w:tblGrid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 </w:t>
            </w:r>
          </w:p>
        </w:tc>
        <w:tc>
          <w:tcPr>
            <w:tcW w:w="5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  <w:vAlign w:val="center"/>
          </w:tcPr>
          <w:p>
            <w:pPr>
              <w:pStyle w:val="Normal"/>
              <w:widowControl w:val="false"/>
              <w:ind w:right="-108" w:hanging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Предполагаемая мощность ДЭС основная (резервная), кВА/кВт </w:t>
            </w:r>
          </w:p>
          <w:p>
            <w:pPr>
              <w:pStyle w:val="Normal"/>
              <w:widowControl w:val="false"/>
              <w:ind w:right="-108" w:hanging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(предполагаемая модель ДЭС)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1"/>
              <w:widowControl w:val="false"/>
              <w:spacing w:lineRule="atLeast" w:line="630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300кВт</w:t>
            </w:r>
          </w:p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 </w:t>
            </w:r>
          </w:p>
        </w:tc>
        <w:tc>
          <w:tcPr>
            <w:tcW w:w="5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  <w:vAlign w:val="center"/>
          </w:tcPr>
          <w:p>
            <w:pPr>
              <w:pStyle w:val="Normal"/>
              <w:widowControl w:val="false"/>
              <w:ind w:right="-108" w:hanging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Количество ДЭС, ед. 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9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Фактическая потребляемая электрическая мощность   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5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Максимальная (пиковая) мощность,</w:t>
            </w:r>
            <w:r>
              <w:rPr>
                <w:bCs/>
                <w:sz w:val="24"/>
                <w:szCs w:val="24"/>
              </w:rPr>
              <w:t xml:space="preserve"> кВА/кВт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90кВт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</w:t>
            </w:r>
          </w:p>
        </w:tc>
        <w:tc>
          <w:tcPr>
            <w:tcW w:w="5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 мощность,</w:t>
            </w:r>
            <w:r>
              <w:rPr>
                <w:bCs/>
                <w:sz w:val="24"/>
                <w:szCs w:val="24"/>
              </w:rPr>
              <w:t xml:space="preserve"> кВА/кВт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70кВт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</w:t>
            </w:r>
          </w:p>
        </w:tc>
        <w:tc>
          <w:tcPr>
            <w:tcW w:w="5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Минимальная мощность,</w:t>
            </w:r>
            <w:r>
              <w:rPr>
                <w:bCs/>
                <w:sz w:val="24"/>
                <w:szCs w:val="24"/>
              </w:rPr>
              <w:t xml:space="preserve"> кВА/кВт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60кВт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</w:t>
            </w:r>
          </w:p>
        </w:tc>
        <w:tc>
          <w:tcPr>
            <w:tcW w:w="5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Характер нагрузки 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(компьютерная и офисная техника, бытовые нужды, освещение, при наличии электродвигателей и/или источников бесперебойного питания указать их количество, наименование, номинальное и максимальное значение пускового тока). Желательно таблицу нагрузок. 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Для подъема сегментного затвора используются 2 редуктора ( 2 электродвигателя с фазным ротором 0,4кВ, 28кВт) канатного механизма, соединенные между собой синхронизатором. 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9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Необходимое напряжение ДЭС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4.1.</w:t>
            </w:r>
          </w:p>
        </w:tc>
        <w:tc>
          <w:tcPr>
            <w:tcW w:w="5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Трехфазное 380 В,</w:t>
            </w:r>
            <w:r>
              <w:rPr>
                <w:sz w:val="24"/>
                <w:szCs w:val="24"/>
              </w:rPr>
              <w:t xml:space="preserve"> 50 Гц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да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4.2.</w:t>
            </w:r>
          </w:p>
        </w:tc>
        <w:tc>
          <w:tcPr>
            <w:tcW w:w="5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Однофазное 220 В, </w:t>
            </w:r>
            <w:r>
              <w:rPr>
                <w:sz w:val="24"/>
                <w:szCs w:val="24"/>
              </w:rPr>
              <w:t>50 Гц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</w:t>
            </w:r>
          </w:p>
        </w:tc>
        <w:tc>
          <w:tcPr>
            <w:tcW w:w="5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Другое 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5. </w:t>
            </w:r>
          </w:p>
        </w:tc>
        <w:tc>
          <w:tcPr>
            <w:tcW w:w="9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Режим работы ДЭС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5.1.</w:t>
            </w:r>
          </w:p>
        </w:tc>
        <w:tc>
          <w:tcPr>
            <w:tcW w:w="5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Постоянный 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</w:t>
            </w:r>
          </w:p>
        </w:tc>
        <w:tc>
          <w:tcPr>
            <w:tcW w:w="5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Аварийный (резервный) 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да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5.3.</w:t>
            </w:r>
          </w:p>
        </w:tc>
        <w:tc>
          <w:tcPr>
            <w:tcW w:w="5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Параллельно с однотипными агрегатами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5.4.</w:t>
            </w:r>
          </w:p>
        </w:tc>
        <w:tc>
          <w:tcPr>
            <w:tcW w:w="5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Параллельно с сетью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5.5.</w:t>
            </w:r>
          </w:p>
        </w:tc>
        <w:tc>
          <w:tcPr>
            <w:tcW w:w="5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Другое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6. </w:t>
            </w:r>
          </w:p>
        </w:tc>
        <w:tc>
          <w:tcPr>
            <w:tcW w:w="9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Степень автоматизации  ДЭС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6.1.</w:t>
            </w:r>
          </w:p>
        </w:tc>
        <w:tc>
          <w:tcPr>
            <w:tcW w:w="5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 (Запуск/останов ДЭС с панели управления оператором)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</w:t>
            </w:r>
          </w:p>
        </w:tc>
        <w:tc>
          <w:tcPr>
            <w:tcW w:w="5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 (автоматизированный запуск/останов ДЭС)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>
        <w:trPr/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</w:t>
            </w:r>
          </w:p>
        </w:tc>
        <w:tc>
          <w:tcPr>
            <w:tcW w:w="5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Третья (автоматизированный запуск/останов ДЭС + установка дополнительных расходных емкостей)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6.3.1.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Указать необходимое время автономной работы без дозаправки дизельным топливом</w:t>
            </w:r>
          </w:p>
        </w:tc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W w:w="10632" w:type="dxa"/>
        <w:jc w:val="left"/>
        <w:tblInd w:w="-31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 w:noHBand="0" w:noVBand="0" w:firstColumn="1" w:lastRow="1" w:lastColumn="1" w:firstRow="1"/>
      </w:tblPr>
      <w:tblGrid>
        <w:gridCol w:w="696"/>
        <w:gridCol w:w="756"/>
        <w:gridCol w:w="4862"/>
        <w:gridCol w:w="66"/>
        <w:gridCol w:w="4251"/>
      </w:tblGrid>
      <w:tr>
        <w:trPr/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6.3.2.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Указать вид топливоподкачки</w:t>
            </w:r>
            <w:r>
              <w:rPr>
                <w:bCs/>
                <w:color w:val="000000"/>
                <w:sz w:val="24"/>
                <w:szCs w:val="24"/>
              </w:rPr>
              <w:t xml:space="preserve"> из дополнительного бака в расходный бак</w:t>
            </w:r>
            <w:r>
              <w:rPr>
                <w:color w:val="000000"/>
                <w:sz w:val="24"/>
                <w:szCs w:val="24"/>
              </w:rPr>
              <w:t>:</w:t>
            </w:r>
          </w:p>
          <w:p>
            <w:pPr>
              <w:pStyle w:val="Normal"/>
              <w:widowControl w:val="false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- самоточная система;</w:t>
            </w:r>
          </w:p>
          <w:p>
            <w:pPr>
              <w:pStyle w:val="Normal"/>
              <w:widowControl w:val="false"/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>
              <w:rPr>
                <w:bCs/>
                <w:color w:val="000000"/>
                <w:sz w:val="24"/>
                <w:szCs w:val="24"/>
              </w:rPr>
              <w:t xml:space="preserve">автоматическая система; </w:t>
            </w:r>
          </w:p>
          <w:p>
            <w:pPr>
              <w:pStyle w:val="Normal"/>
              <w:widowControl w:val="false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- установить расходный бак необходимого объема (штатный бак отключить);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дополнительный бак не использовать, предполагается подкачка в расходный бак из внешнего резервуара</w:t>
            </w:r>
          </w:p>
        </w:tc>
        <w:tc>
          <w:tcPr>
            <w:tcW w:w="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6.3.3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Указать необходимость маслоподкачки (да/нет)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случае необходимости указать объем (л) расходного масляного бака </w:t>
            </w:r>
          </w:p>
        </w:tc>
        <w:tc>
          <w:tcPr>
            <w:tcW w:w="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645" w:hRule="atLeast"/>
        </w:trPr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6.4.</w:t>
            </w:r>
          </w:p>
        </w:tc>
        <w:tc>
          <w:tcPr>
            <w:tcW w:w="5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Указать необходимость включения АВР в комплектацию поставки (либо указать марку АВР Заказчика).</w:t>
            </w:r>
          </w:p>
        </w:tc>
        <w:tc>
          <w:tcPr>
            <w:tcW w:w="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</w:t>
            </w:r>
          </w:p>
        </w:tc>
      </w:tr>
      <w:tr>
        <w:trPr>
          <w:trHeight w:val="645" w:hRule="atLeast"/>
        </w:trPr>
        <w:tc>
          <w:tcPr>
            <w:tcW w:w="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Указать месторасположение АВР (помещение Заказчика, помещение блок-контейнер с ДЭС и т.д.)</w:t>
            </w:r>
          </w:p>
        </w:tc>
        <w:tc>
          <w:tcPr>
            <w:tcW w:w="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0"/>
              </w:rPr>
            </w:pPr>
            <w:r>
              <w:rPr>
                <w:b/>
                <w:bCs/>
                <w:sz w:val="24"/>
                <w:szCs w:val="20"/>
              </w:rPr>
              <w:t>помещение блок-контейнер с ДЭС</w:t>
            </w:r>
          </w:p>
        </w:tc>
      </w:tr>
      <w:tr>
        <w:trPr>
          <w:trHeight w:val="645" w:hRule="atLeast"/>
        </w:trPr>
        <w:tc>
          <w:tcPr>
            <w:tcW w:w="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Алгоритм работы АВР: 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(сеть – АВР ДЭС; 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фидер1-фидер2-АВР ДЭС; 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АВР ДЭС – АВР Заказчика (фидер 1-фидер 2 ))</w:t>
            </w:r>
          </w:p>
        </w:tc>
        <w:tc>
          <w:tcPr>
            <w:tcW w:w="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0"/>
              </w:rPr>
            </w:pPr>
            <w:r>
              <w:rPr>
                <w:b/>
                <w:bCs/>
                <w:sz w:val="24"/>
                <w:szCs w:val="20"/>
              </w:rPr>
              <w:t>сеть – АВР ДЭС</w:t>
            </w:r>
          </w:p>
        </w:tc>
      </w:tr>
      <w:tr>
        <w:trPr>
          <w:trHeight w:val="279" w:hRule="atLeast"/>
        </w:trPr>
        <w:tc>
          <w:tcPr>
            <w:tcW w:w="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5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Дополнительные требования к АВР</w:t>
            </w:r>
          </w:p>
        </w:tc>
        <w:tc>
          <w:tcPr>
            <w:tcW w:w="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6.5.</w:t>
            </w:r>
          </w:p>
        </w:tc>
        <w:tc>
          <w:tcPr>
            <w:tcW w:w="5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Другое </w:t>
            </w:r>
          </w:p>
        </w:tc>
        <w:tc>
          <w:tcPr>
            <w:tcW w:w="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7. </w:t>
            </w:r>
          </w:p>
        </w:tc>
        <w:tc>
          <w:tcPr>
            <w:tcW w:w="9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Исполнение ДЭС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</w:t>
            </w:r>
          </w:p>
        </w:tc>
        <w:tc>
          <w:tcPr>
            <w:tcW w:w="5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Открытое на раме</w:t>
            </w:r>
          </w:p>
        </w:tc>
        <w:tc>
          <w:tcPr>
            <w:tcW w:w="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7.2.</w:t>
            </w:r>
          </w:p>
        </w:tc>
        <w:tc>
          <w:tcPr>
            <w:tcW w:w="5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капоте</w:t>
            </w:r>
          </w:p>
        </w:tc>
        <w:tc>
          <w:tcPr>
            <w:tcW w:w="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7.3.</w:t>
            </w:r>
          </w:p>
        </w:tc>
        <w:tc>
          <w:tcPr>
            <w:tcW w:w="5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 всепогодном кожухе с шумоизоляцией</w:t>
            </w:r>
          </w:p>
        </w:tc>
        <w:tc>
          <w:tcPr>
            <w:tcW w:w="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7.4.</w:t>
            </w:r>
          </w:p>
        </w:tc>
        <w:tc>
          <w:tcPr>
            <w:tcW w:w="5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Блок - контейнере «Север»</w:t>
            </w:r>
          </w:p>
        </w:tc>
        <w:tc>
          <w:tcPr>
            <w:tcW w:w="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да</w:t>
            </w:r>
          </w:p>
        </w:tc>
      </w:tr>
      <w:tr>
        <w:trPr/>
        <w:tc>
          <w:tcPr>
            <w:tcW w:w="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7.4.1.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Указать требования к системе пожаротушения (аэрозоль, порошок, газовое ОТВ)</w:t>
            </w:r>
          </w:p>
        </w:tc>
        <w:tc>
          <w:tcPr>
            <w:tcW w:w="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аэрозольное</w:t>
            </w:r>
          </w:p>
        </w:tc>
      </w:tr>
      <w:tr>
        <w:trPr/>
        <w:tc>
          <w:tcPr>
            <w:tcW w:w="6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7.4.2</w:t>
            </w:r>
          </w:p>
        </w:tc>
        <w:tc>
          <w:tcPr>
            <w:tcW w:w="4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случае необходимости указать габаритные размеры блок- контейнера </w:t>
            </w:r>
          </w:p>
        </w:tc>
        <w:tc>
          <w:tcPr>
            <w:tcW w:w="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7.5.</w:t>
            </w:r>
          </w:p>
        </w:tc>
        <w:tc>
          <w:tcPr>
            <w:tcW w:w="5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шасси (указать одноосное, двухосное)</w:t>
            </w:r>
          </w:p>
        </w:tc>
        <w:tc>
          <w:tcPr>
            <w:tcW w:w="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7.6.</w:t>
            </w:r>
          </w:p>
        </w:tc>
        <w:tc>
          <w:tcPr>
            <w:tcW w:w="5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Другое </w:t>
            </w:r>
          </w:p>
        </w:tc>
        <w:tc>
          <w:tcPr>
            <w:tcW w:w="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9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шумоглушению ДЭС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8.1.</w:t>
            </w:r>
          </w:p>
        </w:tc>
        <w:tc>
          <w:tcPr>
            <w:tcW w:w="5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Стандартный промышленный глушитель </w:t>
            </w:r>
          </w:p>
        </w:tc>
        <w:tc>
          <w:tcPr>
            <w:tcW w:w="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8.2.</w:t>
            </w:r>
          </w:p>
        </w:tc>
        <w:tc>
          <w:tcPr>
            <w:tcW w:w="5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Низкошумный глушитель</w:t>
            </w:r>
          </w:p>
        </w:tc>
        <w:tc>
          <w:tcPr>
            <w:tcW w:w="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8.3.</w:t>
            </w:r>
          </w:p>
        </w:tc>
        <w:tc>
          <w:tcPr>
            <w:tcW w:w="5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Усиленный глушитель </w:t>
            </w:r>
          </w:p>
        </w:tc>
        <w:tc>
          <w:tcPr>
            <w:tcW w:w="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8.4.</w:t>
            </w:r>
          </w:p>
        </w:tc>
        <w:tc>
          <w:tcPr>
            <w:tcW w:w="5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Другое </w:t>
            </w:r>
          </w:p>
        </w:tc>
        <w:tc>
          <w:tcPr>
            <w:tcW w:w="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  <w:vAlign w:val="center"/>
          </w:tcPr>
          <w:p>
            <w:pPr>
              <w:pStyle w:val="Normal"/>
              <w:widowControl w:val="false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9. </w:t>
            </w:r>
          </w:p>
        </w:tc>
        <w:tc>
          <w:tcPr>
            <w:tcW w:w="5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widowControl w:val="false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Необходимость удаленного контроля и управления ДЭС (да/нет)</w:t>
            </w:r>
          </w:p>
        </w:tc>
        <w:tc>
          <w:tcPr>
            <w:tcW w:w="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нет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9.1.</w:t>
            </w:r>
          </w:p>
        </w:tc>
        <w:tc>
          <w:tcPr>
            <w:tcW w:w="5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с помощью ПК</w:t>
            </w:r>
          </w:p>
        </w:tc>
        <w:tc>
          <w:tcPr>
            <w:tcW w:w="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9.2.</w:t>
            </w:r>
          </w:p>
        </w:tc>
        <w:tc>
          <w:tcPr>
            <w:tcW w:w="56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Другое </w:t>
            </w:r>
          </w:p>
        </w:tc>
        <w:tc>
          <w:tcPr>
            <w:tcW w:w="43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9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Специфические условия  месторасположения  оборудования 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10.1.</w:t>
            </w:r>
          </w:p>
        </w:tc>
        <w:tc>
          <w:tcPr>
            <w:tcW w:w="5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Тип объекта (жилая зона, промышленная зона, подземная установка и т.д.)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0"/>
              </w:rPr>
            </w:pPr>
            <w:r>
              <w:rPr>
                <w:b/>
                <w:bCs/>
                <w:sz w:val="24"/>
                <w:szCs w:val="20"/>
              </w:rPr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10.2.</w:t>
            </w:r>
          </w:p>
        </w:tc>
        <w:tc>
          <w:tcPr>
            <w:tcW w:w="5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Предполагаемое размещение ДЭС (на улице; в помещении (указать,</w:t>
            </w:r>
            <w:r>
              <w:rPr>
                <w:bCs/>
                <w:sz w:val="24"/>
                <w:szCs w:val="24"/>
              </w:rPr>
              <w:t xml:space="preserve"> отапливаемое помещение или нет), указать тип помещения (подвальное помещение, в гараже и т.п.))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0"/>
              </w:rPr>
            </w:pPr>
            <w:r>
              <w:rPr>
                <w:b/>
                <w:bCs/>
                <w:color w:val="000000"/>
                <w:sz w:val="24"/>
                <w:szCs w:val="20"/>
              </w:rPr>
              <w:t>на улице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10.3.</w:t>
            </w:r>
          </w:p>
        </w:tc>
        <w:tc>
          <w:tcPr>
            <w:tcW w:w="5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 установки над уровнем моря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До 1000м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10.4.</w:t>
            </w:r>
          </w:p>
        </w:tc>
        <w:tc>
          <w:tcPr>
            <w:tcW w:w="5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08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Максимальная температура окружающей среды, </w:t>
            </w:r>
            <w:r>
              <w:rPr>
                <w:color w:val="000000"/>
                <w:sz w:val="24"/>
                <w:szCs w:val="24"/>
              </w:rPr>
              <w:t>˚С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b/>
                <w:bCs/>
                <w:sz w:val="24"/>
                <w:szCs w:val="16"/>
                <w:shd w:fill="FFFFFF" w:val="clear"/>
              </w:rPr>
              <w:t>42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10.5.</w:t>
            </w:r>
          </w:p>
        </w:tc>
        <w:tc>
          <w:tcPr>
            <w:tcW w:w="5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08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Минимальная температура окружающей среды, </w:t>
            </w:r>
            <w:r>
              <w:rPr>
                <w:color w:val="000000"/>
                <w:sz w:val="24"/>
                <w:szCs w:val="24"/>
              </w:rPr>
              <w:t>˚С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highlight w:val="none"/>
                <w:shd w:fill="FFFFFF" w:val="clear"/>
              </w:rPr>
            </w:pPr>
            <w:r>
              <w:rPr>
                <w:b/>
                <w:sz w:val="24"/>
                <w:szCs w:val="24"/>
                <w:shd w:fill="FFFFFF" w:val="clear"/>
              </w:rPr>
              <w:t>-26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10.6.</w:t>
            </w:r>
          </w:p>
        </w:tc>
        <w:tc>
          <w:tcPr>
            <w:tcW w:w="5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08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Сейсмичность (по шкале MSK 64)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10.7.</w:t>
            </w:r>
          </w:p>
        </w:tc>
        <w:tc>
          <w:tcPr>
            <w:tcW w:w="56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right="-108" w:hanging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Дополнительные условия: 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63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  <w:vAlign w:val="center"/>
          </w:tcPr>
          <w:p>
            <w:pPr>
              <w:pStyle w:val="Normal"/>
              <w:widowControl w:val="false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11.  Возможность </w:t>
            </w:r>
            <w:r>
              <w:rPr>
                <w:b/>
                <w:color w:val="000000"/>
                <w:sz w:val="24"/>
                <w:szCs w:val="24"/>
              </w:rPr>
              <w:t xml:space="preserve">подачи питания на объекте для работы щита собственных нужд/опций ДЭС (подогреватель охлаждающей жидкости, статическое зарядное устройство) при неработающей ДЭС </w:t>
            </w:r>
            <w:r>
              <w:rPr>
                <w:b/>
                <w:bCs/>
                <w:color w:val="000000"/>
                <w:sz w:val="24"/>
                <w:szCs w:val="24"/>
              </w:rPr>
              <w:t>(да/нет)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да</w:t>
            </w:r>
          </w:p>
        </w:tc>
      </w:tr>
      <w:tr>
        <w:trPr/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</w:t>
            </w:r>
          </w:p>
        </w:tc>
        <w:tc>
          <w:tcPr>
            <w:tcW w:w="9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Дополнительные требования к комплектации/предоставлению технической документации:  </w:t>
            </w:r>
          </w:p>
        </w:tc>
      </w:tr>
      <w:tr>
        <w:trPr>
          <w:trHeight w:val="2452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Паспорт (на русском языке) — 2 шт;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Руководство по эксплуатации ДЭС — 2 шт;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ЗИП.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262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</w:t>
            </w:r>
          </w:p>
        </w:tc>
        <w:tc>
          <w:tcPr>
            <w:tcW w:w="9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E0E0E0" w:val="clea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Примечание:</w:t>
            </w:r>
          </w:p>
        </w:tc>
      </w:tr>
      <w:tr>
        <w:trPr>
          <w:trHeight w:val="2456" w:hRule="atLeast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9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hd w:val="clear" w:color="auto" w:fill="FFFFFF"/>
        <w:ind w:left="28" w:hanging="0"/>
        <w:rPr>
          <w:color w:val="000000"/>
          <w:spacing w:val="-25"/>
          <w:sz w:val="24"/>
          <w:szCs w:val="24"/>
        </w:rPr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566" w:gutter="0" w:header="290" w:top="347" w:footer="720" w:bottom="777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 Light"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t xml:space="preserve">стр. </w:t>
    </w: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  <w:r>
      <w:rPr/>
      <w:t xml:space="preserve"> из </w:t>
    </w:r>
    <w:r>
      <w:rPr/>
      <w:fldChar w:fldCharType="begin"/>
    </w:r>
    <w:r>
      <w:rPr/>
      <w:instrText xml:space="preserve"> NUMPAGES </w:instrText>
    </w:r>
    <w:r>
      <w:rPr/>
      <w:fldChar w:fldCharType="separate"/>
    </w:r>
    <w:r>
      <w:rPr/>
      <w:t>3</w:t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doNotHyphenateCaps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jc w:val="both"/>
      <w:outlineLvl w:val="0"/>
    </w:pPr>
    <w:rPr>
      <w:sz w:val="24"/>
      <w:szCs w:val="24"/>
    </w:rPr>
  </w:style>
  <w:style w:type="paragraph" w:styleId="Heading2">
    <w:name w:val="Heading 2"/>
    <w:basedOn w:val="Normal"/>
    <w:next w:val="Normal"/>
    <w:link w:val="2"/>
    <w:unhideWhenUsed/>
    <w:qFormat/>
    <w:rsid w:val="000f57e7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4"/>
    <w:qFormat/>
    <w:rsid w:val="00960d0f"/>
    <w:pPr>
      <w:keepNext w:val="true"/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FF"/>
      <w:u w:val="single"/>
    </w:rPr>
  </w:style>
  <w:style w:type="character" w:styleId="EmailStyle17" w:customStyle="1">
    <w:name w:val="EmailStyle17"/>
    <w:semiHidden/>
    <w:qFormat/>
    <w:rsid w:val="00e73e84"/>
    <w:rPr>
      <w:rFonts w:ascii="Arial" w:hAnsi="Arial" w:cs="Arial"/>
      <w:b w:val="false"/>
      <w:bCs w:val="false"/>
      <w:i w:val="false"/>
      <w:iCs w:val="false"/>
      <w:strike w:val="false"/>
      <w:dstrike w:val="false"/>
      <w:color w:val="auto"/>
      <w:sz w:val="28"/>
      <w:szCs w:val="28"/>
      <w:u w:val="none"/>
    </w:rPr>
  </w:style>
  <w:style w:type="character" w:styleId="4" w:customStyle="1">
    <w:name w:val="Заголовок 4 Знак"/>
    <w:qFormat/>
    <w:locked/>
    <w:rsid w:val="00960d0f"/>
    <w:rPr>
      <w:rFonts w:ascii="Calibri" w:hAnsi="Calibri"/>
      <w:b/>
      <w:bCs/>
      <w:sz w:val="28"/>
      <w:szCs w:val="28"/>
      <w:lang w:val="ru-RU" w:eastAsia="en-US" w:bidi="ar-SA"/>
    </w:rPr>
  </w:style>
  <w:style w:type="character" w:styleId="Fontstyle01" w:customStyle="1">
    <w:name w:val="fontstyle01"/>
    <w:basedOn w:val="DefaultParagraphFont"/>
    <w:qFormat/>
    <w:rsid w:val="00fc3dca"/>
    <w:rPr>
      <w:rFonts w:ascii="Times New Roman" w:hAnsi="Times New Roman" w:cs="Times New Roman"/>
      <w:b/>
      <w:bCs/>
      <w:i w:val="false"/>
      <w:iCs w:val="false"/>
      <w:color w:val="000000"/>
      <w:sz w:val="44"/>
      <w:szCs w:val="44"/>
    </w:rPr>
  </w:style>
  <w:style w:type="character" w:styleId="2" w:customStyle="1">
    <w:name w:val="Заголовок 2 Знак"/>
    <w:basedOn w:val="DefaultParagraphFont"/>
    <w:qFormat/>
    <w:rsid w:val="000f57e7"/>
    <w:rPr>
      <w:rFonts w:ascii="Calibri Light" w:hAnsi="Calibri Light" w:eastAsia="" w:cs="" w:asciiTheme="majorHAnsi" w:cstheme="majorBidi" w:eastAsiaTheme="majorEastAsia" w:hAnsiTheme="majorHAnsi"/>
      <w:color w:val="2F5496" w:themeColor="accent1" w:themeShade="bf"/>
      <w:sz w:val="26"/>
      <w:szCs w:val="26"/>
    </w:rPr>
  </w:style>
  <w:style w:type="paragraph" w:styleId="Style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 w:customStyle="1">
    <w:name w:val="Caption"/>
    <w:basedOn w:val="Normal"/>
    <w:qFormat/>
    <w:pPr>
      <w:jc w:val="center"/>
    </w:pPr>
    <w:rPr>
      <w:b/>
      <w:bCs/>
      <w:sz w:val="24"/>
      <w:szCs w:val="24"/>
    </w:rPr>
  </w:style>
  <w:style w:type="paragraph" w:styleId="Style7">
    <w:name w:val="Указатель"/>
    <w:basedOn w:val="Normal"/>
    <w:qFormat/>
    <w:pPr>
      <w:suppressLineNumbers/>
    </w:pPr>
    <w:rPr>
      <w:rFonts w:cs="Arial Unicode MS"/>
    </w:rPr>
  </w:style>
  <w:style w:type="paragraph" w:styleId="Style8">
    <w:name w:val="Колонтитул"/>
    <w:basedOn w:val="Normal"/>
    <w:qFormat/>
    <w:pPr/>
    <w:rPr/>
  </w:style>
  <w:style w:type="paragraph" w:styleId="Header">
    <w:name w:val="Header"/>
    <w:basedOn w:val="Normal"/>
    <w:rsid w:val="0075574d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rsid w:val="0075574d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1" w:customStyle="1">
    <w:name w:val="Знак1"/>
    <w:basedOn w:val="Normal"/>
    <w:qFormat/>
    <w:rsid w:val="00093dc1"/>
    <w:pPr>
      <w:spacing w:beforeAutospacing="1" w:afterAutospacing="1"/>
    </w:pPr>
    <w:rPr>
      <w:rFonts w:ascii="Tahoma" w:hAnsi="Tahoma"/>
      <w:lang w:val="en-US"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rsid w:val="00e5025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Style51">
    <w:name w:val="TableStyle51"/>
    <w:rsid w:val="005541fc"/>
    <w:rPr>
      <w:rFonts w:eastAsiaTheme="minorEastAsia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2">
    <w:name w:val="TableStyle52"/>
    <w:rsid w:val="005541fc"/>
    <w:rPr>
      <w:rFonts w:eastAsiaTheme="minorEastAsia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3">
    <w:name w:val="TableStyle53"/>
    <w:rsid w:val="005541fc"/>
    <w:rPr>
      <w:rFonts w:eastAsiaTheme="minorEastAsia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4">
    <w:name w:val="TableStyle54"/>
    <w:rsid w:val="005541fc"/>
    <w:rPr>
      <w:rFonts w:eastAsiaTheme="minorEastAsia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5">
    <w:name w:val="TableStyle55"/>
    <w:rsid w:val="005541fc"/>
    <w:rPr>
      <w:rFonts w:eastAsiaTheme="minorEastAsia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57">
    <w:name w:val="TableStyle57"/>
    <w:rsid w:val="005541fc"/>
    <w:rPr>
      <w:rFonts w:eastAsiaTheme="minorEastAsia" w:cstheme="minorBidi"/>
      <w:sz w:val="16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3C12B-B397-4C31-8A59-958DAC6C8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Application>AlterOffice/3.4.0.9$Linux_X86_64 LibreOffice_project/b8daf9e823b1a5463a2f48435ddc2e8696e7d4fc</Application>
  <AppVersion>15.0000</AppVersion>
  <Pages>3</Pages>
  <Words>539</Words>
  <Characters>3621</Characters>
  <CharactersWithSpaces>4043</CharactersWithSpaces>
  <Paragraphs>169</Paragraphs>
  <Company>Звезда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2025-05-27T13:33:00Z</dcterms:created>
  <dc:creator>Андрей Цапик</dc:creator>
  <dc:description/>
  <dc:language>ru-RU</dc:language>
  <cp:lastModifiedBy>gamzatovma@corp.gidroogk.com</cp:lastModifiedBy>
  <cp:lastPrinted>2014-03-27T14:17:00Z</cp:lastPrinted>
  <dcterms:modified xsi:type="dcterms:W3CDTF">2026-09-08T15:54:03Z</dcterms:modified>
  <cp:revision>15</cp:revision>
  <dc:subject/>
  <dc:title>Анкета технических требований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