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keepLines/>
        <w:jc w:val="righ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jc w:val="center"/>
        <w:rPr/>
      </w:pPr>
      <w:r>
        <w:rPr>
          <w:rFonts w:eastAsia="Calibri"/>
          <w:sz w:val="26"/>
          <w:szCs w:val="26"/>
        </w:rPr>
        <w:t>«</w:t>
      </w:r>
      <w:r>
        <w:rPr>
          <w:rFonts w:eastAsia="Calibri"/>
          <w:b/>
          <w:i/>
        </w:rPr>
        <w:t>ОКПД2 47.78.30.000.</w:t>
      </w:r>
      <w:r>
        <w:rPr>
          <w:rFonts w:eastAsia="Calibri"/>
          <w:sz w:val="26"/>
          <w:szCs w:val="26"/>
        </w:rPr>
        <w:t xml:space="preserve"> </w:t>
      </w:r>
      <w:r>
        <w:rPr>
          <w:rFonts w:eastAsia="Calibri"/>
          <w:b/>
          <w:i/>
        </w:rPr>
        <w:t>Поставка сувенирно-презентационной продукции для нужд АО "ВНИИГ им. Веденеева"</w:t>
      </w:r>
      <w:r>
        <w:rPr>
          <w:rFonts w:eastAsia="Calibri"/>
          <w:b/>
          <w:i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Calibri"/>
          <w:b/>
          <w:bCs/>
          <w:i w:val="false"/>
          <w:iCs w:val="false"/>
          <w:sz w:val="26"/>
          <w:szCs w:val="26"/>
        </w:rPr>
        <w:t xml:space="preserve"> </w:t>
      </w:r>
    </w:p>
    <w:p>
      <w:pPr>
        <w:pStyle w:val="Normal"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p>
      <w:pPr>
        <w:pStyle w:val="17"/>
        <w:tabs>
          <w:tab w:val="left" w:pos="560" w:leader="none"/>
          <w:tab w:val="right" w:pos="9911" w:leader="dot"/>
          <w:tab w:val="right" w:pos="9921" w:leader="dot"/>
        </w:tabs>
        <w:rPr/>
      </w:pPr>
      <w:r>
        <w:fldChar w:fldCharType="begin"/>
      </w:r>
      <w:r>
        <w:instrText> TOC \z \o "1-4" \u \h</w:instrText>
      </w:r>
      <w:r>
        <w:fldChar w:fldCharType="separate"/>
      </w:r>
      <w:hyperlink w:anchor="__RefHeading___Toc15568_3258336111">
        <w:r>
          <w:rPr>
            <w:webHidden/>
            <w:rStyle w:val="Style20"/>
            <w:vanish w:val="false"/>
          </w:rPr>
          <w:t>1. Общие сведения</w:t>
          <w:tab/>
          <w:t>3</w:t>
        </w:r>
      </w:hyperlink>
    </w:p>
    <w:p>
      <w:pPr>
        <w:pStyle w:val="26"/>
        <w:tabs>
          <w:tab w:val="right" w:pos="9921" w:leader="dot"/>
        </w:tabs>
        <w:rPr/>
      </w:pPr>
      <w:hyperlink w:anchor="__RefHeading___Toc15570_3258336111">
        <w:r>
          <w:rPr>
            <w:webHidden/>
            <w:rStyle w:val="Style20"/>
            <w:vanish w:val="false"/>
          </w:rPr>
          <w:t>1.1. Наименование закупаемой продукции</w:t>
          <w:tab/>
          <w:t>3</w:t>
        </w:r>
      </w:hyperlink>
    </w:p>
    <w:p>
      <w:pPr>
        <w:pStyle w:val="26"/>
        <w:tabs>
          <w:tab w:val="right" w:pos="9921" w:leader="dot"/>
        </w:tabs>
        <w:rPr/>
      </w:pPr>
      <w:hyperlink w:anchor="__RefHeading___Toc15572_3258336111">
        <w:r>
          <w:rPr>
            <w:webHidden/>
            <w:rStyle w:val="Style20"/>
            <w:vanish w:val="false"/>
          </w:rPr>
          <w:t>1.2. Цель использования закупаемой продукции</w:t>
          <w:tab/>
          <w:t>3</w:t>
        </w:r>
      </w:hyperlink>
    </w:p>
    <w:p>
      <w:pPr>
        <w:pStyle w:val="26"/>
        <w:tabs>
          <w:tab w:val="right" w:pos="9921" w:leader="dot"/>
        </w:tabs>
        <w:rPr/>
      </w:pPr>
      <w:hyperlink w:anchor="__RefHeading___Toc15574_3258336111">
        <w:r>
          <w:rPr>
            <w:webHidden/>
            <w:rStyle w:val="Style20"/>
            <w:vanish w:val="false"/>
          </w:rPr>
          <w:t>1.3.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<w:tab/>
          <w:t>3</w:t>
        </w:r>
      </w:hyperlink>
    </w:p>
    <w:p>
      <w:pPr>
        <w:pStyle w:val="26"/>
        <w:tabs>
          <w:tab w:val="right" w:pos="9921" w:leader="dot"/>
        </w:tabs>
        <w:rPr/>
      </w:pPr>
      <w:hyperlink w:anchor="__RefHeading___Toc15576_3258336111">
        <w:r>
          <w:rPr>
            <w:webHidden/>
            <w:rStyle w:val="Style20"/>
            <w:vanish w:val="false"/>
          </w:rPr>
          <w:t>1.4. Иные требования и сведения общего характера</w:t>
          <w:tab/>
          <w:t>3</w:t>
        </w:r>
      </w:hyperlink>
    </w:p>
    <w:p>
      <w:pPr>
        <w:pStyle w:val="17"/>
        <w:tabs>
          <w:tab w:val="left" w:pos="560" w:leader="none"/>
          <w:tab w:val="right" w:pos="9911" w:leader="dot"/>
          <w:tab w:val="right" w:pos="9921" w:leader="dot"/>
        </w:tabs>
        <w:rPr/>
      </w:pPr>
      <w:hyperlink w:anchor="__RefHeading___Toc15578_3258336111">
        <w:r>
          <w:rPr>
            <w:webHidden/>
            <w:rStyle w:val="Style20"/>
            <w:vanish w:val="false"/>
          </w:rPr>
          <w:t xml:space="preserve">2. </w:t>
        </w:r>
        <w:r>
          <w:rPr>
            <w:rStyle w:val="Style20"/>
            <w:iCs/>
          </w:rPr>
          <w:t>Требования к продукции</w:t>
        </w:r>
        <w:r>
          <w:rPr>
            <w:rStyle w:val="Style20"/>
          </w:rPr>
          <w:tab/>
          <w:t>3</w:t>
        </w:r>
      </w:hyperlink>
    </w:p>
    <w:p>
      <w:pPr>
        <w:pStyle w:val="26"/>
        <w:tabs>
          <w:tab w:val="right" w:pos="9921" w:leader="dot"/>
        </w:tabs>
        <w:rPr/>
      </w:pPr>
      <w:hyperlink w:anchor="__RefHeading___Toc15580_3258336111">
        <w:r>
          <w:rPr>
            <w:webHidden/>
            <w:rStyle w:val="Style20"/>
            <w:vanish w:val="false"/>
          </w:rPr>
          <w:t>2.1. Требования к объемам и срокам поставки</w:t>
          <w:tab/>
          <w:t>3</w:t>
        </w:r>
      </w:hyperlink>
    </w:p>
    <w:p>
      <w:pPr>
        <w:pStyle w:val="35"/>
        <w:tabs>
          <w:tab w:val="right" w:pos="9921" w:leader="dot"/>
        </w:tabs>
        <w:rPr/>
      </w:pPr>
      <w:hyperlink w:anchor="__RefHeading___Toc15582_3258336111">
        <w:r>
          <w:rPr>
            <w:webHidden/>
            <w:rStyle w:val="Style20"/>
            <w:vanish w:val="false"/>
          </w:rPr>
          <w:t>2.1.1. Перечень и объем закупаемой продукции</w:t>
          <w:tab/>
          <w:t>3</w:t>
        </w:r>
      </w:hyperlink>
    </w:p>
    <w:p>
      <w:pPr>
        <w:pStyle w:val="17"/>
        <w:tabs>
          <w:tab w:val="left" w:pos="560" w:leader="none"/>
          <w:tab w:val="right" w:pos="9911" w:leader="dot"/>
          <w:tab w:val="right" w:pos="9921" w:leader="dot"/>
        </w:tabs>
        <w:rPr/>
      </w:pPr>
      <w:hyperlink w:anchor="__RefHeading___Toc15584_3258336111">
        <w:r>
          <w:rPr>
            <w:webHidden/>
            <w:rStyle w:val="Style20"/>
            <w:vanish w:val="false"/>
          </w:rPr>
          <w:t>Таблица 1.1 Перечень и объем закупаемой продукции</w:t>
          <w:tab/>
          <w:t>3</w:t>
        </w:r>
      </w:hyperlink>
    </w:p>
    <w:p>
      <w:pPr>
        <w:pStyle w:val="35"/>
        <w:tabs>
          <w:tab w:val="right" w:pos="9921" w:leader="dot"/>
        </w:tabs>
        <w:rPr/>
      </w:pPr>
      <w:hyperlink w:anchor="__RefHeading___Toc15586_3258336111">
        <w:r>
          <w:rPr>
            <w:webHidden/>
            <w:rStyle w:val="Style20"/>
            <w:vanish w:val="false"/>
          </w:rPr>
          <w:t>2.1.2. Требования к срокам поставки продукции и оказания сопутствующих услуг</w:t>
          <w:tab/>
          <w:t>4</w:t>
        </w:r>
      </w:hyperlink>
    </w:p>
    <w:p>
      <w:pPr>
        <w:pStyle w:val="17"/>
        <w:tabs>
          <w:tab w:val="left" w:pos="560" w:leader="none"/>
          <w:tab w:val="right" w:pos="9911" w:leader="dot"/>
          <w:tab w:val="right" w:pos="9921" w:leader="dot"/>
        </w:tabs>
        <w:rPr/>
      </w:pPr>
      <w:hyperlink w:anchor="__RefHeading___Toc15588_3258336111">
        <w:r>
          <w:rPr>
            <w:webHidden/>
            <w:rStyle w:val="Style20"/>
            <w:vanish w:val="false"/>
          </w:rPr>
          <w:t>Таблица 2.1 Требования по срокам поставки продукции</w:t>
          <w:tab/>
          <w:t>4</w:t>
        </w:r>
      </w:hyperlink>
    </w:p>
    <w:p>
      <w:pPr>
        <w:pStyle w:val="26"/>
        <w:tabs>
          <w:tab w:val="right" w:pos="9921" w:leader="dot"/>
        </w:tabs>
        <w:rPr/>
      </w:pPr>
      <w:hyperlink w:anchor="__RefHeading___Toc15590_3258336111">
        <w:r>
          <w:rPr>
            <w:webHidden/>
            <w:rStyle w:val="Style20"/>
            <w:vanish w:val="false"/>
          </w:rPr>
          <w:t>2.2. Требования к качеству продукции</w:t>
          <w:tab/>
          <w:t>5</w:t>
        </w:r>
      </w:hyperlink>
    </w:p>
    <w:p>
      <w:pPr>
        <w:pStyle w:val="17"/>
        <w:tabs>
          <w:tab w:val="left" w:pos="560" w:leader="none"/>
          <w:tab w:val="right" w:pos="9911" w:leader="dot"/>
          <w:tab w:val="right" w:pos="9921" w:leader="dot"/>
        </w:tabs>
        <w:rPr/>
      </w:pPr>
      <w:hyperlink w:anchor="__RefHeading___Toc15592_3258336111">
        <w:r>
          <w:rPr>
            <w:webHidden/>
            <w:rStyle w:val="Style20"/>
            <w:vanish w:val="false"/>
          </w:rPr>
          <w:t xml:space="preserve"> </w:t>
        </w:r>
        <w:r>
          <w:rPr>
            <w:rStyle w:val="Style20"/>
          </w:rPr>
          <w:t>Таблица 3. Требования к продукции</w:t>
          <w:tab/>
          <w:t>5</w:t>
        </w:r>
      </w:hyperlink>
    </w:p>
    <w:p>
      <w:pPr>
        <w:pStyle w:val="17"/>
        <w:tabs>
          <w:tab w:val="left" w:pos="560" w:leader="none"/>
          <w:tab w:val="right" w:pos="9911" w:leader="dot"/>
          <w:tab w:val="right" w:pos="9921" w:leader="dot"/>
        </w:tabs>
        <w:rPr/>
      </w:pPr>
      <w:hyperlink w:anchor="__RefHeading___Toc15594_3258336111">
        <w:r>
          <w:rPr>
            <w:webHidden/>
            <w:rStyle w:val="Style20"/>
            <w:vanish w:val="false"/>
          </w:rPr>
          <w:t>3. Требования к документации по ценообразованию на этапе закупки</w:t>
          <w:tab/>
          <w:t>8</w:t>
        </w:r>
      </w:hyperlink>
    </w:p>
    <w:p>
      <w:pPr>
        <w:pStyle w:val="17"/>
        <w:tabs>
          <w:tab w:val="left" w:pos="560" w:leader="none"/>
          <w:tab w:val="right" w:pos="9911" w:leader="dot"/>
          <w:tab w:val="right" w:pos="9921" w:leader="dot"/>
        </w:tabs>
        <w:rPr/>
      </w:pPr>
      <w:hyperlink w:anchor="__RefHeading___Toc15596_3258336111">
        <w:r>
          <w:rPr>
            <w:webHidden/>
            <w:rStyle w:val="Style20"/>
            <w:vanish w:val="false"/>
          </w:rPr>
          <w:t>4. Требования к документации по ценообразованию на этапе заключения (исполнения) договора</w:t>
          <w:tab/>
          <w:t>9</w:t>
        </w:r>
      </w:hyperlink>
    </w:p>
    <w:p>
      <w:pPr>
        <w:pStyle w:val="17"/>
        <w:tabs>
          <w:tab w:val="left" w:pos="560" w:leader="none"/>
          <w:tab w:val="right" w:pos="9911" w:leader="dot"/>
          <w:tab w:val="right" w:pos="9921" w:leader="dot"/>
        </w:tabs>
        <w:rPr/>
      </w:pPr>
      <w:hyperlink w:anchor="__RefHeading___Toc15598_3258336111">
        <w:r>
          <w:rPr>
            <w:webHidden/>
            <w:rStyle w:val="Style20"/>
            <w:vanish w:val="false"/>
          </w:rPr>
          <w:t xml:space="preserve">5. </w:t>
        </w:r>
        <w:r>
          <w:rPr>
            <w:rStyle w:val="Style20"/>
            <w:iCs/>
          </w:rPr>
          <w:t>Приложения</w:t>
        </w:r>
        <w:r>
          <w:rPr>
            <w:rStyle w:val="Style20"/>
          </w:rPr>
          <w:tab/>
          <w:t>10</w:t>
        </w:r>
      </w:hyperlink>
      <w:r>
        <w:fldChar w:fldCharType="end"/>
      </w:r>
    </w:p>
    <w:p>
      <w:pPr>
        <w:pStyle w:val="Normal"/>
        <w:tabs>
          <w:tab w:val="right" w:pos="9923" w:leader="dot"/>
        </w:tabs>
        <w:spacing w:before="120" w:after="0"/>
        <w:rPr/>
      </w:pPr>
      <w:r>
        <w:rPr>
          <w:b/>
          <w:sz w:val="24"/>
          <w:szCs w:val="24"/>
        </w:rPr>
        <w:t>Приложение №1. Спецификация……………………………………………………………………………………….10</w:t>
      </w:r>
    </w:p>
    <w:p>
      <w:pPr>
        <w:pStyle w:val="Normal"/>
        <w:tabs>
          <w:tab w:val="right" w:pos="9923" w:leader="dot"/>
        </w:tabs>
        <w:spacing w:before="120" w:after="0"/>
        <w:rPr/>
      </w:pPr>
      <w:r>
        <w:rPr>
          <w:b/>
          <w:sz w:val="24"/>
          <w:szCs w:val="24"/>
        </w:rPr>
        <w:t xml:space="preserve">Приложение №2. Руководство по применению фирменного стиля АО «ВНИИГ </w:t>
        <w:br/>
        <w:t>им. Б.Е. Веденеева»</w:t>
        <w:tab/>
        <w:t>13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Lines/>
        <w:numPr>
          <w:ilvl w:val="0"/>
          <w:numId w:val="2"/>
        </w:numPr>
        <w:ind w:left="357" w:hanging="357"/>
        <w:jc w:val="center"/>
        <w:rPr>
          <w:caps/>
          <w:lang w:val="ru-RU"/>
        </w:rPr>
      </w:pPr>
      <w:bookmarkStart w:id="0" w:name="__RefHeading___Toc15568_3258336111"/>
      <w:bookmarkStart w:id="1" w:name="_Toc51339692"/>
      <w:bookmarkStart w:id="2" w:name="_Toc142316407"/>
      <w:bookmarkStart w:id="3" w:name="_Ref142306107"/>
      <w:bookmarkEnd w:id="0"/>
      <w:bookmarkEnd w:id="1"/>
      <w:bookmarkEnd w:id="2"/>
      <w:bookmarkEnd w:id="3"/>
      <w:r>
        <w:rPr>
          <w:lang w:val="ru-RU"/>
        </w:rPr>
        <w:t>Общие сведения</w:t>
      </w:r>
    </w:p>
    <w:p>
      <w:pPr>
        <w:pStyle w:val="4"/>
        <w:numPr>
          <w:ilvl w:val="1"/>
          <w:numId w:val="2"/>
        </w:numPr>
        <w:rPr/>
      </w:pPr>
      <w:bookmarkStart w:id="4" w:name="__RefHeading___Toc15570_3258336111"/>
      <w:bookmarkStart w:id="5" w:name="_Toc46743506"/>
      <w:bookmarkStart w:id="6" w:name="_Toc142316408"/>
      <w:bookmarkEnd w:id="4"/>
      <w:bookmarkEnd w:id="5"/>
      <w:bookmarkEnd w:id="6"/>
      <w:r>
        <w:rPr/>
        <w:t>Наименование закупаемой продукции</w:t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jc w:val="both"/>
        <w:rPr>
          <w:rFonts w:eastAsia="Calibri"/>
          <w:i/>
          <w:i/>
          <w:sz w:val="24"/>
          <w:szCs w:val="24"/>
          <w:lang w:eastAsia="x-none"/>
        </w:rPr>
      </w:pPr>
      <w:bookmarkStart w:id="7" w:name="__DdeLink__15603_3258336111"/>
      <w:r>
        <w:rPr>
          <w:rFonts w:eastAsia="Calibri"/>
          <w:i/>
          <w:sz w:val="24"/>
          <w:szCs w:val="24"/>
          <w:lang w:eastAsia="x-none"/>
        </w:rPr>
        <w:t xml:space="preserve">ОКПД2 47.78.30.000. Поставка сувенирно-презентационной продукции для нужд </w:t>
      </w:r>
      <w:bookmarkEnd w:id="7"/>
      <w:r>
        <w:rPr>
          <w:i/>
          <w:spacing w:val="6"/>
          <w:sz w:val="24"/>
          <w:szCs w:val="24"/>
        </w:rPr>
        <w:t>АО «ВНИИГ им. Б.Е. Веденеева»</w:t>
      </w:r>
    </w:p>
    <w:p>
      <w:pPr>
        <w:pStyle w:val="4"/>
        <w:numPr>
          <w:ilvl w:val="1"/>
          <w:numId w:val="2"/>
        </w:numPr>
        <w:spacing w:before="240" w:after="60"/>
        <w:ind w:left="431" w:hanging="431"/>
        <w:rPr/>
      </w:pPr>
      <w:bookmarkStart w:id="8" w:name="__RefHeading___Toc15572_3258336111"/>
      <w:bookmarkStart w:id="9" w:name="_Toc142316409"/>
      <w:bookmarkStart w:id="10" w:name="_Toc46743507"/>
      <w:bookmarkEnd w:id="8"/>
      <w:r>
        <w:rPr/>
        <w:t xml:space="preserve">Цель </w:t>
      </w:r>
      <w:bookmarkEnd w:id="10"/>
      <w:r>
        <w:rPr>
          <w:lang w:val="ru-RU"/>
        </w:rPr>
        <w:t>использования закупаемой продукции</w:t>
      </w:r>
      <w:bookmarkEnd w:id="9"/>
      <w:r>
        <w:rPr>
          <w:lang w:val="ru-RU"/>
        </w:rPr>
        <w:t xml:space="preserve"> </w:t>
      </w:r>
    </w:p>
    <w:p>
      <w:pPr>
        <w:pStyle w:val="211"/>
        <w:shd w:val="clear" w:color="auto" w:fill="auto"/>
        <w:spacing w:lineRule="auto" w:line="240" w:before="120" w:after="120"/>
        <w:ind w:hanging="0"/>
        <w:rPr>
          <w:i/>
          <w:i/>
          <w:sz w:val="24"/>
          <w:szCs w:val="24"/>
        </w:rPr>
      </w:pPr>
      <w:bookmarkStart w:id="11" w:name="_Toc46743508"/>
      <w:bookmarkEnd w:id="11"/>
      <w:r>
        <w:rPr>
          <w:i/>
          <w:sz w:val="24"/>
          <w:szCs w:val="24"/>
        </w:rPr>
        <w:t>Повышение узнаваемости бренда, популяризация и укрепление имиджа в рамках осуществления коммуникационной и рекламной деятельности.</w:t>
      </w:r>
    </w:p>
    <w:p>
      <w:pPr>
        <w:pStyle w:val="4"/>
        <w:numPr>
          <w:ilvl w:val="1"/>
          <w:numId w:val="2"/>
        </w:numPr>
        <w:rPr/>
      </w:pPr>
      <w:bookmarkStart w:id="12" w:name="__RefHeading___Toc15574_3258336111"/>
      <w:bookmarkStart w:id="13" w:name="_Toc142316410"/>
      <w:bookmarkStart w:id="14" w:name="_Hlk49857604"/>
      <w:bookmarkStart w:id="15" w:name="_Toc46743509"/>
      <w:bookmarkStart w:id="16" w:name="_Toc467435081"/>
      <w:bookmarkEnd w:id="12"/>
      <w:bookmarkEnd w:id="16"/>
      <w:r>
        <w:rPr/>
        <w:t xml:space="preserve">Информация в отношении исполнения договора, </w:t>
      </w:r>
      <w:bookmarkStart w:id="17" w:name="_Hlk46492347"/>
      <w:r>
        <w:rPr/>
        <w:t xml:space="preserve">которая должна быть учтена при подготовке заявки </w:t>
      </w:r>
      <w:bookmarkEnd w:id="17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3"/>
      <w:bookmarkEnd w:id="14"/>
      <w:bookmarkEnd w:id="15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left" w:pos="426" w:leader="none"/>
        </w:tabs>
        <w:spacing w:before="120" w:after="240"/>
        <w:jc w:val="both"/>
        <w:rPr>
          <w:i/>
          <w:i/>
          <w:spacing w:val="6"/>
          <w:sz w:val="24"/>
          <w:szCs w:val="24"/>
        </w:rPr>
      </w:pPr>
      <w:bookmarkStart w:id="18" w:name="_Hlk48209761"/>
      <w:bookmarkEnd w:id="18"/>
      <w:r>
        <w:rPr>
          <w:i/>
          <w:spacing w:val="6"/>
          <w:sz w:val="24"/>
          <w:szCs w:val="24"/>
        </w:rPr>
        <w:t>При формировании макетов нанесения логотипа на сувенирно-презентационную продукцию руководствоваться информацией, представленной в «Руководстве по применению фирменного стиля АО «ВНИИГ им. Б.Е. Веденеева»».</w:t>
      </w:r>
    </w:p>
    <w:p>
      <w:pPr>
        <w:pStyle w:val="4"/>
        <w:numPr>
          <w:ilvl w:val="1"/>
          <w:numId w:val="2"/>
        </w:numPr>
        <w:rPr/>
      </w:pPr>
      <w:bookmarkStart w:id="19" w:name="__RefHeading___Toc15576_3258336111"/>
      <w:bookmarkStart w:id="20" w:name="_Toc142316411"/>
      <w:bookmarkStart w:id="21" w:name="_Toc50125126"/>
      <w:bookmarkStart w:id="22" w:name="_Toc46743510"/>
      <w:bookmarkStart w:id="23" w:name="_Hlk482097611"/>
      <w:bookmarkEnd w:id="19"/>
      <w:bookmarkEnd w:id="20"/>
      <w:bookmarkEnd w:id="21"/>
      <w:bookmarkEnd w:id="22"/>
      <w:bookmarkEnd w:id="23"/>
      <w:r>
        <w:rPr/>
        <w:t>Иные требования и сведения общего характера</w:t>
      </w:r>
    </w:p>
    <w:p>
      <w:pPr>
        <w:pStyle w:val="Normal"/>
        <w:widowControl w:val="false"/>
        <w:tabs>
          <w:tab w:val="left" w:pos="426" w:leader="none"/>
        </w:tabs>
        <w:spacing w:before="120" w:after="240"/>
        <w:jc w:val="both"/>
        <w:rPr>
          <w:rStyle w:val="Style14"/>
          <w:b w:val="false"/>
          <w:b w:val="false"/>
          <w:bCs/>
          <w:i w:val="false"/>
          <w:i w:val="false"/>
          <w:sz w:val="24"/>
          <w:szCs w:val="24"/>
        </w:rPr>
      </w:pPr>
      <w:r>
        <w:rPr>
          <w:i/>
          <w:spacing w:val="6"/>
          <w:sz w:val="24"/>
          <w:szCs w:val="24"/>
        </w:rPr>
        <w:t>До начала поставки Поставщик обязан согласовать с Покупателем макеты нанесения логотипа.</w:t>
      </w:r>
    </w:p>
    <w:p>
      <w:pPr>
        <w:pStyle w:val="1"/>
        <w:keepLines/>
        <w:numPr>
          <w:ilvl w:val="0"/>
          <w:numId w:val="2"/>
        </w:numPr>
        <w:ind w:left="357" w:hanging="357"/>
        <w:jc w:val="center"/>
        <w:rPr>
          <w:iCs/>
          <w:caps/>
          <w:lang w:val="ru-RU"/>
        </w:rPr>
      </w:pPr>
      <w:bookmarkStart w:id="24" w:name="__RefHeading___Toc15578_3258336111"/>
      <w:bookmarkStart w:id="25" w:name="_Toc51339693"/>
      <w:bookmarkStart w:id="26" w:name="_Toc142316412"/>
      <w:bookmarkEnd w:id="24"/>
      <w:bookmarkEnd w:id="25"/>
      <w:bookmarkEnd w:id="26"/>
      <w:r>
        <w:rPr>
          <w:iCs/>
        </w:rPr>
        <w:t>Требования к продукции</w:t>
      </w:r>
    </w:p>
    <w:p>
      <w:pPr>
        <w:pStyle w:val="4"/>
        <w:numPr>
          <w:ilvl w:val="1"/>
          <w:numId w:val="2"/>
        </w:numPr>
        <w:rPr/>
      </w:pPr>
      <w:bookmarkStart w:id="27" w:name="__RefHeading___Toc15580_3258336111"/>
      <w:bookmarkStart w:id="28" w:name="_Toc142316413"/>
      <w:bookmarkEnd w:id="27"/>
      <w:r>
        <w:rPr/>
        <w:t xml:space="preserve">Требования к объемам и срокам </w:t>
      </w:r>
      <w:bookmarkEnd w:id="28"/>
      <w:r>
        <w:rPr>
          <w:lang w:val="ru-RU"/>
        </w:rPr>
        <w:t>поставки</w:t>
      </w:r>
    </w:p>
    <w:p>
      <w:pPr>
        <w:pStyle w:val="3"/>
        <w:numPr>
          <w:ilvl w:val="2"/>
          <w:numId w:val="2"/>
        </w:numPr>
        <w:rPr/>
      </w:pPr>
      <w:bookmarkStart w:id="29" w:name="__RefHeading___Toc15582_3258336111"/>
      <w:bookmarkStart w:id="30" w:name="_Toc142316414"/>
      <w:bookmarkEnd w:id="29"/>
      <w:bookmarkEnd w:id="30"/>
      <w:r>
        <w:rPr>
          <w:lang w:val="ru-RU"/>
        </w:rPr>
        <w:t>Перечень и объем закупаемой продукции</w:t>
      </w:r>
    </w:p>
    <w:p>
      <w:pPr>
        <w:pStyle w:val="1"/>
        <w:keepLines/>
        <w:numPr>
          <w:ilvl w:val="0"/>
          <w:numId w:val="0"/>
        </w:numPr>
        <w:spacing w:before="240" w:after="60"/>
        <w:rPr>
          <w:sz w:val="24"/>
          <w:szCs w:val="24"/>
          <w:lang w:val="ru-RU"/>
        </w:rPr>
      </w:pPr>
      <w:bookmarkStart w:id="31" w:name="__RefHeading___Toc15584_3258336111"/>
      <w:bookmarkStart w:id="32" w:name="_Toc142316415"/>
      <w:bookmarkStart w:id="33" w:name="_Toc51339695"/>
      <w:bookmarkEnd w:id="3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2"/>
      <w:bookmarkEnd w:id="33"/>
      <w:r>
        <w:rPr>
          <w:sz w:val="24"/>
          <w:szCs w:val="24"/>
          <w:lang w:val="ru-RU"/>
        </w:rPr>
        <w:t>и объем закупаемой продукции</w:t>
      </w:r>
    </w:p>
    <w:tbl>
      <w:tblPr>
        <w:tblW w:w="9812" w:type="dxa"/>
        <w:jc w:val="left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5"/>
        <w:gridCol w:w="6129"/>
        <w:gridCol w:w="1418"/>
        <w:gridCol w:w="1419"/>
      </w:tblGrid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 xml:space="preserve">Ежедневник </w:t>
            </w:r>
            <w:r>
              <w:rPr>
                <w:i/>
                <w:iCs/>
                <w:sz w:val="24"/>
                <w:szCs w:val="24"/>
              </w:rPr>
              <w:t>А5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>60</w:t>
            </w:r>
          </w:p>
        </w:tc>
      </w:tr>
      <w:tr>
        <w:trPr/>
        <w:tc>
          <w:tcPr>
            <w:tcW w:w="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 xml:space="preserve">Ежедневник </w:t>
            </w:r>
            <w:r>
              <w:rPr>
                <w:i/>
                <w:iCs/>
                <w:sz w:val="24"/>
                <w:szCs w:val="24"/>
              </w:rPr>
              <w:t>А4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color w:val="000000"/>
                <w:sz w:val="24"/>
                <w:szCs w:val="24"/>
                <w:lang w:val="ru-RU" w:eastAsia="ru-RU" w:bidi="ar-SA"/>
              </w:rPr>
              <w:t>30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Ручка шариковая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color w:val="000000"/>
                <w:sz w:val="24"/>
                <w:szCs w:val="24"/>
              </w:rPr>
              <w:t>2</w:t>
            </w:r>
            <w:r>
              <w:rPr>
                <w:i/>
                <w:color w:val="000000"/>
                <w:sz w:val="24"/>
                <w:szCs w:val="24"/>
              </w:rPr>
              <w:t>00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 xml:space="preserve">Ручка шариковая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100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Карандаш простой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>2</w:t>
            </w:r>
            <w:r>
              <w:rPr>
                <w:i/>
                <w:iCs/>
                <w:color w:val="000000"/>
                <w:sz w:val="24"/>
                <w:szCs w:val="24"/>
              </w:rPr>
              <w:t>00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Подарочный деловой набор 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color w:val="000000"/>
                <w:sz w:val="24"/>
                <w:szCs w:val="24"/>
              </w:rPr>
              <w:t>3</w:t>
            </w:r>
            <w:r>
              <w:rPr>
                <w:i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Набор подарочный с аккумулятором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color w:val="000000"/>
                <w:sz w:val="24"/>
                <w:szCs w:val="24"/>
              </w:rPr>
              <w:t>3</w:t>
            </w:r>
            <w:r>
              <w:rPr>
                <w:i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 xml:space="preserve">Футляр для </w:t>
            </w:r>
            <w:r>
              <w:rPr>
                <w:i/>
                <w:iCs/>
                <w:sz w:val="24"/>
                <w:szCs w:val="24"/>
              </w:rPr>
              <w:t>визиток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color w:val="000000"/>
                <w:sz w:val="24"/>
                <w:szCs w:val="24"/>
              </w:rPr>
              <w:t>3</w:t>
            </w:r>
            <w:r>
              <w:rPr>
                <w:i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Термобутылка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color w:val="000000"/>
                <w:sz w:val="24"/>
                <w:szCs w:val="24"/>
              </w:rPr>
              <w:t>3</w:t>
            </w:r>
            <w:r>
              <w:rPr>
                <w:i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Кепка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color w:val="000000"/>
                <w:sz w:val="24"/>
                <w:szCs w:val="24"/>
              </w:rPr>
              <w:t>200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Детский рюкзак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>150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Дождевик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color w:val="000000"/>
                <w:sz w:val="24"/>
                <w:szCs w:val="24"/>
              </w:rPr>
              <w:t>1</w:t>
            </w:r>
            <w:r>
              <w:rPr>
                <w:i/>
                <w:iCs/>
                <w:color w:val="000000"/>
                <w:sz w:val="24"/>
                <w:szCs w:val="24"/>
              </w:rPr>
              <w:t>5</w:t>
            </w: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 xml:space="preserve">Футболка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color w:val="000000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bidi w:val="0"/>
              <w:ind w:left="0" w:right="0" w:hanging="0"/>
              <w:jc w:val="left"/>
              <w:rPr>
                <w:i/>
                <w:i/>
                <w:color w:val="00000A"/>
              </w:rPr>
            </w:pPr>
            <w:r>
              <w:rPr>
                <w:i/>
                <w:color w:val="00000A"/>
              </w:rPr>
            </w:r>
          </w:p>
        </w:tc>
        <w:tc>
          <w:tcPr>
            <w:tcW w:w="6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Брелок с рулеткой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i/>
                <w:color w:val="000000"/>
                <w:sz w:val="24"/>
                <w:szCs w:val="24"/>
              </w:rPr>
              <w:t>100</w:t>
            </w:r>
          </w:p>
        </w:tc>
      </w:tr>
    </w:tbl>
    <w:p>
      <w:pPr>
        <w:pStyle w:val="Normal"/>
        <w:widowControl w:val="false"/>
        <w:tabs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3"/>
        <w:numPr>
          <w:ilvl w:val="2"/>
          <w:numId w:val="2"/>
        </w:numPr>
        <w:rPr>
          <w:lang w:val="ru-RU"/>
        </w:rPr>
      </w:pPr>
      <w:bookmarkStart w:id="34" w:name="__RefHeading___Toc15586_3258336111"/>
      <w:bookmarkStart w:id="35" w:name="_Toc142316416"/>
      <w:bookmarkStart w:id="36" w:name="_Toc51339696"/>
      <w:bookmarkEnd w:id="34"/>
      <w:r>
        <w:rPr>
          <w:lang w:val="ru-RU"/>
        </w:rPr>
        <w:t xml:space="preserve">Требования </w:t>
      </w:r>
      <w:bookmarkEnd w:id="35"/>
      <w:bookmarkEnd w:id="36"/>
      <w:r>
        <w:rPr>
          <w:lang w:val="ru-RU"/>
        </w:rPr>
        <w:t>к срокам поставки продукции и оказания сопутствующих услуг</w:t>
      </w:r>
    </w:p>
    <w:p>
      <w:pPr>
        <w:pStyle w:val="1"/>
        <w:keepLines/>
        <w:numPr>
          <w:ilvl w:val="0"/>
          <w:numId w:val="0"/>
        </w:numPr>
        <w:spacing w:before="240" w:after="60"/>
        <w:rPr>
          <w:sz w:val="24"/>
          <w:szCs w:val="24"/>
          <w:lang w:val="ru-RU"/>
        </w:rPr>
      </w:pPr>
      <w:bookmarkStart w:id="37" w:name="__RefHeading___Toc15588_3258336111"/>
      <w:bookmarkStart w:id="38" w:name="_Toc142316417"/>
      <w:bookmarkStart w:id="39" w:name="_Toc51339697"/>
      <w:bookmarkStart w:id="40" w:name="_Toc50125127"/>
      <w:bookmarkStart w:id="41" w:name="_Toc501251261"/>
      <w:bookmarkEnd w:id="37"/>
      <w:bookmarkEnd w:id="4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42" w:name="_Hlk50465284"/>
      <w:r>
        <w:rPr>
          <w:sz w:val="24"/>
          <w:szCs w:val="24"/>
        </w:rPr>
        <w:t xml:space="preserve">Требования по срокам </w:t>
      </w:r>
      <w:bookmarkEnd w:id="39"/>
      <w:bookmarkEnd w:id="40"/>
      <w:bookmarkEnd w:id="42"/>
      <w:r>
        <w:rPr>
          <w:sz w:val="24"/>
          <w:szCs w:val="24"/>
          <w:lang w:val="ru-RU"/>
        </w:rPr>
        <w:t>поставки продукции</w:t>
      </w:r>
      <w:bookmarkEnd w:id="38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9"/>
        <w:gridCol w:w="2551"/>
        <w:gridCol w:w="2977"/>
        <w:gridCol w:w="3118"/>
      </w:tblGrid>
      <w:tr>
        <w:trPr/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Style40"/>
              <w:keepNext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Style40"/>
              <w:keepNext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4"/>
              </w:numPr>
              <w:suppressAutoHyphens w:val="true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Сувенирно-презентационная продукция (</w:t>
            </w:r>
            <w:r>
              <w:rPr>
                <w:bCs/>
                <w:i/>
                <w:sz w:val="24"/>
                <w:szCs w:val="24"/>
              </w:rPr>
              <w:t>Приложение 1 к ТТ «Спецификация»)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i/>
                <w:i/>
                <w:sz w:val="24"/>
                <w:szCs w:val="24"/>
              </w:rPr>
            </w:pPr>
            <w:bookmarkStart w:id="43" w:name="_Toc467435101"/>
            <w:bookmarkEnd w:id="43"/>
            <w:r>
              <w:rPr>
                <w:bCs/>
                <w:i/>
                <w:sz w:val="24"/>
                <w:szCs w:val="24"/>
              </w:rPr>
              <w:t>30 рабочих дней с момента поступления предоплаты и согласования макетов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4294952959"/>
        </w:sectPr>
      </w:pPr>
    </w:p>
    <w:p>
      <w:pPr>
        <w:pStyle w:val="4"/>
        <w:numPr>
          <w:ilvl w:val="1"/>
          <w:numId w:val="2"/>
        </w:numPr>
        <w:rPr/>
      </w:pPr>
      <w:bookmarkStart w:id="44" w:name="__RefHeading___Toc15590_3258336111"/>
      <w:bookmarkStart w:id="45" w:name="_Toc46743511"/>
      <w:bookmarkStart w:id="46" w:name="_Toc142316418"/>
      <w:bookmarkStart w:id="47" w:name="_Toc51339698"/>
      <w:bookmarkEnd w:id="44"/>
      <w:r>
        <w:rPr/>
        <w:t xml:space="preserve">Требования к </w:t>
      </w:r>
      <w:bookmarkEnd w:id="45"/>
      <w:bookmarkEnd w:id="46"/>
      <w:r>
        <w:rPr>
          <w:lang w:val="ru-RU"/>
        </w:rPr>
        <w:t>качеству продукции</w:t>
      </w:r>
    </w:p>
    <w:p>
      <w:pPr>
        <w:pStyle w:val="1"/>
        <w:keepLines/>
        <w:numPr>
          <w:ilvl w:val="0"/>
          <w:numId w:val="0"/>
        </w:numPr>
        <w:spacing w:before="240" w:after="60"/>
        <w:rPr>
          <w:sz w:val="24"/>
          <w:szCs w:val="24"/>
        </w:rPr>
      </w:pPr>
      <w:bookmarkStart w:id="48" w:name="__RefHeading___Toc15592_3258336111"/>
      <w:bookmarkEnd w:id="48"/>
      <w:r>
        <w:rPr>
          <w:sz w:val="24"/>
          <w:szCs w:val="24"/>
        </w:rPr>
        <w:t xml:space="preserve"> </w:t>
      </w:r>
      <w:bookmarkStart w:id="49" w:name="_Toc14231641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7"/>
      <w:bookmarkEnd w:id="49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rStyle w:val="Style14"/>
          <w:b w:val="false"/>
          <w:b w:val="false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№1–15 Таблицы 1.1):</w:t>
      </w:r>
      <w:r>
        <w:rPr>
          <w:bCs/>
          <w:i/>
          <w:sz w:val="24"/>
          <w:szCs w:val="24"/>
        </w:rPr>
        <w:t xml:space="preserve"> Приложение №1 к ТТ «Спецификация»</w:t>
      </w:r>
      <w:r>
        <w:rPr>
          <w:rStyle w:val="Style14"/>
          <w:b w:val="false"/>
          <w:iCs/>
          <w:sz w:val="24"/>
          <w:szCs w:val="24"/>
        </w:rPr>
        <w:t xml:space="preserve"> </w:t>
      </w:r>
    </w:p>
    <w:tbl>
      <w:tblPr>
        <w:tblStyle w:val="af"/>
        <w:tblW w:w="15309" w:type="dxa"/>
        <w:jc w:val="left"/>
        <w:tblInd w:w="-20" w:type="dxa"/>
        <w:tblCellMar>
          <w:top w:w="0" w:type="dxa"/>
          <w:left w:w="9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1768"/>
        <w:gridCol w:w="44"/>
        <w:gridCol w:w="2986"/>
        <w:gridCol w:w="1"/>
        <w:gridCol w:w="2990"/>
        <w:gridCol w:w="1"/>
        <w:gridCol w:w="3260"/>
        <w:gridCol w:w="1"/>
        <w:gridCol w:w="3406"/>
      </w:tblGrid>
      <w:tr>
        <w:trPr/>
        <w:tc>
          <w:tcPr>
            <w:tcW w:w="851" w:type="dxa"/>
            <w:vMerge w:val="restart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12" w:type="dxa"/>
            <w:gridSpan w:val="2"/>
            <w:vMerge w:val="restart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987" w:type="dxa"/>
            <w:gridSpan w:val="2"/>
            <w:vMerge w:val="restart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252" w:type="dxa"/>
            <w:gridSpan w:val="4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12" w:type="dxa"/>
            <w:gridSpan w:val="2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87" w:type="dxa"/>
            <w:gridSpan w:val="2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91" w:type="dxa"/>
            <w:gridSpan w:val="2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261" w:type="dxa"/>
            <w:gridSpan w:val="2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  <w:gridSpan w:val="2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7" w:type="dxa"/>
            <w:gridSpan w:val="2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91" w:type="dxa"/>
            <w:gridSpan w:val="2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  <w:gridSpan w:val="2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4798" w:type="dxa"/>
            <w:gridSpan w:val="3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1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7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812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Общие требования </w:t>
            </w:r>
          </w:p>
        </w:tc>
        <w:tc>
          <w:tcPr>
            <w:tcW w:w="2987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поставляемой продукции должны соответствовать  Техническим требованиям, представленным в Приложении 1 к ТТ «Спецификация»</w:t>
            </w:r>
          </w:p>
        </w:tc>
        <w:tc>
          <w:tcPr>
            <w:tcW w:w="2991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0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812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87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 и ранее не использованной, без дефектов и повреждений</w:t>
            </w:r>
          </w:p>
        </w:tc>
        <w:tc>
          <w:tcPr>
            <w:tcW w:w="2991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0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812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87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допускаются дефекты, приводящие к потере товарного вида или затрудняющие использование продукции по назначению, в том числе, но не исключая: механические повреждения, сколы, царапины, пятна, деформация обложки или блока, неравномерное окрашивание и другие дефекты</w:t>
            </w:r>
          </w:p>
        </w:tc>
        <w:tc>
          <w:tcPr>
            <w:tcW w:w="2991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0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numPr>
                <w:ilvl w:val="1"/>
                <w:numId w:val="3"/>
              </w:numPr>
              <w:spacing w:before="60" w:after="60"/>
              <w:ind w:left="0" w:hanging="0"/>
              <w:contextualSpacing/>
              <w:jc w:val="center"/>
              <w:rPr/>
            </w:pPr>
            <w:r>
              <w:rPr/>
            </w:r>
          </w:p>
        </w:tc>
        <w:tc>
          <w:tcPr>
            <w:tcW w:w="1812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87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Нанесение фирменной символики (в т.ч. размеры, место нанесения и пр.) осуществляется в строгом соответствии с «Руководством по применению фирменного стиля АО «ВНИИГ им. Б.Е. Веденеева» и предварительно утверждается Покупателем</w:t>
            </w:r>
          </w:p>
        </w:tc>
        <w:tc>
          <w:tcPr>
            <w:tcW w:w="2991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0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numPr>
                <w:ilvl w:val="1"/>
                <w:numId w:val="3"/>
              </w:numPr>
              <w:spacing w:before="60" w:after="60"/>
              <w:ind w:left="0" w:hanging="0"/>
              <w:contextualSpacing/>
              <w:jc w:val="center"/>
              <w:rPr/>
            </w:pPr>
            <w:r>
              <w:rPr/>
            </w:r>
          </w:p>
        </w:tc>
        <w:tc>
          <w:tcPr>
            <w:tcW w:w="1812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87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нанесения фирменной символики предварительно согласовывается с Покупателем </w:t>
            </w:r>
          </w:p>
        </w:tc>
        <w:tc>
          <w:tcPr>
            <w:tcW w:w="2991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0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numPr>
                <w:ilvl w:val="1"/>
                <w:numId w:val="3"/>
              </w:numPr>
              <w:spacing w:before="60" w:after="60"/>
              <w:ind w:left="0" w:hanging="0"/>
              <w:contextualSpacing/>
              <w:jc w:val="center"/>
              <w:rPr/>
            </w:pPr>
            <w:r>
              <w:rPr/>
            </w:r>
          </w:p>
        </w:tc>
        <w:tc>
          <w:tcPr>
            <w:tcW w:w="1812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87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запросу Покупателя Поставщик предоставляет образцы продукции для рассмотрения и согласования Покупателем без внесения залоговой стоимости. Если образец не соответствует требованиям Покупателя, Покупателем составляется акт-перечень подлежащих устранению недостатков, который передается Поставщику лично или посредством электронной почты для устранения недостатков. </w:t>
            </w:r>
          </w:p>
        </w:tc>
        <w:tc>
          <w:tcPr>
            <w:tcW w:w="2991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0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4798" w:type="dxa"/>
            <w:gridSpan w:val="3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991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7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768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используемым материалам</w:t>
            </w:r>
          </w:p>
        </w:tc>
        <w:tc>
          <w:tcPr>
            <w:tcW w:w="3030" w:type="dxa"/>
            <w:gridSpan w:val="2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Материалы, используемые для изготовления продукции, должны соответствовать характеристикам, указанным в столбце 3 «Описание» таблицы Приложения 1 «Спецификация»</w:t>
            </w:r>
          </w:p>
        </w:tc>
        <w:tc>
          <w:tcPr>
            <w:tcW w:w="2991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407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4798" w:type="dxa"/>
            <w:gridSpan w:val="3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1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07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812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доставке</w:t>
            </w:r>
          </w:p>
        </w:tc>
        <w:tc>
          <w:tcPr>
            <w:tcW w:w="2987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своими силами осуществляет доставку и подъем до помещения для разгрузки по адресу, указанному в Договоре, стоимость доставки включена в общую стоимость договора. </w:t>
            </w:r>
          </w:p>
        </w:tc>
        <w:tc>
          <w:tcPr>
            <w:tcW w:w="2991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Style39"/>
              <w:keepNext w:val="false"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b w:val="false"/>
                <w:lang w:val="ru-RU" w:eastAsia="ru-RU"/>
              </w:rPr>
            </w:pPr>
            <w:r>
              <w:rPr>
                <w:rFonts w:eastAsia="Times New Roman"/>
                <w:b w:val="false"/>
                <w:lang w:val="ru-RU" w:eastAsia="ru-RU"/>
              </w:rPr>
            </w:r>
          </w:p>
        </w:tc>
        <w:tc>
          <w:tcPr>
            <w:tcW w:w="3406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812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2987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tabs>
                <w:tab w:val="left" w:pos="432" w:leader="none"/>
                <w:tab w:val="left" w:pos="459" w:leader="none"/>
              </w:tabs>
              <w:ind w:left="72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поставляется в транспортной упаковке, обеспечивающей сохранность продукции при нормальных условиях ее хранения и транспортировки.</w:t>
            </w:r>
          </w:p>
        </w:tc>
        <w:tc>
          <w:tcPr>
            <w:tcW w:w="2991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06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/>
            </w:pPr>
            <w:r>
              <w:rPr/>
            </w:r>
          </w:p>
        </w:tc>
      </w:tr>
    </w:tbl>
    <w:p>
      <w:pPr>
        <w:sectPr>
          <w:headerReference w:type="default" r:id="rId4"/>
          <w:type w:val="nextPage"/>
          <w:pgSz w:orient="landscape" w:w="16838" w:h="11906"/>
          <w:pgMar w:left="992" w:right="567" w:header="680" w:top="851" w:footer="0" w:bottom="851" w:gutter="0"/>
          <w:pgNumType w:fmt="decimal"/>
          <w:formProt w:val="false"/>
          <w:textDirection w:val="lrTb"/>
          <w:docGrid w:type="default" w:linePitch="381" w:charSpace="4294952959"/>
        </w:sectPr>
      </w:pPr>
    </w:p>
    <w:p>
      <w:pPr>
        <w:pStyle w:val="1"/>
        <w:keepLines/>
        <w:numPr>
          <w:ilvl w:val="0"/>
          <w:numId w:val="2"/>
        </w:numPr>
        <w:ind w:left="357" w:hanging="357"/>
        <w:jc w:val="center"/>
        <w:rPr>
          <w:lang w:val="ru-RU"/>
        </w:rPr>
      </w:pPr>
      <w:bookmarkStart w:id="50" w:name="__RefHeading___Toc15594_3258336111"/>
      <w:bookmarkStart w:id="51" w:name="_Toc142316420"/>
      <w:bookmarkStart w:id="52" w:name="_Toc53393312"/>
      <w:bookmarkEnd w:id="50"/>
      <w:r>
        <w:rPr>
          <w:lang w:val="ru-RU"/>
        </w:rPr>
        <w:t>Требования к документации по ценообразованию</w:t>
      </w:r>
      <w:bookmarkEnd w:id="51"/>
      <w:bookmarkEnd w:id="52"/>
      <w:r>
        <w:rPr>
          <w:lang w:val="ru-RU"/>
        </w:rPr>
        <w:t xml:space="preserve"> на этапе закупки</w:t>
      </w:r>
    </w:p>
    <w:p>
      <w:pPr>
        <w:pStyle w:val="Normal"/>
        <w:spacing w:before="0" w:after="120"/>
        <w:ind w:left="567" w:hanging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</w:r>
    </w:p>
    <w:p>
      <w:pPr>
        <w:pStyle w:val="Normal"/>
        <w:numPr>
          <w:ilvl w:val="1"/>
          <w:numId w:val="6"/>
        </w:numPr>
        <w:spacing w:before="0" w:after="120"/>
        <w:ind w:left="567" w:hanging="567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53" w:name="_Hlk88325985"/>
      <w:r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53"/>
      <w:r>
        <w:rPr>
          <w:bCs/>
          <w:iCs/>
          <w:sz w:val="24"/>
          <w:szCs w:val="24"/>
          <w:lang w:eastAsia="x-none"/>
        </w:rPr>
        <w:t xml:space="preserve">, приведенной в Документации о закупке. </w:t>
      </w:r>
      <w:r>
        <w:rPr>
          <w:sz w:val="24"/>
          <w:szCs w:val="24"/>
        </w:rPr>
        <w:t>В стоимость выполнения работ должны быть включены все затраты и расходные материалы, необходимые для выполнения работ согласно Техническим требованиям, любые другие сопутствующие расходы Исполнителя, все налоги, сборы и другие обязательные платежи.</w:t>
      </w:r>
    </w:p>
    <w:p>
      <w:pPr>
        <w:pStyle w:val="Normal"/>
        <w:numPr>
          <w:ilvl w:val="1"/>
          <w:numId w:val="6"/>
        </w:numPr>
        <w:spacing w:before="0" w:after="120"/>
        <w:ind w:left="567" w:hanging="567"/>
        <w:jc w:val="both"/>
        <w:rPr>
          <w:bCs/>
          <w:iCs/>
          <w:sz w:val="24"/>
          <w:szCs w:val="24"/>
          <w:lang w:eastAsia="x-none"/>
        </w:rPr>
      </w:pPr>
      <w:bookmarkStart w:id="54" w:name="_Hlk88327292"/>
      <w:r>
        <w:rPr>
          <w:bCs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54"/>
      <w:r>
        <w:rPr>
          <w:bCs/>
          <w:iCs/>
          <w:sz w:val="24"/>
          <w:szCs w:val="24"/>
          <w:lang w:eastAsia="x-none"/>
        </w:rPr>
        <w:t xml:space="preserve"> в состав заявки не включаются.</w:t>
      </w:r>
    </w:p>
    <w:p>
      <w:pPr>
        <w:pStyle w:val="Normal"/>
        <w:spacing w:before="120" w:after="120"/>
        <w:jc w:val="both"/>
        <w:rPr>
          <w:rStyle w:val="Style14"/>
          <w:b w:val="false"/>
          <w:b w:val="false"/>
          <w:i w:val="false"/>
          <w:i w:val="false"/>
          <w:sz w:val="24"/>
          <w:szCs w:val="24"/>
          <w:shd w:fill="FFFFFF" w:val="clear"/>
        </w:rPr>
      </w:pPr>
      <w:r>
        <w:rPr>
          <w:b w:val="false"/>
          <w:i w:val="false"/>
          <w:sz w:val="24"/>
          <w:szCs w:val="24"/>
          <w:shd w:fill="FFFFFF" w:val="clear"/>
        </w:rPr>
      </w:r>
    </w:p>
    <w:p>
      <w:pPr>
        <w:pStyle w:val="Normal"/>
        <w:rPr>
          <w:rFonts w:eastAsia="Calibri"/>
          <w:b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  <w:r>
        <w:br w:type="page"/>
      </w:r>
    </w:p>
    <w:p>
      <w:pPr>
        <w:pStyle w:val="1"/>
        <w:keepLines/>
        <w:numPr>
          <w:ilvl w:val="0"/>
          <w:numId w:val="2"/>
        </w:numPr>
        <w:ind w:left="357" w:hanging="357"/>
        <w:jc w:val="center"/>
        <w:rPr>
          <w:lang w:val="ru-RU"/>
        </w:rPr>
      </w:pPr>
      <w:bookmarkStart w:id="55" w:name="__RefHeading___Toc15596_3258336111"/>
      <w:bookmarkStart w:id="56" w:name="_Toc142316421"/>
      <w:bookmarkEnd w:id="55"/>
      <w:bookmarkEnd w:id="56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</w:p>
    <w:p>
      <w:pPr>
        <w:pStyle w:val="Normal"/>
        <w:widowControl w:val="false"/>
        <w:tabs>
          <w:tab w:val="left" w:pos="567" w:leader="none"/>
          <w:tab w:val="left" w:pos="709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left" w:pos="567" w:leader="none"/>
          <w:tab w:val="left" w:pos="709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В случае победы Участника, величина предложенных им единичных расценок будет закреплена в Договоре.</w:t>
      </w:r>
    </w:p>
    <w:p>
      <w:pPr>
        <w:pStyle w:val="Normal"/>
        <w:widowControl w:val="false"/>
        <w:tabs>
          <w:tab w:val="left" w:pos="567" w:leader="none"/>
          <w:tab w:val="left" w:pos="709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договора является фиксированной на весь срок выполнения договора. </w:t>
      </w:r>
    </w:p>
    <w:p>
      <w:pPr>
        <w:pStyle w:val="1"/>
        <w:keepLines/>
        <w:numPr>
          <w:ilvl w:val="0"/>
          <w:numId w:val="0"/>
        </w:numPr>
        <w:ind w:left="357" w:hanging="0"/>
        <w:rPr>
          <w:iCs/>
          <w:lang w:val="ru-RU"/>
        </w:rPr>
      </w:pPr>
      <w:r>
        <w:rPr>
          <w:iCs/>
          <w:lang w:val="ru-RU"/>
        </w:rPr>
      </w:r>
    </w:p>
    <w:p>
      <w:pPr>
        <w:pStyle w:val="Normal"/>
        <w:rPr>
          <w:rFonts w:eastAsia="Calibri"/>
          <w:b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  <w:r>
        <w:br w:type="page"/>
      </w:r>
    </w:p>
    <w:p>
      <w:pPr>
        <w:pStyle w:val="1"/>
        <w:keepLines/>
        <w:numPr>
          <w:ilvl w:val="0"/>
          <w:numId w:val="2"/>
        </w:numPr>
        <w:ind w:left="357" w:hanging="357"/>
        <w:jc w:val="center"/>
        <w:rPr>
          <w:iCs/>
          <w:caps/>
        </w:rPr>
      </w:pPr>
      <w:bookmarkStart w:id="57" w:name="__RefHeading___Toc15598_3258336111"/>
      <w:bookmarkStart w:id="58" w:name="_Toc142316422"/>
      <w:bookmarkStart w:id="59" w:name="_Toc46743519"/>
      <w:bookmarkStart w:id="60" w:name="_Toc51339699"/>
      <w:bookmarkEnd w:id="57"/>
      <w:bookmarkEnd w:id="58"/>
      <w:bookmarkEnd w:id="59"/>
      <w:bookmarkEnd w:id="60"/>
      <w:r>
        <w:rPr>
          <w:iCs/>
        </w:rPr>
        <w:t>Приложения</w:t>
      </w:r>
    </w:p>
    <w:p>
      <w:pPr>
        <w:pStyle w:val="Normal"/>
        <w:spacing w:before="12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before="12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№1. Спецификация</w:t>
      </w:r>
    </w:p>
    <w:p>
      <w:pPr>
        <w:pStyle w:val="Normal"/>
        <w:spacing w:before="12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Приложение №2. </w:t>
      </w:r>
      <w:r>
        <w:rPr>
          <w:color w:val="000000"/>
          <w:spacing w:val="-6"/>
          <w:sz w:val="24"/>
          <w:szCs w:val="24"/>
        </w:rPr>
        <w:t>Руководство по применению фирменного стиля АО «ВНИИГ им. Б.Е. Веденеева»</w:t>
      </w:r>
    </w:p>
    <w:p>
      <w:pPr>
        <w:pStyle w:val="Normal"/>
        <w:widowControl w:val="false"/>
        <w:tabs>
          <w:tab w:val="left" w:pos="426" w:leader="none"/>
        </w:tabs>
        <w:spacing w:before="60" w:after="0"/>
        <w:jc w:val="both"/>
        <w:rPr>
          <w:rStyle w:val="Style14"/>
          <w:b w:val="false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rStyle w:val="Style14"/>
          <w:b w:val="false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  <w:r>
        <w:br w:type="page"/>
      </w:r>
    </w:p>
    <w:p>
      <w:pPr>
        <w:pStyle w:val="Normal"/>
        <w:jc w:val="right"/>
        <w:rPr>
          <w:i/>
          <w:i/>
          <w:color w:val="000000"/>
          <w:sz w:val="24"/>
        </w:rPr>
      </w:pPr>
      <w:r>
        <w:rPr>
          <w:i/>
          <w:color w:val="000000"/>
          <w:sz w:val="24"/>
        </w:rPr>
        <w:t>Приложение №1</w:t>
      </w:r>
    </w:p>
    <w:p>
      <w:pPr>
        <w:pStyle w:val="Normal"/>
        <w:jc w:val="center"/>
        <w:rPr>
          <w:i/>
          <w:i/>
          <w:color w:val="000000"/>
          <w:sz w:val="24"/>
        </w:rPr>
      </w:pPr>
      <w:r>
        <w:rPr>
          <w:i/>
          <w:color w:val="000000"/>
          <w:sz w:val="24"/>
        </w:rPr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  <w:t>Спецификация</w:t>
      </w:r>
    </w:p>
    <w:p>
      <w:pPr>
        <w:pStyle w:val="Normal"/>
        <w:jc w:val="center"/>
        <w:rPr>
          <w:rStyle w:val="Style14"/>
          <w:bCs/>
          <w:i w:val="false"/>
          <w:i w:val="false"/>
          <w:iCs/>
          <w:sz w:val="24"/>
          <w:szCs w:val="24"/>
        </w:rPr>
      </w:pPr>
      <w:r>
        <w:rPr>
          <w:bCs/>
          <w:i w:val="false"/>
          <w:iCs/>
          <w:sz w:val="24"/>
          <w:szCs w:val="24"/>
        </w:rPr>
      </w:r>
    </w:p>
    <w:tbl>
      <w:tblPr>
        <w:tblW w:w="5000" w:type="pct"/>
        <w:jc w:val="left"/>
        <w:tblInd w:w="-30" w:type="dxa"/>
        <w:tblBorders>
          <w:top w:val="single" w:sz="8" w:space="0" w:color="00000A"/>
          <w:left w:val="single" w:sz="8" w:space="0" w:color="00000A"/>
          <w:right w:val="single" w:sz="8" w:space="0" w:color="00000A"/>
          <w:insideV w:val="single" w:sz="8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73"/>
        <w:gridCol w:w="1692"/>
        <w:gridCol w:w="4998"/>
        <w:gridCol w:w="735"/>
        <w:gridCol w:w="2023"/>
      </w:tblGrid>
      <w:tr>
        <w:trPr>
          <w:trHeight w:val="630" w:hRule="atLeast"/>
        </w:trPr>
        <w:tc>
          <w:tcPr>
            <w:tcW w:w="473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  <w:insideV w:val="single" w:sz="8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92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998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  <w:tc>
          <w:tcPr>
            <w:tcW w:w="735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Колич. шт.</w:t>
            </w:r>
          </w:p>
        </w:tc>
        <w:tc>
          <w:tcPr>
            <w:tcW w:w="2023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>
        <w:trPr>
          <w:trHeight w:val="1879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</w:rPr>
              <w:t xml:space="preserve">Ежедневник </w:t>
            </w:r>
            <w:r>
              <w:rPr>
                <w:color w:val="000000"/>
                <w:sz w:val="24"/>
                <w:szCs w:val="24"/>
              </w:rPr>
              <w:t>А5</w:t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Гибкая обложка, материал — искусственная кожа. Цвет обложки соответствует фирменным цветам брендбука. Размер 13х21х1,5 см (±1,5см). Блок без календарной сетки. Кол-во страниц — 200 (±20). Бумага — белая, плотность не менее 70 г/м. Форзац и нахзац — белые. Нанесение — тиснение 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2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Нанесение логотипа, макеты и метод нанесения определяются Поставщиком и предварительно согласовываются с Покупателем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6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Ежедневник А4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499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Недатированный ежедневник. Гибкая обложка, материал — искусственная кожа. Цвет обложки соответствует фирменным цветам брендбука. </w:t>
            </w:r>
          </w:p>
        </w:tc>
        <w:tc>
          <w:tcPr>
            <w:tcW w:w="7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698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Ручка шариковая</w:t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еханизм ручки: нажимной. Стержень с синими чернилами. Возможность замены стержня. Материал: пластик. Цвет корпуса соответствует фирменным цветам брендбука (два цвета). Размер ≈ 14,2х0,9 см. Нанесение логотипа - корпус или клипса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Ручка шариковая </w:t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учка шариковая. Материал: пластик, металл. Механизм нажимной.  Стержень синего цвета. Цвет корпуса соответствует фирменным цветам брендбука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Карандаш простой</w:t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арандаш простой с ластиком, твердо-мягкий грифель (НВ), деревянный, заточенный. 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985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Подарочный деловой набор  </w:t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В составе набора: не менее двух предметов. Упаковка - подарочная коробка прямоугольной формы. Материал коробки -  картон. Нанесение логотипа на крышку коробки и на предметы. Фирменные цвета брендбука 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985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Н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абор подарочный с аккумулятором</w:t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В состав набора входит не менее двух предметов, в том числе аккумулятор — не менее 10 000 мАч, время полного заряда — до 12 ч. Упаковано в коробку. 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907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Ф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утляр для визиток</w:t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атериал — кожа. Футляр: 10,3х7х1 см. Упаковано в коробку: 14,2х11х2,4 см. Нанесение — тиснение на футляр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120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ермобутылка</w:t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орпус - нержавеющая сталь, двойные стенки и вакуумная изоляция. Упаковано в индивидуальную картонную коробку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епка</w:t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Материал — хлопок. Модель с 5 клиньями без лобового шва. Регулируемая застежка. Цвет - соответствует фирменным цветам брендбука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454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етский рюкзак</w:t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Детский рюкзак-мешок для сменной обуви и спортивной формы. Основное отделение затягивается лямками. Дополнительный карман на молнии. Объем — 5 л. Выдерживает вес — не менее 5 кг. Цвет - соответствует фирменным цветам брендбука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815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ождевик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умка поясная для детей и подростков. Материал  - полиэстер/твил.  Основное отделение на молнии. Наружный карман на молнии. Регулируемый ремень из стропы. Застежка - фастекс. Цвет - соответствует фирменным цветам брендбука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257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онт складной в футляре</w:t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омпактный зонт, 5 сложений, 6 спиц, в чехле на молнии. Материал купол - эпонж, 190T; ручка - пластик; футляр - ЭВА; спицы - стеклопластик, алюминий. Цвет синий или оранжевый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009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Ф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утболка</w:t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Футболка унисекс прямого силуэта, хлопок 100%, плотность 140 г/мІ; джерси, круглая горловина выполнена резинкой 1х1, размеры S (5), M (7), L (7), XL (6), XXL (5)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839" w:hRule="atLeast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8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Б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релок с рулеткой</w:t>
            </w:r>
          </w:p>
        </w:tc>
        <w:tc>
          <w:tcPr>
            <w:tcW w:w="4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Материал — пластик. Длина — 1 м. Цвет соответствует фирменным цветам брендбука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2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left" w:pos="426" w:leader="none"/>
        </w:tabs>
        <w:spacing w:before="120" w:after="120"/>
        <w:jc w:val="both"/>
        <w:rPr>
          <w:rStyle w:val="Style14"/>
          <w:b w:val="false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  <w:r>
        <w:br w:type="page"/>
      </w:r>
    </w:p>
    <w:p>
      <w:pPr>
        <w:pStyle w:val="Normal"/>
        <w:jc w:val="right"/>
        <w:rPr>
          <w:i/>
          <w:i/>
          <w:color w:val="000000"/>
          <w:sz w:val="24"/>
        </w:rPr>
      </w:pPr>
      <w:r>
        <w:rPr>
          <w:i/>
          <w:color w:val="000000"/>
          <w:sz w:val="24"/>
        </w:rPr>
        <w:t>Приложение №2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  <w:t xml:space="preserve">Руководство по применению фирменного стиля </w:t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  <w:t>АО «ВНИИГ им. Б.Е. Веденеева»*</w:t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spacing w:before="120" w:after="0"/>
        <w:jc w:val="center"/>
        <w:rPr/>
      </w:pPr>
      <w:r>
        <w:rPr>
          <w:i/>
          <w:color w:val="000000"/>
          <w:sz w:val="24"/>
        </w:rPr>
        <w:t>*Приложение представлено отдельным файлом в формате .pdf</w:t>
      </w:r>
    </w:p>
    <w:sectPr>
      <w:headerReference w:type="default" r:id="rId5"/>
      <w:type w:val="nextPage"/>
      <w:pgSz w:w="11906" w:h="16838"/>
      <w:pgMar w:left="1134" w:right="851" w:header="680" w:top="1134" w:footer="0" w:bottom="992" w:gutter="0"/>
      <w:pgNumType w:fmt="decimal"/>
      <w:formProt w:val="false"/>
      <w:textDirection w:val="lrTb"/>
      <w:docGrid w:type="default" w:linePitch="381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13</w:t>
    </w:r>
    <w: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decimal"/>
      <w:lvlText w:val="%1."/>
      <w:lvlJc w:val="left"/>
      <w:pPr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pStyle w:val="4"/>
      <w:numFmt w:val="decimal"/>
      <w:lvlText w:val="%1.%2."/>
      <w:lvlJc w:val="left"/>
      <w:pPr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pStyle w:val="3"/>
      <w:numFmt w:val="decimal"/>
      <w:lvlText w:val="%1.%2.%3."/>
      <w:lvlJc w:val="left"/>
      <w:pPr>
        <w:ind w:left="1224" w:hanging="504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caption" w:uiPriority="35" w:qFormat="1"/>
    <w:lsdException w:name="footnote reference" w:uiPriority="99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8"/>
      <w:szCs w:val="28"/>
      <w:lang w:val="ru-RU" w:eastAsia="ru-RU" w:bidi="ar-SA"/>
    </w:rPr>
  </w:style>
  <w:style w:type="paragraph" w:styleId="1">
    <w:name w:val="Heading 1"/>
    <w:basedOn w:val="3"/>
    <w:link w:val="12"/>
    <w:qFormat/>
    <w:rsid w:val="00353a27"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link w:val="24"/>
    <w:qFormat/>
    <w:rsid w:val="00ea61a8"/>
    <w:pPr>
      <w:numPr>
        <w:ilvl w:val="0"/>
        <w:numId w:val="0"/>
      </w:numPr>
      <w:outlineLvl w:val="1"/>
    </w:pPr>
    <w:rPr/>
  </w:style>
  <w:style w:type="paragraph" w:styleId="3">
    <w:name w:val="Heading 3"/>
    <w:basedOn w:val="Normal"/>
    <w:link w:val="32"/>
    <w:autoRedefine/>
    <w:qFormat/>
    <w:rsid w:val="00035e96"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link w:val="40"/>
    <w:qFormat/>
    <w:rsid w:val="006629c9"/>
    <w:pPr>
      <w:numPr>
        <w:ilvl w:val="1"/>
        <w:numId w:val="1"/>
      </w:numPr>
      <w:outlineLvl w:val="1"/>
    </w:pPr>
    <w:rPr>
      <w:bCs/>
    </w:rPr>
  </w:style>
  <w:style w:type="paragraph" w:styleId="5">
    <w:name w:val="Heading 5"/>
    <w:basedOn w:val="Normal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link w:val="60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Normal"/>
    <w:link w:val="70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Normal"/>
    <w:link w:val="80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Normal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uiPriority w:val="99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Style5">
    <w:name w:val="Интернет-ссылка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1" w:customStyle="1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1" w:customStyle="1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1" w:customStyle="1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1" w:customStyle="1">
    <w:name w:val="Заголовок 2 Знак"/>
    <w:link w:val="23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1" w:customStyle="1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1" w:customStyle="1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1" w:customStyle="1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styleId="91" w:customStyle="1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6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7" w:customStyle="1">
    <w:name w:val="Подзаголовок Знак"/>
    <w:link w:val="aff2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8">
    <w:name w:val="Выделение"/>
    <w:uiPriority w:val="20"/>
    <w:qFormat/>
    <w:rsid w:val="00d22f6d"/>
    <w:rPr>
      <w:i/>
      <w:iCs/>
    </w:rPr>
  </w:style>
  <w:style w:type="character" w:styleId="22" w:customStyle="1">
    <w:name w:val="Цитата 2 Знак"/>
    <w:link w:val="2c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9" w:customStyle="1">
    <w:name w:val="Выделенная цитата Знак"/>
    <w:link w:val="aff7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10" w:customStyle="1">
    <w:name w:val="Электронная подпись Знак"/>
    <w:link w:val="afff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af4"/>
    <w:qFormat/>
    <w:locked/>
    <w:rsid w:val="00d22f6d"/>
    <w:rPr>
      <w:sz w:val="28"/>
    </w:rPr>
  </w:style>
  <w:style w:type="character" w:styleId="Style11" w:customStyle="1">
    <w:name w:val="Текст сноски Знак"/>
    <w:link w:val="a8"/>
    <w:uiPriority w:val="99"/>
    <w:qFormat/>
    <w:rsid w:val="00d22f6d"/>
    <w:rPr/>
  </w:style>
  <w:style w:type="character" w:styleId="Style12" w:customStyle="1">
    <w:name w:val="Основной текст Знак"/>
    <w:link w:val="af1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3" w:customStyle="1">
    <w:name w:val="Абзац списка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styleId="Style14" w:customStyle="1">
    <w:name w:val="комментарий"/>
    <w:qFormat/>
    <w:rsid w:val="0025139e"/>
    <w:rPr>
      <w:i/>
      <w:shd w:fill="FFFF99" w:val="clear"/>
    </w:rPr>
  </w:style>
  <w:style w:type="character" w:styleId="Style15" w:customStyle="1">
    <w:name w:val="Подподпункт Знак"/>
    <w:link w:val="afff7"/>
    <w:qFormat/>
    <w:locked/>
    <w:rsid w:val="0025139e"/>
    <w:rPr>
      <w:sz w:val="26"/>
      <w:szCs w:val="26"/>
    </w:rPr>
  </w:style>
  <w:style w:type="character" w:styleId="32" w:customStyle="1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styleId="Style16" w:customStyle="1">
    <w:name w:val="Верхний колонтитул Знак"/>
    <w:link w:val="ac"/>
    <w:uiPriority w:val="99"/>
    <w:qFormat/>
    <w:rsid w:val="002f31af"/>
    <w:rPr>
      <w:sz w:val="24"/>
      <w:szCs w:val="24"/>
    </w:rPr>
  </w:style>
  <w:style w:type="character" w:styleId="Style17" w:customStyle="1">
    <w:name w:val="Текст примечания Знак"/>
    <w:link w:val="afb"/>
    <w:semiHidden/>
    <w:qFormat/>
    <w:rsid w:val="00dc0f7d"/>
    <w:rPr/>
  </w:style>
  <w:style w:type="character" w:styleId="Style18" w:customStyle="1">
    <w:name w:val="Текст концевой сноски Знак"/>
    <w:basedOn w:val="DefaultParagraphFont"/>
    <w:link w:val="afff9"/>
    <w:qFormat/>
    <w:rsid w:val="003879d4"/>
    <w:rPr/>
  </w:style>
  <w:style w:type="character" w:styleId="Endnotereference">
    <w:name w:val="endnote reference"/>
    <w:basedOn w:val="DefaultParagraphFont"/>
    <w:qFormat/>
    <w:rsid w:val="003879d4"/>
    <w:rPr>
      <w:vertAlign w:val="superscript"/>
    </w:rPr>
  </w:style>
  <w:style w:type="character" w:styleId="23" w:customStyle="1">
    <w:name w:val="Пункт2 Знак"/>
    <w:link w:val="28"/>
    <w:qFormat/>
    <w:rsid w:val="00de52bc"/>
    <w:rPr>
      <w:b/>
      <w:sz w:val="28"/>
    </w:rPr>
  </w:style>
  <w:style w:type="character" w:styleId="13" w:customStyle="1">
    <w:name w:val="УРОВЕНЬ_1. Знак"/>
    <w:link w:val="1a"/>
    <w:qFormat/>
    <w:rsid w:val="004a17ae"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3" w:customStyle="1">
    <w:name w:val="Основной текст с отступом 3 Знак"/>
    <w:link w:val="35"/>
    <w:qFormat/>
    <w:rsid w:val="00c36f30"/>
    <w:rPr>
      <w:sz w:val="16"/>
      <w:szCs w:val="16"/>
    </w:rPr>
  </w:style>
  <w:style w:type="character" w:styleId="Style19" w:customStyle="1">
    <w:name w:val="Основной текст_"/>
    <w:basedOn w:val="DefaultParagraphFont"/>
    <w:link w:val="2e"/>
    <w:qFormat/>
    <w:locked/>
    <w:rsid w:val="0014738e"/>
    <w:rPr>
      <w:spacing w:val="6"/>
      <w:shd w:fill="FFFFFF" w:val="clear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3">
    <w:name w:val="ListLabel 3"/>
    <w:qFormat/>
    <w:rPr>
      <w:b/>
      <w:bCs/>
      <w:i w:val="false"/>
      <w:iCs/>
      <w:sz w:val="24"/>
      <w:szCs w:val="24"/>
    </w:rPr>
  </w:style>
  <w:style w:type="character" w:styleId="ListLabel4">
    <w:name w:val="ListLabel 4"/>
    <w:qFormat/>
    <w:rPr>
      <w:sz w:val="28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b/>
      <w:bCs w:val="false"/>
      <w:sz w:val="24"/>
      <w:szCs w:val="24"/>
    </w:rPr>
  </w:style>
  <w:style w:type="character" w:styleId="ListLabel7">
    <w:name w:val="ListLabel 7"/>
    <w:qFormat/>
    <w:rPr>
      <w:b w:val="false"/>
      <w:bCs/>
      <w:sz w:val="24"/>
      <w:szCs w:val="24"/>
    </w:rPr>
  </w:style>
  <w:style w:type="character" w:styleId="ListLabel8">
    <w:name w:val="ListLabel 8"/>
    <w:qFormat/>
    <w:rPr>
      <w:sz w:val="24"/>
      <w:szCs w:val="24"/>
    </w:rPr>
  </w:style>
  <w:style w:type="character" w:styleId="ListLabel9">
    <w:name w:val="ListLabel 9"/>
    <w:qFormat/>
    <w:rPr>
      <w:b w:val="false"/>
      <w:bCs w:val="false"/>
    </w:rPr>
  </w:style>
  <w:style w:type="character" w:styleId="Style20">
    <w:name w:val="Ссылка указателя"/>
    <w:qFormat/>
    <w:rPr/>
  </w:style>
  <w:style w:type="character" w:styleId="ListLabel10">
    <w:name w:val="ListLabel 10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1">
    <w:name w:val="ListLabel 11"/>
    <w:qFormat/>
    <w:rPr>
      <w:b/>
      <w:bCs/>
      <w:i w:val="false"/>
      <w:iCs/>
      <w:sz w:val="24"/>
      <w:szCs w:val="24"/>
    </w:rPr>
  </w:style>
  <w:style w:type="character" w:styleId="ListLabel12">
    <w:name w:val="ListLabel 12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3">
    <w:name w:val="ListLabel 13"/>
    <w:qFormat/>
    <w:rPr>
      <w:b/>
      <w:bCs/>
      <w:i w:val="false"/>
      <w:iCs/>
      <w:sz w:val="24"/>
      <w:szCs w:val="24"/>
    </w:rPr>
  </w:style>
  <w:style w:type="character" w:styleId="ListLabel14">
    <w:name w:val="ListLabel 14"/>
    <w:qFormat/>
    <w:rPr>
      <w:b/>
      <w:bCs w:val="false"/>
      <w:sz w:val="24"/>
      <w:szCs w:val="24"/>
    </w:rPr>
  </w:style>
  <w:style w:type="character" w:styleId="ListLabel15">
    <w:name w:val="ListLabel 15"/>
    <w:qFormat/>
    <w:rPr>
      <w:b w:val="false"/>
      <w:bCs/>
      <w:sz w:val="24"/>
      <w:szCs w:val="24"/>
    </w:rPr>
  </w:style>
  <w:style w:type="character" w:styleId="ListLabel16">
    <w:name w:val="ListLabel 16"/>
    <w:qFormat/>
    <w:rPr>
      <w:sz w:val="24"/>
      <w:szCs w:val="24"/>
    </w:rPr>
  </w:style>
  <w:style w:type="character" w:styleId="ListLabel17">
    <w:name w:val="ListLabel 17"/>
    <w:qFormat/>
    <w:rPr>
      <w:b w:val="false"/>
      <w:bCs w:val="false"/>
    </w:rPr>
  </w:style>
  <w:style w:type="character" w:styleId="ListLabel18">
    <w:name w:val="ListLabel 18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9">
    <w:name w:val="ListLabel 19"/>
    <w:qFormat/>
    <w:rPr>
      <w:b/>
      <w:bCs/>
      <w:i w:val="false"/>
      <w:iCs/>
      <w:sz w:val="24"/>
      <w:szCs w:val="24"/>
    </w:rPr>
  </w:style>
  <w:style w:type="character" w:styleId="ListLabel20">
    <w:name w:val="ListLabel 20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21">
    <w:name w:val="ListLabel 21"/>
    <w:qFormat/>
    <w:rPr>
      <w:b/>
      <w:bCs/>
      <w:i w:val="false"/>
      <w:iCs/>
      <w:sz w:val="24"/>
      <w:szCs w:val="24"/>
    </w:rPr>
  </w:style>
  <w:style w:type="character" w:styleId="ListLabel22">
    <w:name w:val="ListLabel 22"/>
    <w:qFormat/>
    <w:rPr>
      <w:b/>
      <w:bCs w:val="false"/>
      <w:sz w:val="24"/>
      <w:szCs w:val="24"/>
    </w:rPr>
  </w:style>
  <w:style w:type="character" w:styleId="ListLabel23">
    <w:name w:val="ListLabel 23"/>
    <w:qFormat/>
    <w:rPr>
      <w:b w:val="false"/>
      <w:bCs/>
      <w:sz w:val="24"/>
      <w:szCs w:val="24"/>
    </w:rPr>
  </w:style>
  <w:style w:type="character" w:styleId="ListLabel24">
    <w:name w:val="ListLabel 24"/>
    <w:qFormat/>
    <w:rPr>
      <w:sz w:val="24"/>
      <w:szCs w:val="24"/>
    </w:rPr>
  </w:style>
  <w:style w:type="character" w:styleId="ListLabel25">
    <w:name w:val="ListLabel 25"/>
    <w:qFormat/>
    <w:rPr>
      <w:b w:val="false"/>
      <w:bCs w:val="false"/>
    </w:rPr>
  </w:style>
  <w:style w:type="character" w:styleId="ListLabel26">
    <w:name w:val="ListLabel 26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27">
    <w:name w:val="ListLabel 27"/>
    <w:qFormat/>
    <w:rPr>
      <w:b/>
      <w:bCs/>
      <w:i w:val="false"/>
      <w:iCs/>
      <w:sz w:val="24"/>
      <w:szCs w:val="24"/>
    </w:rPr>
  </w:style>
  <w:style w:type="character" w:styleId="ListLabel28">
    <w:name w:val="ListLabel 28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29">
    <w:name w:val="ListLabel 29"/>
    <w:qFormat/>
    <w:rPr>
      <w:b/>
      <w:bCs/>
      <w:i w:val="false"/>
      <w:iCs/>
      <w:sz w:val="24"/>
      <w:szCs w:val="24"/>
    </w:rPr>
  </w:style>
  <w:style w:type="character" w:styleId="ListLabel30">
    <w:name w:val="ListLabel 30"/>
    <w:qFormat/>
    <w:rPr>
      <w:b/>
      <w:bCs w:val="false"/>
      <w:sz w:val="24"/>
      <w:szCs w:val="24"/>
    </w:rPr>
  </w:style>
  <w:style w:type="character" w:styleId="ListLabel31">
    <w:name w:val="ListLabel 31"/>
    <w:qFormat/>
    <w:rPr>
      <w:b w:val="false"/>
      <w:bCs/>
      <w:sz w:val="24"/>
      <w:szCs w:val="24"/>
    </w:rPr>
  </w:style>
  <w:style w:type="character" w:styleId="ListLabel32">
    <w:name w:val="ListLabel 32"/>
    <w:qFormat/>
    <w:rPr>
      <w:sz w:val="24"/>
      <w:szCs w:val="24"/>
    </w:rPr>
  </w:style>
  <w:style w:type="character" w:styleId="ListLabel33">
    <w:name w:val="ListLabel 33"/>
    <w:qFormat/>
    <w:rPr>
      <w:b w:val="false"/>
      <w:bCs w:val="fals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22">
    <w:name w:val="Body Text"/>
    <w:basedOn w:val="Normal"/>
    <w:link w:val="af2"/>
    <w:rsid w:val="0076353a"/>
    <w:pPr>
      <w:spacing w:before="0" w:after="120"/>
    </w:pPr>
    <w:rPr/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Style2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7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8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link w:val="a9"/>
    <w:uiPriority w:val="99"/>
    <w:qFormat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9">
    <w:name w:val="Header"/>
    <w:basedOn w:val="Normal"/>
    <w:link w:val="ad"/>
    <w:rsid w:val="0076353a"/>
    <w:pPr>
      <w:tabs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0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Style31">
    <w:name w:val="Footer"/>
    <w:basedOn w:val="Normal"/>
    <w:rsid w:val="0076353a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6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2" w:customStyle="1">
    <w:name w:val="Подпункт"/>
    <w:basedOn w:val="Normal"/>
    <w:link w:val="15"/>
    <w:qFormat/>
    <w:rsid w:val="0076353a"/>
    <w:pPr>
      <w:tabs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9"/>
    <w:qFormat/>
    <w:rsid w:val="0076353a"/>
    <w:pPr>
      <w:keepNext w:val="true"/>
      <w:tabs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Normal"/>
    <w:autoRedefine/>
    <w:uiPriority w:val="39"/>
    <w:rsid w:val="00020054"/>
    <w:pPr>
      <w:tabs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5">
    <w:name w:val="TOC 3"/>
    <w:basedOn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33" w:customStyle="1">
    <w:name w:val="Раздел регламента"/>
    <w:basedOn w:val="Normal"/>
    <w:qFormat/>
    <w:rsid w:val="00e228fa"/>
    <w:pPr/>
    <w:rPr/>
  </w:style>
  <w:style w:type="paragraph" w:styleId="Style3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26">
    <w:name w:val="TOC 2"/>
    <w:basedOn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afc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">
    <w:name w:val="caption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tyle36">
    <w:name w:val="Subtitle"/>
    <w:basedOn w:val="Normal"/>
    <w:link w:val="aff3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aff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link w:val="2d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TOCHeading">
    <w:name w:val="TOC Heading"/>
    <w:basedOn w:val="1"/>
    <w:uiPriority w:val="39"/>
    <w:qFormat/>
    <w:rsid w:val="00d22f6d"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link w:val="afff0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6" w:customStyle="1">
    <w:name w:val="Нумерованный список ур3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jc w:val="left"/>
    </w:pPr>
    <w:rPr>
      <w:rFonts w:ascii="Times New Roman" w:hAnsi="Times New Roman" w:eastAsia="Calibri" w:cs="Times New Roman"/>
      <w:color w:val="00000A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ind w:firstLine="720"/>
      <w:jc w:val="left"/>
    </w:pPr>
    <w:rPr>
      <w:rFonts w:ascii="Arial" w:hAnsi="Arial" w:eastAsia="Times New Roman" w:cs="Arial"/>
      <w:color w:val="00000A"/>
      <w:sz w:val="28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8" w:customStyle="1">
    <w:name w:val="Пункт"/>
    <w:basedOn w:val="Normal"/>
    <w:qFormat/>
    <w:rsid w:val="00d22f6d"/>
    <w:pPr>
      <w:widowControl w:val="false"/>
      <w:tabs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1" w:customStyle="1">
    <w:name w:val="Подподпункт"/>
    <w:basedOn w:val="Style32"/>
    <w:link w:val="afff8"/>
    <w:qFormat/>
    <w:rsid w:val="0025139e"/>
    <w:pPr>
      <w:tabs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2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43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9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44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1"/>
    <w:qFormat/>
    <w:rsid w:val="005773b2"/>
    <w:pPr>
      <w:keepLines/>
      <w:numPr>
        <w:ilvl w:val="0"/>
        <w:numId w:val="0"/>
      </w:numPr>
      <w:tabs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link w:val="afffa"/>
    <w:qFormat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suppressAutoHyphens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4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1" w:customStyle="1">
    <w:name w:val="УРОВЕНЬ_1."/>
    <w:basedOn w:val="ListParagraph"/>
    <w:link w:val="1b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11" w:customStyle="1">
    <w:name w:val="Основной текст2"/>
    <w:basedOn w:val="Normal"/>
    <w:link w:val="afffe"/>
    <w:qFormat/>
    <w:rsid w:val="0014738e"/>
    <w:pPr>
      <w:widowControl w:val="false"/>
      <w:shd w:val="clear" w:color="auto" w:fill="FFFFFF"/>
      <w:spacing w:lineRule="auto" w:line="240" w:before="60" w:after="420"/>
      <w:ind w:hanging="300"/>
      <w:jc w:val="both"/>
    </w:pPr>
    <w:rPr>
      <w:spacing w:val="6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12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0FC95-84DB-40DB-BF23-94288303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LibreOffice/5.3.6.1$Linux_X86_64 LibreOffice_project/30$Build-1</Application>
  <Pages>13</Pages>
  <Words>1339</Words>
  <Characters>8637</Characters>
  <CharactersWithSpaces>9749</CharactersWithSpaces>
  <Paragraphs>260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2024-08-23T06:25:00Z</dcterms:created>
  <dc:creator>Быстров Олег Геннадьевич</dc:creator>
  <dc:description/>
  <dc:language>ru-RU</dc:language>
  <cp:lastModifiedBy/>
  <cp:lastPrinted>2023-08-07T10:06:00Z</cp:lastPrinted>
  <dcterms:modified xsi:type="dcterms:W3CDTF">2026-09-03T14:05:49Z</dcterms:modified>
  <cp:revision>14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