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header6.xml" ContentType="application/vnd.openxmlformats-officedocument.wordprocessingml.header+xml"/>
  <Override PartName="/word/theme/theme1.xml" ContentType="application/vnd.openxmlformats-officedocument.theme+xml"/>
  <Override PartName="/word/header7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header8.xml" ContentType="application/vnd.openxmlformats-officedocument.wordprocessingml.header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ffff8"/>
        <w:tblW w:w="99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955"/>
        <w:gridCol w:w="4955"/>
      </w:tblGrid>
      <w:tr>
        <w:trPr/>
        <w:tc>
          <w:tcPr>
            <w:tcW w:w="49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keepNext w:val="true"/>
              <w:keepLines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«ПОДГОТОВИЛ»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Технический куратор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Ведущий специалист отдела материально-технического снабжения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before="0" w:after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______________/ </w:t>
            </w: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Багрянцев Е.Э.</w:t>
            </w:r>
          </w:p>
        </w:tc>
        <w:tc>
          <w:tcPr>
            <w:tcW w:w="49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keepNext w:val="true"/>
              <w:keepLines/>
              <w:widowControl w:val="false"/>
              <w:suppressAutoHyphens w:val="true"/>
              <w:spacing w:before="0" w:after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«УТВЕРЖДАЮ»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before="0" w:after="0"/>
              <w:jc w:val="righ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Инициатор договора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before="0" w:after="0"/>
              <w:jc w:val="righ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Начальник отдела материально-технического снабжения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before="0" w:after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before="0" w:after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______________/ </w:t>
            </w: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Антонов П.Е.</w:t>
            </w:r>
          </w:p>
        </w:tc>
      </w:tr>
    </w:tbl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</w:rPr>
      </w:pPr>
      <w:r>
        <w:rPr>
          <w:rFonts w:eastAsia="Calibri"/>
          <w:b/>
        </w:rPr>
        <w:t>Технические требования на поставку МТР</w:t>
      </w:r>
    </w:p>
    <w:p>
      <w:pPr>
        <w:pStyle w:val="Normal"/>
        <w:keepNext w:val="true"/>
        <w:keepLines/>
        <w:jc w:val="center"/>
        <w:rPr>
          <w:rFonts w:eastAsia="Calibri"/>
          <w:b/>
        </w:rPr>
      </w:pPr>
      <w:r>
        <w:rPr>
          <w:rFonts w:eastAsia="Calibri"/>
          <w:b/>
        </w:rPr>
      </w:r>
    </w:p>
    <w:p>
      <w:pPr>
        <w:pStyle w:val="Normal"/>
        <w:keepNext w:val="true"/>
        <w:keepLines/>
        <w:jc w:val="center"/>
        <w:rPr>
          <w:rFonts w:eastAsia="Calibri"/>
          <w:b/>
        </w:rPr>
      </w:pPr>
      <w:r>
        <w:rPr>
          <w:rFonts w:eastAsia="Calibri"/>
          <w:b/>
        </w:rPr>
      </w:r>
    </w:p>
    <w:p>
      <w:pPr>
        <w:pStyle w:val="Normal"/>
        <w:keepNext w:val="true"/>
        <w:keepLines/>
        <w:jc w:val="center"/>
        <w:rPr>
          <w:rFonts w:eastAsia="Calibri"/>
          <w:b/>
        </w:rPr>
      </w:pPr>
      <w:r>
        <w:rPr>
          <w:rFonts w:eastAsia="Calibri"/>
          <w:b/>
        </w:rPr>
        <w:t>ОКПД2 25.11.10.000 Поставка блок-контейнеров (бытовок) для нужд АО «СК РусГидро»</w:t>
      </w:r>
    </w:p>
    <w:p>
      <w:pPr>
        <w:pStyle w:val="Normal"/>
        <w:keepNext w:val="true"/>
        <w:keepLines/>
        <w:jc w:val="center"/>
        <w:rPr>
          <w:rFonts w:eastAsia="Calibri"/>
          <w:b/>
        </w:rPr>
      </w:pPr>
      <w:r>
        <w:rPr>
          <w:rFonts w:eastAsia="Calibri"/>
          <w:b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  <w:t>Лот №___________________________</w:t>
      </w:r>
    </w:p>
    <w:p>
      <w:pPr>
        <w:pStyle w:val="Normal"/>
        <w:keepNext w:val="true"/>
        <w:keepLines/>
        <w:jc w:val="center"/>
        <w:rPr>
          <w:sz w:val="32"/>
        </w:rPr>
      </w:pPr>
      <w:r>
        <w:rPr>
          <w:sz w:val="32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</w:r>
    </w:p>
    <w:p>
      <w:pPr>
        <w:pStyle w:val="Normal"/>
        <w:keepNext w:val="true"/>
        <w:keepLines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sectPr>
          <w:headerReference w:type="default" r:id="rId2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8"/>
        </w:numPr>
        <w:ind w:firstLine="709" w:left="0"/>
        <w:jc w:val="center"/>
        <w:rPr>
          <w:b/>
          <w:bCs/>
          <w:caps/>
          <w:sz w:val="28"/>
        </w:rPr>
      </w:pPr>
      <w:bookmarkStart w:id="0" w:name="_Toc75446566"/>
      <w:bookmarkStart w:id="1" w:name="_Toc51339692"/>
      <w:r>
        <w:rPr>
          <w:b/>
          <w:bCs/>
          <w:sz w:val="28"/>
        </w:rPr>
        <w:t>Общие сведения</w:t>
      </w:r>
      <w:bookmarkEnd w:id="0"/>
      <w:bookmarkEnd w:id="1"/>
    </w:p>
    <w:p>
      <w:pPr>
        <w:pStyle w:val="ListParagraph"/>
        <w:numPr>
          <w:ilvl w:val="1"/>
          <w:numId w:val="8"/>
        </w:numPr>
        <w:ind w:firstLine="425" w:left="0"/>
        <w:rPr>
          <w:b/>
          <w:bCs/>
        </w:rPr>
      </w:pPr>
      <w:bookmarkStart w:id="2" w:name="_Toc75446568"/>
      <w:bookmarkStart w:id="3" w:name="_Toc46743506"/>
      <w:r>
        <w:rPr>
          <w:b/>
          <w:bCs/>
        </w:rPr>
        <w:t>Наименование закупаемой продукции</w:t>
      </w:r>
      <w:bookmarkEnd w:id="2"/>
      <w:bookmarkEnd w:id="3"/>
    </w:p>
    <w:p>
      <w:pPr>
        <w:pStyle w:val="Normal"/>
        <w:widowControl w:val="false"/>
        <w:tabs>
          <w:tab w:val="clear" w:pos="708"/>
          <w:tab w:val="left" w:pos="426" w:leader="none"/>
        </w:tabs>
        <w:ind w:firstLine="425"/>
        <w:jc w:val="both"/>
        <w:rPr>
          <w:rFonts w:eastAsia="Calibri"/>
          <w:iCs/>
          <w:sz w:val="24"/>
          <w:szCs w:val="24"/>
          <w:lang w:eastAsia="x-none"/>
        </w:rPr>
      </w:pPr>
      <w:r>
        <w:rPr>
          <w:rFonts w:eastAsia="Calibri"/>
          <w:iCs/>
          <w:sz w:val="24"/>
          <w:szCs w:val="24"/>
          <w:lang w:eastAsia="x-none"/>
        </w:rPr>
        <w:t>ОКПД2 25.11.10.000 Поставка блок-контейнеров (бытовок) для нужд АО «СК РусГидро»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ind w:firstLine="425"/>
        <w:jc w:val="both"/>
        <w:rPr>
          <w:rFonts w:eastAsia="Calibri"/>
          <w:iCs/>
          <w:sz w:val="24"/>
          <w:szCs w:val="24"/>
          <w:lang w:eastAsia="x-none"/>
        </w:rPr>
      </w:pPr>
      <w:r>
        <w:rPr>
          <w:rFonts w:eastAsia="Calibri"/>
          <w:iCs/>
          <w:sz w:val="24"/>
          <w:szCs w:val="24"/>
          <w:lang w:eastAsia="x-none"/>
        </w:rPr>
      </w:r>
    </w:p>
    <w:p>
      <w:pPr>
        <w:pStyle w:val="ListParagraph"/>
        <w:numPr>
          <w:ilvl w:val="1"/>
          <w:numId w:val="8"/>
        </w:numPr>
        <w:ind w:firstLine="425" w:left="0"/>
        <w:jc w:val="both"/>
        <w:rPr>
          <w:b/>
          <w:i/>
          <w:i/>
          <w:shd w:fill="FFFF99" w:val="clear"/>
        </w:rPr>
      </w:pPr>
      <w:bookmarkStart w:id="4" w:name="_Toc75446569"/>
      <w:bookmarkStart w:id="5" w:name="_Toc46743507"/>
      <w:r>
        <w:rPr>
          <w:b/>
        </w:rPr>
        <w:t xml:space="preserve">Цель </w:t>
      </w:r>
      <w:bookmarkEnd w:id="5"/>
      <w:r>
        <w:rPr>
          <w:b/>
        </w:rPr>
        <w:t xml:space="preserve">использования закупаемой продукции </w:t>
      </w:r>
      <w:bookmarkEnd w:id="4"/>
    </w:p>
    <w:p>
      <w:pPr>
        <w:pStyle w:val="ListParagraph"/>
        <w:spacing w:before="0" w:after="0"/>
        <w:ind w:firstLine="709" w:left="0"/>
        <w:contextualSpacing w:val="false"/>
        <w:jc w:val="both"/>
        <w:rPr/>
      </w:pPr>
      <w:r>
        <w:rPr/>
        <w:t>Размещение эксплуатационного и инженерно-технического персонала АО «СК РусГидро» на обслуживаемых объектах СП и филиалов ПАО «РусГидро».</w:t>
      </w:r>
    </w:p>
    <w:p>
      <w:pPr>
        <w:pStyle w:val="ListParagraph"/>
        <w:widowControl w:val="false"/>
        <w:tabs>
          <w:tab w:val="clear" w:pos="708"/>
          <w:tab w:val="left" w:pos="426" w:leader="none"/>
        </w:tabs>
        <w:ind w:firstLine="425" w:left="0"/>
        <w:jc w:val="both"/>
        <w:rPr>
          <w:rStyle w:val="Style8"/>
          <w:b w:val="false"/>
          <w:i w:val="false"/>
          <w:i w:val="false"/>
          <w:shd w:fill="auto" w:val="clear"/>
          <w:lang w:eastAsia="x-none"/>
        </w:rPr>
      </w:pPr>
      <w:r>
        <w:rPr>
          <w:b w:val="false"/>
          <w:i w:val="false"/>
          <w:shd w:fill="auto" w:val="clear"/>
          <w:lang w:eastAsia="x-none"/>
        </w:rPr>
      </w:r>
    </w:p>
    <w:p>
      <w:pPr>
        <w:pStyle w:val="ListParagraph"/>
        <w:numPr>
          <w:ilvl w:val="1"/>
          <w:numId w:val="8"/>
        </w:numPr>
        <w:ind w:firstLine="425" w:left="0"/>
        <w:jc w:val="both"/>
        <w:rPr>
          <w:b/>
          <w:i/>
          <w:i/>
          <w:shd w:fill="FFFF99" w:val="clear"/>
        </w:rPr>
      </w:pPr>
      <w:bookmarkStart w:id="6" w:name="_Toc75446570"/>
      <w:bookmarkStart w:id="7" w:name="_Toc46743508"/>
      <w:r>
        <w:rPr>
          <w:b/>
        </w:rPr>
        <w:t>Существующее положение</w:t>
      </w:r>
      <w:bookmarkEnd w:id="7"/>
      <w:r>
        <w:rPr>
          <w:b/>
        </w:rPr>
        <w:t xml:space="preserve"> </w:t>
      </w:r>
      <w:bookmarkEnd w:id="6"/>
    </w:p>
    <w:p>
      <w:pPr>
        <w:pStyle w:val="ListParagraph"/>
        <w:ind w:firstLine="425" w:left="0"/>
        <w:jc w:val="both"/>
        <w:rPr/>
      </w:pPr>
      <w:r>
        <w:rPr>
          <w:lang w:eastAsia="x-none"/>
        </w:rPr>
        <w:t>1.3.1. Место поставки товара:</w:t>
      </w:r>
    </w:p>
    <w:p>
      <w:pPr>
        <w:pStyle w:val="Normal"/>
        <w:spacing w:lineRule="auto" w:line="30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Филиал ПАО «РусГидро» - «Нижегородская ГЭС» 606520, Нижегородская область, г. Заволжье, ул. Привокзальная, д.14;</w:t>
      </w:r>
    </w:p>
    <w:p>
      <w:pPr>
        <w:pStyle w:val="Normal"/>
        <w:spacing w:lineRule="auto" w:line="30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/>
        <w:t xml:space="preserve"> </w:t>
      </w:r>
      <w:r>
        <w:rPr>
          <w:sz w:val="24"/>
          <w:szCs w:val="24"/>
        </w:rPr>
        <w:t>Филиал ПАО «РусГидро» - «Северо-Осетинский филиал» - 362049, Республика Северная Осетия — Алания, г. Владикавказ, ул. Васо Абаева, д. 63;</w:t>
      </w:r>
    </w:p>
    <w:p>
      <w:pPr>
        <w:pStyle w:val="Normal"/>
        <w:spacing w:lineRule="auto" w:line="300"/>
        <w:ind w:firstLine="709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- </w:t>
      </w:r>
      <w:bookmarkStart w:id="8" w:name="_Hlk202888911"/>
      <w:r>
        <w:rPr>
          <w:sz w:val="24"/>
          <w:szCs w:val="24"/>
        </w:rPr>
        <w:t>«Башенная ГЭС» Чеченская Республика, м р-н Итум-Калинский, с.п. Гучум-Калинское, село Гучум-Кали, ул. им. М.Х. Гучиева, зд. 72</w:t>
      </w:r>
      <w:bookmarkEnd w:id="8"/>
      <w:r>
        <w:rPr>
          <w:sz w:val="24"/>
          <w:szCs w:val="24"/>
          <w:lang w:val="en-US"/>
        </w:rPr>
        <w:t>.</w:t>
      </w:r>
    </w:p>
    <w:p>
      <w:pPr>
        <w:pStyle w:val="ListParagraph"/>
        <w:ind w:firstLine="425" w:left="0"/>
        <w:jc w:val="both"/>
        <w:rPr>
          <w:lang w:eastAsia="x-none"/>
        </w:rPr>
      </w:pPr>
      <w:r>
        <w:rPr>
          <w:lang w:eastAsia="x-none"/>
        </w:rPr>
        <w:t>1.3.2. Адрес поставки указывается в заявке Заказчика.</w:t>
      </w:r>
    </w:p>
    <w:p>
      <w:pPr>
        <w:pStyle w:val="ListParagraph"/>
        <w:ind w:firstLine="425" w:left="0"/>
        <w:jc w:val="both"/>
        <w:rPr>
          <w:lang w:eastAsia="x-none"/>
        </w:rPr>
      </w:pPr>
      <w:r>
        <w:rPr>
          <w:lang w:eastAsia="x-none"/>
        </w:rPr>
        <w:t>1.3.3. Условия поставки товара:</w:t>
      </w:r>
    </w:p>
    <w:p>
      <w:pPr>
        <w:pStyle w:val="ListParagraph"/>
        <w:ind w:firstLine="425" w:left="0"/>
        <w:jc w:val="both"/>
        <w:rPr>
          <w:lang w:eastAsia="x-none"/>
        </w:rPr>
      </w:pPr>
      <w:r>
        <w:rPr>
          <w:lang w:eastAsia="x-none"/>
        </w:rPr>
        <w:t xml:space="preserve"> </w:t>
      </w:r>
      <w:r>
        <w:rPr>
          <w:lang w:eastAsia="x-none"/>
        </w:rPr>
        <w:t>Поставка товара осуществляется в рабочие дни с 9:00 до 17:00, перерыв на обед с 12:00 до 13:00, по предварительной согласованности с Заказчиком любым, оговоренным между сторонами способом (телефонная, электронная связь), не менее чем за 1 (один) рабочий день до дня поставки товара. Погрузка, разгрузка, перенос товара, подъем на этаж, осуществляются силами Поставщика.</w:t>
      </w:r>
    </w:p>
    <w:p>
      <w:pPr>
        <w:pStyle w:val="ListParagraph"/>
        <w:ind w:firstLine="425" w:left="0"/>
        <w:jc w:val="both"/>
        <w:rPr>
          <w:b/>
          <w:i/>
          <w:i/>
          <w:shd w:fill="FFFF99" w:val="clear"/>
        </w:rPr>
      </w:pPr>
      <w:r>
        <w:rPr>
          <w:b/>
          <w:i/>
          <w:shd w:fill="FFFF99" w:val="clear"/>
        </w:rPr>
      </w:r>
    </w:p>
    <w:p>
      <w:pPr>
        <w:pStyle w:val="ListParagraph"/>
        <w:ind w:firstLine="425" w:left="0"/>
        <w:jc w:val="both"/>
        <w:rPr>
          <w:b/>
          <w:i/>
          <w:i/>
          <w:shd w:fill="FFFF99" w:val="clear"/>
        </w:rPr>
      </w:pPr>
      <w:r>
        <w:rPr>
          <w:b/>
          <w:bCs/>
          <w:lang w:eastAsia="x-none"/>
        </w:rPr>
        <w:t xml:space="preserve">1.4. </w:t>
      </w:r>
      <w:bookmarkStart w:id="9" w:name="_Toc170454509"/>
      <w:r>
        <w:rPr>
          <w:b/>
          <w:bCs/>
          <w:lang w:eastAsia="x-none"/>
        </w:rPr>
        <w:t>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 этапе исполнения договора)</w:t>
      </w:r>
      <w:bookmarkEnd w:id="9"/>
    </w:p>
    <w:p>
      <w:pPr>
        <w:pStyle w:val="ListParagraph"/>
        <w:ind w:firstLine="425" w:left="0"/>
        <w:jc w:val="both"/>
        <w:rPr>
          <w:b/>
          <w:i/>
          <w:i/>
          <w:shd w:fill="FFFF99" w:val="clear"/>
        </w:rPr>
      </w:pPr>
      <w:r>
        <w:rPr>
          <w:color w:val="000000"/>
        </w:rPr>
        <w:t xml:space="preserve">1.4.1. Поставка осуществляется </w:t>
      </w:r>
      <w:r>
        <w:rPr>
          <w:lang w:eastAsia="x-none"/>
        </w:rPr>
        <w:t>в соответствии с заявкой Заказчика в течение всего срока действия договора. Форма заявки – по форме приложения № 2 к Проекту договора (Приложение №2 к Мониторингу цен).</w:t>
      </w:r>
    </w:p>
    <w:p>
      <w:pPr>
        <w:pStyle w:val="ListParagraph"/>
        <w:ind w:firstLine="425" w:left="0"/>
        <w:jc w:val="both"/>
        <w:rPr>
          <w:b/>
          <w:i/>
          <w:i/>
          <w:shd w:fill="FFFF99" w:val="clear"/>
        </w:rPr>
      </w:pPr>
      <w:r>
        <w:rPr>
          <w:color w:val="000000"/>
        </w:rPr>
        <w:t>1.4.2. Поставка и разгрузка Товара осуществляются Поставщиком своими силами и за свой счет до места поставки Товара по адресам, указанным в п. 1.3.1 настоящих Технических требований.</w:t>
      </w:r>
    </w:p>
    <w:p>
      <w:pPr>
        <w:pStyle w:val="ListParagraph"/>
        <w:ind w:firstLine="425" w:left="0"/>
        <w:jc w:val="both"/>
        <w:rPr>
          <w:b/>
          <w:i/>
          <w:i/>
          <w:shd w:fill="FFFF99" w:val="clear"/>
        </w:rPr>
      </w:pPr>
      <w:r>
        <w:rPr/>
        <w:t>1.4.3. Поставка Товара, включая транспортировку до места поставки</w:t>
      </w:r>
      <w:r>
        <w:rPr>
          <w:color w:val="000000"/>
        </w:rPr>
        <w:t>, осуществляется силами и средствами Поставщика в сроки, указанные в п.</w:t>
      </w:r>
      <w:r>
        <w:rPr>
          <w:rStyle w:val="Hyperlink"/>
          <w:color w:val="auto"/>
          <w:u w:val="none"/>
        </w:rPr>
        <w:t xml:space="preserve"> 2.1.2.</w:t>
      </w:r>
      <w:r>
        <w:rPr/>
        <w:t xml:space="preserve"> настоящих </w:t>
      </w:r>
      <w:r>
        <w:rPr>
          <w:color w:val="000000"/>
        </w:rPr>
        <w:t>Технических требований.</w:t>
      </w:r>
    </w:p>
    <w:p>
      <w:pPr>
        <w:pStyle w:val="ListParagraph"/>
        <w:ind w:firstLine="425" w:left="0"/>
        <w:jc w:val="both"/>
        <w:rPr>
          <w:color w:val="000000"/>
        </w:rPr>
      </w:pPr>
      <w:r>
        <w:rPr>
          <w:color w:val="000000"/>
        </w:rPr>
        <w:t>1.4.4. На территории объектов Заказчика действует контрольно-пропускной режим, в связи с чем Поставщик не менее чем за 1 (один) рабочий день до предполагаемой даты поставки Товара должен сообщить представителю Заказчика номер автотранспортного средства и Ф.И.О. водителя, грузчиков-экспедиторов и других лиц, задействованных в транспортировке и погрузочно-разгрузочных работах, для оформления пропуска в соответствии с порядком пропускного режима объекта Заказчика.</w:t>
      </w:r>
    </w:p>
    <w:p>
      <w:pPr>
        <w:pStyle w:val="ListParagraph"/>
        <w:ind w:firstLine="425" w:left="0"/>
        <w:jc w:val="both"/>
        <w:rPr>
          <w:b/>
          <w:i/>
          <w:i/>
          <w:shd w:fill="FFFF99" w:val="clear"/>
        </w:rPr>
      </w:pPr>
      <w:r>
        <w:rPr>
          <w:b/>
          <w:i/>
          <w:shd w:fill="FFFF99" w:val="clear"/>
        </w:rPr>
      </w:r>
    </w:p>
    <w:p>
      <w:pPr>
        <w:pStyle w:val="ListParagraph"/>
        <w:ind w:firstLine="425" w:left="0"/>
        <w:jc w:val="both"/>
        <w:rPr>
          <w:b/>
          <w:i/>
          <w:i/>
          <w:shd w:fill="FFFF99" w:val="clear"/>
        </w:rPr>
      </w:pPr>
      <w:r>
        <w:rPr>
          <w:b/>
          <w:color w:val="000000"/>
        </w:rPr>
        <w:t xml:space="preserve">1.5. </w:t>
      </w:r>
      <w:bookmarkStart w:id="10" w:name="_Toc170454510"/>
      <w:r>
        <w:rPr>
          <w:b/>
        </w:rPr>
        <w:t>Иные требования и сведения общего характера</w:t>
      </w:r>
      <w:bookmarkEnd w:id="10"/>
    </w:p>
    <w:p>
      <w:pPr>
        <w:pStyle w:val="ListParagraph"/>
        <w:ind w:firstLine="425" w:left="0"/>
        <w:jc w:val="both"/>
        <w:rPr>
          <w:b/>
          <w:i/>
          <w:i/>
          <w:shd w:fill="FFFF99" w:val="clear"/>
        </w:rPr>
      </w:pPr>
      <w:r>
        <w:rPr/>
        <w:t>1.5.1.</w:t>
      </w:r>
      <w:r>
        <w:rPr>
          <w:b/>
        </w:rPr>
        <w:t xml:space="preserve"> </w:t>
      </w:r>
      <w:r>
        <w:rPr/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>
      <w:pPr>
        <w:pStyle w:val="ListParagraph"/>
        <w:ind w:firstLine="425" w:left="0"/>
        <w:jc w:val="both"/>
        <w:rPr>
          <w:b/>
          <w:i/>
          <w:i/>
          <w:shd w:fill="FFFF99" w:val="clear"/>
        </w:rPr>
      </w:pPr>
      <w:r>
        <w:rPr/>
        <w:t>1.5.2 Тара, упаковка Товара должны обеспечивать сохранность товара при транспортировке любым транспортом, погрузке и разгрузке. Каждое место (упаковка) поставляемого товара должно иметь упаковочный лист, наклеенный на место, отражающий содержание данной упаковки. В упаковочном листе должно быть отражено: наименование, количество и первичная маркировка товара.</w:t>
      </w:r>
    </w:p>
    <w:p>
      <w:pPr>
        <w:pStyle w:val="ListParagraph"/>
        <w:ind w:firstLine="425" w:left="0"/>
        <w:jc w:val="both"/>
        <w:rPr>
          <w:b/>
          <w:i/>
          <w:i/>
          <w:shd w:fill="FFFF99" w:val="clear"/>
        </w:rPr>
      </w:pPr>
      <w:r>
        <w:rPr/>
        <w:t xml:space="preserve">1.5.3. Функциональные, технические и качественные характеристики, эксплуатационные характеристики объекта закупки с указанием показателей, позволяющих определить соответствие закупаемого товара установленным заказчиком требованиям (максимальных и (или) минимальных значений таких показателей, а также значений показателей, которые не могут изменяться) указаны в </w:t>
      </w:r>
      <w:hyperlink w:anchor="_Таблица_3_Требования">
        <w:r>
          <w:rPr>
            <w:rStyle w:val="Hyperlink"/>
            <w:color w:val="auto"/>
            <w:u w:val="none"/>
          </w:rPr>
          <w:t xml:space="preserve">Таблице №3  настоящих </w:t>
        </w:r>
        <w:r>
          <w:rPr>
            <w:rStyle w:val="Hyperlink"/>
            <w:color w:val="000000"/>
            <w:u w:val="none"/>
          </w:rPr>
          <w:t>Технических требований</w:t>
        </w:r>
        <w:r>
          <w:rPr>
            <w:rStyle w:val="Hyperlink"/>
            <w:color w:val="auto"/>
            <w:u w:val="none"/>
          </w:rPr>
          <w:t>.</w:t>
        </w:r>
      </w:hyperlink>
      <w:r>
        <w:br w:type="page"/>
      </w:r>
    </w:p>
    <w:p>
      <w:pPr>
        <w:pStyle w:val="ListParagraph"/>
        <w:numPr>
          <w:ilvl w:val="0"/>
          <w:numId w:val="8"/>
        </w:numPr>
        <w:ind w:firstLine="709" w:left="0"/>
        <w:jc w:val="center"/>
        <w:rPr>
          <w:b/>
          <w:bCs/>
          <w:sz w:val="28"/>
          <w:szCs w:val="28"/>
        </w:rPr>
      </w:pPr>
      <w:bookmarkStart w:id="11" w:name="_Toc51339693"/>
      <w:bookmarkStart w:id="12" w:name="_Toc75446573"/>
      <w:bookmarkStart w:id="13" w:name="_Toc46743510"/>
      <w:bookmarkStart w:id="14" w:name="_Toc50125126"/>
      <w:bookmarkEnd w:id="13"/>
      <w:bookmarkEnd w:id="14"/>
      <w:r>
        <w:rPr>
          <w:b/>
          <w:bCs/>
          <w:sz w:val="28"/>
          <w:szCs w:val="28"/>
        </w:rPr>
        <w:t>Требования к продукции</w:t>
      </w:r>
      <w:bookmarkEnd w:id="11"/>
      <w:bookmarkEnd w:id="12"/>
    </w:p>
    <w:p>
      <w:pPr>
        <w:pStyle w:val="ListParagraph"/>
        <w:numPr>
          <w:ilvl w:val="1"/>
          <w:numId w:val="8"/>
        </w:numPr>
        <w:ind w:firstLine="425" w:left="0"/>
        <w:rPr>
          <w:b/>
          <w:bCs/>
        </w:rPr>
      </w:pPr>
      <w:bookmarkStart w:id="15" w:name="_Toc75446574"/>
      <w:r>
        <w:rPr>
          <w:b/>
          <w:bCs/>
        </w:rPr>
        <w:t>Требования к объемам и срокам поставки</w:t>
      </w:r>
      <w:bookmarkEnd w:id="15"/>
    </w:p>
    <w:p>
      <w:pPr>
        <w:pStyle w:val="ListParagraph"/>
        <w:numPr>
          <w:ilvl w:val="2"/>
          <w:numId w:val="8"/>
        </w:numPr>
        <w:ind w:firstLine="425" w:left="0"/>
        <w:rPr>
          <w:b/>
          <w:bCs/>
        </w:rPr>
      </w:pPr>
      <w:bookmarkStart w:id="16" w:name="_Toc75446575"/>
      <w:r>
        <w:rPr>
          <w:b/>
          <w:bCs/>
        </w:rPr>
        <w:t>Перечень и объем закупаемой продукции</w:t>
      </w:r>
      <w:bookmarkEnd w:id="16"/>
    </w:p>
    <w:p>
      <w:pPr>
        <w:pStyle w:val="ListParagraph"/>
        <w:ind w:hanging="0" w:left="425"/>
        <w:rPr>
          <w:b/>
          <w:bCs/>
        </w:rPr>
      </w:pPr>
      <w:r>
        <w:rPr>
          <w:b/>
          <w:bCs/>
        </w:rPr>
      </w:r>
    </w:p>
    <w:p>
      <w:pPr>
        <w:pStyle w:val="ListParagraph"/>
        <w:ind w:hanging="0" w:left="425"/>
        <w:rPr>
          <w:b/>
          <w:bCs/>
          <w:i/>
          <w:i/>
          <w:iCs/>
        </w:rPr>
      </w:pPr>
      <w:r>
        <w:rPr>
          <w:b/>
          <w:bCs/>
          <w:i/>
          <w:iCs/>
        </w:rPr>
        <w:t>Таблица 1 Перечень и объем закупаемой продукции</w:t>
      </w:r>
    </w:p>
    <w:tbl>
      <w:tblPr>
        <w:tblW w:w="9952" w:type="dxa"/>
        <w:jc w:val="left"/>
        <w:tblInd w:w="221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val="0000" w:noHBand="0" w:noVBand="0" w:firstColumn="0" w:lastRow="0" w:lastColumn="0" w:firstRow="0"/>
      </w:tblPr>
      <w:tblGrid>
        <w:gridCol w:w="880"/>
        <w:gridCol w:w="3116"/>
        <w:gridCol w:w="992"/>
        <w:gridCol w:w="995"/>
        <w:gridCol w:w="3969"/>
      </w:tblGrid>
      <w:tr>
        <w:trPr>
          <w:trHeight w:val="913" w:hRule="exact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Ед. изм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Адрес поставки</w:t>
            </w:r>
          </w:p>
        </w:tc>
      </w:tr>
      <w:tr>
        <w:trPr>
          <w:trHeight w:val="1494" w:hRule="exact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Блок-контейнер (бытовка) Тип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2F2F2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2F2F2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Филиал ПАО «РусГидро» - «Нижегородская ГЭС» 606520, Нижегородская область, г. Заволжье, ул. Привокзальная, д.14;</w:t>
            </w:r>
          </w:p>
        </w:tc>
      </w:tr>
      <w:tr>
        <w:trPr>
          <w:trHeight w:val="1515" w:hRule="exact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Блок-контейнер (бытовка) Тип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2F2F2" w:fill="FFFFFF" w:val="clear"/>
            <w:vAlign w:val="center"/>
          </w:tcPr>
          <w:p>
            <w:pPr>
              <w:pStyle w:val="Style34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2F2F2" w:fill="FFFFFF" w:val="clear"/>
            <w:vAlign w:val="center"/>
          </w:tcPr>
          <w:p>
            <w:pPr>
              <w:pStyle w:val="Style34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ПАО «РусГидро» - «Северо-Осетинский филиал» - 362049, Республика Северная Осетия — Алания, г. Владикавказ, ул. Васо Абаева, д. 63</w:t>
            </w:r>
          </w:p>
        </w:tc>
      </w:tr>
      <w:tr>
        <w:trPr>
          <w:trHeight w:val="1509" w:hRule="exact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widowControl w:val="false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Блок-контейнер (бытовка) Тип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2F2F2" w:fill="FFFFFF" w:val="clear"/>
            <w:vAlign w:val="center"/>
          </w:tcPr>
          <w:p>
            <w:pPr>
              <w:pStyle w:val="Style34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2F2F2" w:fill="FFFFFF" w:val="clear"/>
            <w:vAlign w:val="center"/>
          </w:tcPr>
          <w:p>
            <w:pPr>
              <w:pStyle w:val="Style34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«РусГидро» - «Башенная ГЭС» Чеченская Республика, м р-н Итум-Калинский, с.п. Гучум-Калинское, село Гучум-Кали, ул. им. М.Х. Гучиева, зд. 72;</w:t>
            </w:r>
          </w:p>
        </w:tc>
      </w:tr>
    </w:tbl>
    <w:p>
      <w:pPr>
        <w:pStyle w:val="Normal"/>
        <w:ind w:firstLine="709"/>
        <w:jc w:val="both"/>
        <w:rPr>
          <w:b/>
          <w:bCs/>
          <w:lang w:val="x-none"/>
        </w:rPr>
      </w:pPr>
      <w:r>
        <w:rPr>
          <w:b/>
          <w:bCs/>
          <w:i/>
          <w:iCs/>
          <w:sz w:val="22"/>
          <w:szCs w:val="22"/>
        </w:rPr>
        <w:t>* Информация о количестве и объеме продукции, а также об адресе поставки, который указан в Таблице № 1 настоящих ТТ, имеет информационно-справочный характер и приведен исходя из планируемого к приобретению Заказчиком объёма товара. Указание количества товара не налагает на Заказчика обязательств по приобретению Товара в полном объеме, указанном в настоящей Спецификации.</w:t>
      </w:r>
      <w:r>
        <w:rPr/>
        <w:t xml:space="preserve"> </w:t>
      </w:r>
      <w:r>
        <w:rPr>
          <w:b/>
          <w:bCs/>
          <w:i/>
          <w:iCs/>
          <w:sz w:val="22"/>
          <w:szCs w:val="22"/>
        </w:rPr>
        <w:t>Сумма поставленного товара не может превышать предельную стоимость настоящего Договора. Заказчик вправе, по согласованию с Поставщиком, заказать Товар, не вошедший в Спецификацию, аналогичной номенклатурной группы.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bookmarkStart w:id="17" w:name="_Toc138766590_Копия_1"/>
      <w:bookmarkStart w:id="18" w:name="_Toc51339695_Копия_1"/>
      <w:bookmarkStart w:id="19" w:name="_Toc138766590_Копия_1"/>
      <w:bookmarkStart w:id="20" w:name="_Toc51339695_Копия_1"/>
      <w:bookmarkEnd w:id="19"/>
      <w:bookmarkEnd w:id="20"/>
    </w:p>
    <w:p>
      <w:pPr>
        <w:pStyle w:val="Normal"/>
        <w:ind w:firstLine="709"/>
        <w:jc w:val="both"/>
        <w:rPr/>
      </w:pPr>
      <w:r>
        <w:rPr>
          <w:sz w:val="24"/>
          <w:szCs w:val="24"/>
        </w:rPr>
        <w:t>Коммерческое предложение в обязательном порядке должно содержать подробное описание технических характеристик предлагаемой продукции, её товарную марку, которая идентифицирует продукцию производителя или продавца, страну происхождения и изготовителя.</w:t>
      </w:r>
    </w:p>
    <w:p>
      <w:pPr>
        <w:pStyle w:val="Normal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2"/>
          <w:numId w:val="8"/>
        </w:numPr>
        <w:ind w:firstLine="425" w:left="0"/>
        <w:rPr>
          <w:b/>
          <w:bCs/>
        </w:rPr>
      </w:pPr>
      <w:bookmarkStart w:id="21" w:name="_Toc75446578"/>
      <w:bookmarkStart w:id="22" w:name="_Toc51339696"/>
      <w:r>
        <w:rPr>
          <w:b/>
          <w:bCs/>
        </w:rPr>
        <w:t xml:space="preserve">Требования </w:t>
      </w:r>
      <w:bookmarkEnd w:id="22"/>
      <w:r>
        <w:rPr>
          <w:b/>
          <w:bCs/>
        </w:rPr>
        <w:t xml:space="preserve">к срокам поставки продукции </w:t>
      </w:r>
      <w:bookmarkEnd w:id="21"/>
    </w:p>
    <w:p>
      <w:pPr>
        <w:pStyle w:val="ListParagraph"/>
        <w:ind w:hanging="0" w:left="425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  <w:sz w:val="24"/>
          <w:szCs w:val="24"/>
        </w:rPr>
      </w:pPr>
      <w:bookmarkStart w:id="23" w:name="_Toc75446579"/>
      <w:bookmarkStart w:id="24" w:name="_Toc51339697"/>
      <w:bookmarkStart w:id="25" w:name="_Toc50125127"/>
      <w:bookmarkStart w:id="26" w:name="_Toc50125126_Копия_1"/>
      <w:bookmarkEnd w:id="26"/>
      <w:r>
        <w:rPr>
          <w:b/>
          <w:bCs/>
          <w:sz w:val="24"/>
          <w:szCs w:val="24"/>
        </w:rPr>
        <w:t>Таблица 2</w:t>
      </w:r>
      <w:bookmarkStart w:id="27" w:name="_Hlk50465284"/>
      <w:r>
        <w:rPr>
          <w:b/>
          <w:bCs/>
          <w:sz w:val="24"/>
          <w:szCs w:val="24"/>
        </w:rPr>
        <w:t xml:space="preserve"> Требования к срокам </w:t>
      </w:r>
      <w:bookmarkEnd w:id="24"/>
      <w:bookmarkEnd w:id="25"/>
      <w:bookmarkEnd w:id="27"/>
      <w:r>
        <w:rPr>
          <w:b/>
          <w:bCs/>
          <w:sz w:val="24"/>
          <w:szCs w:val="24"/>
        </w:rPr>
        <w:t>поставки продукции</w:t>
      </w:r>
      <w:bookmarkEnd w:id="23"/>
      <w:r>
        <w:rPr>
          <w:b/>
          <w:bCs/>
          <w:sz w:val="24"/>
          <w:szCs w:val="24"/>
        </w:rPr>
        <w:t xml:space="preserve"> </w:t>
      </w:r>
    </w:p>
    <w:tbl>
      <w:tblPr>
        <w:tblW w:w="9776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63"/>
        <w:gridCol w:w="4536"/>
        <w:gridCol w:w="2337"/>
        <w:gridCol w:w="2339"/>
      </w:tblGrid>
      <w:tr>
        <w:trPr/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началу срока поставки продукции*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окончанию срока поставки продукции*</w:t>
            </w:r>
          </w:p>
        </w:tc>
      </w:tr>
      <w:tr>
        <w:trPr/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0" w:after="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0" w:after="0"/>
              <w:ind w:hanging="0" w:left="0" w:right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hanging="0" w:left="0"/>
              <w:jc w:val="center"/>
              <w:rPr/>
            </w:pPr>
            <w:r>
              <w:rPr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ОКПД2 25.11.10.000 Поставка блок-контейнеров (бытовок) для нужд АО «СК РусГидро»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даты подписания договора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31.12.2026 г.</w:t>
            </w:r>
          </w:p>
        </w:tc>
      </w:tr>
    </w:tbl>
    <w:p>
      <w:pPr>
        <w:pStyle w:val="Normal"/>
        <w:ind w:firstLine="284"/>
        <w:jc w:val="both"/>
        <w:rPr>
          <w:b/>
          <w:bCs/>
          <w:i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*Поставка осуществляется в соответствии с заявкой Заказчика в течение всего срока действия договора.</w:t>
      </w:r>
    </w:p>
    <w:p>
      <w:pPr>
        <w:sectPr>
          <w:headerReference w:type="even" r:id="rId3"/>
          <w:headerReference w:type="default" r:id="rId4"/>
          <w:headerReference w:type="first" r:id="rId5"/>
          <w:type w:val="nextPage"/>
          <w:pgSz w:w="11906" w:h="16838"/>
          <w:pgMar w:left="1134" w:right="851" w:gutter="0" w:header="0" w:top="680" w:footer="0" w:bottom="992"/>
          <w:pgNumType w:fmt="decimal"/>
          <w:formProt w:val="false"/>
          <w:textDirection w:val="lrTb"/>
          <w:docGrid w:type="default" w:linePitch="360" w:charSpace="0"/>
        </w:sectPr>
        <w:pStyle w:val="Normal"/>
        <w:ind w:firstLine="284"/>
        <w:jc w:val="both"/>
        <w:rPr>
          <w:b/>
          <w:bCs/>
          <w:sz w:val="24"/>
          <w:szCs w:val="24"/>
        </w:rPr>
      </w:pPr>
      <w:r>
        <w:rPr>
          <w:b/>
          <w:bCs/>
          <w:i/>
          <w:iCs/>
          <w:sz w:val="22"/>
          <w:szCs w:val="22"/>
        </w:rPr>
        <w:t xml:space="preserve">**Срок поставки товара определяется в Заявках, но не может превышать 30 (тридцать) календарных дней с момента предоставленной письменной заявки Заказчика, которая подается </w:t>
      </w:r>
      <w:r>
        <w:rPr>
          <w:b/>
          <w:bCs/>
          <w:i/>
          <w:iCs/>
          <w:sz w:val="22"/>
          <w:szCs w:val="22"/>
          <w:u w:val="single"/>
        </w:rPr>
        <w:t>на каждый адрес отдельно</w:t>
      </w:r>
      <w:r>
        <w:rPr>
          <w:b/>
          <w:bCs/>
          <w:i/>
          <w:iCs/>
          <w:sz w:val="22"/>
          <w:szCs w:val="22"/>
        </w:rPr>
        <w:t xml:space="preserve">. В Заявке указываются данные по наименованию количеству необходимого Товара. </w:t>
      </w:r>
    </w:p>
    <w:p>
      <w:pPr>
        <w:pStyle w:val="ListParagraph"/>
        <w:numPr>
          <w:ilvl w:val="1"/>
          <w:numId w:val="8"/>
        </w:numPr>
        <w:ind w:firstLine="709" w:left="0"/>
        <w:rPr>
          <w:b/>
          <w:bCs/>
        </w:rPr>
      </w:pPr>
      <w:bookmarkStart w:id="28" w:name="_Toc51339698"/>
      <w:bookmarkStart w:id="29" w:name="_Toc75446581"/>
      <w:bookmarkStart w:id="30" w:name="_Toc46743511"/>
      <w:r>
        <w:rPr>
          <w:b/>
          <w:bCs/>
        </w:rPr>
        <w:t xml:space="preserve">Требования к </w:t>
      </w:r>
      <w:bookmarkEnd w:id="30"/>
      <w:r>
        <w:rPr>
          <w:b/>
          <w:bCs/>
        </w:rPr>
        <w:t>качеству продукции</w:t>
      </w:r>
      <w:bookmarkEnd w:id="29"/>
    </w:p>
    <w:p>
      <w:pPr>
        <w:pStyle w:val="Normal"/>
        <w:ind w:hanging="0" w:left="720"/>
        <w:rPr>
          <w:b/>
          <w:bCs/>
          <w:sz w:val="24"/>
          <w:szCs w:val="24"/>
        </w:rPr>
      </w:pPr>
      <w:bookmarkStart w:id="31" w:name="_Toc75446582"/>
      <w:r>
        <w:rPr>
          <w:b/>
          <w:bCs/>
          <w:sz w:val="24"/>
          <w:szCs w:val="24"/>
        </w:rPr>
        <w:t>Таблица 3 Требования к продукции</w:t>
      </w:r>
      <w:bookmarkEnd w:id="31"/>
      <w:r>
        <w:rPr>
          <w:b/>
          <w:bCs/>
          <w:sz w:val="24"/>
          <w:szCs w:val="24"/>
        </w:rPr>
        <w:t xml:space="preserve"> </w:t>
      </w:r>
      <w:bookmarkEnd w:id="28"/>
    </w:p>
    <w:p>
      <w:pPr>
        <w:pStyle w:val="Normal"/>
        <w:keepNext w:val="true"/>
        <w:keepLines/>
        <w:jc w:val="both"/>
        <w:rPr>
          <w:rFonts w:eastAsia="Calibri"/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Наименование продукции (позиция № 1 - 3 </w:t>
      </w:r>
      <w:hyperlink w:anchor="_Таблица_1.1_Перечень">
        <w:r>
          <w:rPr>
            <w:rStyle w:val="Hyperlink"/>
            <w:b/>
            <w:bCs/>
            <w:color w:val="auto"/>
            <w:sz w:val="24"/>
            <w:szCs w:val="24"/>
            <w:u w:val="none"/>
          </w:rPr>
          <w:t>Таблицы 1</w:t>
        </w:r>
      </w:hyperlink>
      <w:r>
        <w:rPr>
          <w:b/>
          <w:bCs/>
          <w:sz w:val="24"/>
          <w:szCs w:val="24"/>
        </w:rPr>
        <w:t xml:space="preserve">): </w:t>
      </w:r>
      <w:r>
        <w:rPr>
          <w:sz w:val="24"/>
          <w:szCs w:val="24"/>
        </w:rPr>
        <w:t>ОКПД2 25.11.10.000 Поставка блок-контейнеров (бытовок) для нужд АО «СК РусГидро»</w:t>
      </w:r>
    </w:p>
    <w:tbl>
      <w:tblPr>
        <w:tblStyle w:val="affff8"/>
        <w:tblW w:w="1502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0"/>
        <w:gridCol w:w="1844"/>
        <w:gridCol w:w="1639"/>
        <w:gridCol w:w="5023"/>
        <w:gridCol w:w="1842"/>
        <w:gridCol w:w="1984"/>
        <w:gridCol w:w="1843"/>
      </w:tblGrid>
      <w:tr>
        <w:trPr/>
        <w:tc>
          <w:tcPr>
            <w:tcW w:w="850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п/п</w:t>
            </w:r>
          </w:p>
        </w:tc>
        <w:tc>
          <w:tcPr>
            <w:tcW w:w="184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Наименование параметра</w:t>
            </w:r>
          </w:p>
        </w:tc>
        <w:tc>
          <w:tcPr>
            <w:tcW w:w="6662" w:type="dxa"/>
            <w:gridSpan w:val="2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Требование заказчика</w:t>
            </w:r>
          </w:p>
        </w:tc>
        <w:tc>
          <w:tcPr>
            <w:tcW w:w="382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Способ подтверждения участником соответствия требованиям</w:t>
            </w:r>
          </w:p>
        </w:tc>
        <w:tc>
          <w:tcPr>
            <w:tcW w:w="1843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Предложение участника по характеристикам и параметрам</w:t>
            </w:r>
          </w:p>
        </w:tc>
      </w:tr>
      <w:tr>
        <w:trPr/>
        <w:tc>
          <w:tcPr>
            <w:tcW w:w="850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84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6662" w:type="dxa"/>
            <w:gridSpan w:val="2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требованием/ указание характеристик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1843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5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184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6662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</w:tr>
      <w:tr>
        <w:trPr/>
        <w:tc>
          <w:tcPr>
            <w:tcW w:w="850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506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vAlign w:val="center"/>
          </w:tcPr>
          <w:p>
            <w:pPr>
              <w:pStyle w:val="Style34"/>
              <w:widowControl/>
              <w:suppressAutoHyphens w:val="true"/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 w:bidi="ar-SA"/>
              </w:rPr>
              <w:t>1</w:t>
            </w:r>
          </w:p>
        </w:tc>
        <w:tc>
          <w:tcPr>
            <w:tcW w:w="1844" w:type="dxa"/>
            <w:tcBorders>
              <w:top w:val="nil"/>
              <w:right w:val="nil"/>
            </w:tcBorders>
            <w:vAlign w:val="center"/>
          </w:tcPr>
          <w:p>
            <w:pPr>
              <w:pStyle w:val="Style34"/>
              <w:widowControl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Блок-контейнер (бытовка)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Тип 1</w:t>
            </w:r>
          </w:p>
        </w:tc>
        <w:tc>
          <w:tcPr>
            <w:tcW w:w="6662" w:type="dxa"/>
            <w:gridSpan w:val="2"/>
            <w:tcBorders>
              <w:top w:val="nil"/>
            </w:tcBorders>
            <w:vAlign w:val="center"/>
          </w:tcPr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Длина, (м)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: не менее 4, но не более 5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Ширина, (м)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: не менее 2.4, но не более 3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Высота, (м)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: не менее 2.4, но не более 3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Вместимость: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не менее 2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Каркас: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Цельносварная стальная рама из сложногнутый профиля толщиной не менее 3мм, сталь Ст3сп;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Нижняя рама выполнена из сложногнутого многополочного профиля не менее 200×90×3 мм;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Усиливающие поперечные балки изготовлены из швеллера не менее 100×50×3 мм;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Стойки из усиленного многополочного профиля не менее 150×150×3 мм;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- Верхняя рама усилена пространственной решёткой из профильной трубы не менее 25×25×1,5 мм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Утеплитель,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(пол, потолок, стены) (мм)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– не менее 100, но не более 110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Внешняя отделка: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–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рофлист С8 оцинкованный 0,5мм порошковое полимерное покрытие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крыша плоская  (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оцинкованным листом толщиной не менее 0,5 мм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);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Пол: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Покрытие пола выполнено из полукоммерческого износостойкого линолеума;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- Черновое покрытие выполнено из Ориентированно-стружечной плиты (ОСП) - 18 мм</w:t>
            </w:r>
            <w:r>
              <w:rPr>
                <w:rFonts w:eastAsia="Times New Roman" w:cs="Times New Roman"/>
                <w:b w:val="false"/>
                <w:bCs w:val="false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highlight w:val="none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Подшивка пола Профилированный лист С10 — не менее 0,5 мм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Окно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Тип окна: ПВХ однокамерный стеклопакет (поворотно-откидное).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Размер окна: не менее 600х900мм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Кол-во окон (шт): не менее 1, но не более 2;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Москитная сетка на окно: Да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Внутренняя отделка потолок и стены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ЛДСП не менее 16мм;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Входная дверь: </w:t>
            </w:r>
            <w:r>
              <w:rPr>
                <w:rFonts w:eastAsia="Times New Roman" w:cs="Times New Roman"/>
                <w:color w:val="292A2B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Металлическая с внутренним замком и ручками для открывания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Дополнительное оснащение: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Разводка электрики наружная в кабель-канале: ВВГнг 2х2,5 (розетки), ВВГнг 2х1,5 (светильник), светильник Потолочный (светодиодный) – не менее 2 шт., розетка двойная – не менее 2 шт., выкл. – не менее 1шт., АВ25А- не менее 1шт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198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Приложение №1 к Коммерческому предложению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vAlign w:val="center"/>
          </w:tcPr>
          <w:p>
            <w:pPr>
              <w:pStyle w:val="Style34"/>
              <w:widowControl/>
              <w:suppressAutoHyphens w:val="true"/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1844" w:type="dxa"/>
            <w:tcBorders>
              <w:top w:val="nil"/>
              <w:right w:val="nil"/>
            </w:tcBorders>
            <w:vAlign w:val="center"/>
          </w:tcPr>
          <w:p>
            <w:pPr>
              <w:pStyle w:val="Style34"/>
              <w:widowControl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Блок-контейнер (бытовка)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Тип 2</w:t>
            </w:r>
          </w:p>
        </w:tc>
        <w:tc>
          <w:tcPr>
            <w:tcW w:w="6662" w:type="dxa"/>
            <w:gridSpan w:val="2"/>
            <w:tcBorders>
              <w:top w:val="nil"/>
            </w:tcBorders>
            <w:vAlign w:val="center"/>
          </w:tcPr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Длина, (м):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не менее 6, но не более 7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Ширина, (м):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не менее 2.4, но не более 3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Высота, (м):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не менее 2.4, но не более 3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Вместимость: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не менее 4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Каркас: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Цельносварная стальная рама из сложногнутый профиля толщиной не менее 3мм, сталь Ст3сп;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Нижняя рама выполнена из сложногнутого многополочного профиля не менее 200×90×3 мм;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Усиливающие поперечные балки изготовлены из швеллера не менее 100×50×3 мм;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Стойки из усиленного многополочного профиля не менее 150×150×3 мм;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- Верхняя рама усилена пространственной решёткой из профильной трубы не менее 25×25×1,5 мм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Утеплитель,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(пол, потолок, стены) (мм)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– не менее 100, но не более 110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Внешняя отделка: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– 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профлист С8 оцинкованный 0,5мм порошковое полимерное покрытие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крыша плоская  (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оцинкованным листом толщиной не менее 0,5 мм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);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Пол: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Покрытие пола выполнено из полукоммерческого износостойкого линолеума;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- Черновое покрытие выполнено из Ориентированно-стружечной плиты (ОСП) - 18 мм</w:t>
            </w:r>
            <w:r>
              <w:rPr>
                <w:rFonts w:eastAsia="Times New Roman" w:cs="Times New Roman"/>
                <w:b w:val="false"/>
                <w:bCs w:val="false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highlight w:val="none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Подшивка пола Профилированный лист С10 — не менее 0,5 мм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Окно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Тип окна: ПВХ однокамерный стеклопакет (поворотно-откидное).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Размер окна: не менее 600х900мм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Кол-во окон (шт): не менее 1, но не более 2;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Москитная сетка на окно: Да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Внутренняя отделка потолок и стены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ЛДСП не менее 16мм;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Входная дверь: </w:t>
            </w:r>
            <w:r>
              <w:rPr>
                <w:rFonts w:eastAsia="Times New Roman" w:cs="Times New Roman"/>
                <w:color w:val="292A2B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Металлическая с внутренним замком и ручками для открывания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Дополнительное оснащение: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>-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>Разводка электрики наружная в кабель-канале: ВВГнг 2х2,5 (розетки), ВВГнг 2х1,5 (светильник), светильник Потолочный (светодиодный) – не менее 2 шт., розетка двойная – не менее 2 шт., выкл. – не менее 1шт., АВ25А- не менее 1шт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198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Приложение №1 к Коммерческому предложению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>
          <w:trHeight w:val="542" w:hRule="atLeast"/>
        </w:trPr>
        <w:tc>
          <w:tcPr>
            <w:tcW w:w="850" w:type="dxa"/>
            <w:tcBorders>
              <w:top w:val="nil"/>
            </w:tcBorders>
            <w:vAlign w:val="center"/>
          </w:tcPr>
          <w:p>
            <w:pPr>
              <w:pStyle w:val="Style34"/>
              <w:widowControl/>
              <w:suppressAutoHyphens w:val="true"/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1844" w:type="dxa"/>
            <w:tcBorders>
              <w:top w:val="nil"/>
              <w:right w:val="nil"/>
            </w:tcBorders>
            <w:vAlign w:val="center"/>
          </w:tcPr>
          <w:p>
            <w:pPr>
              <w:pStyle w:val="Style34"/>
              <w:widowControl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Блок-контейнер (бытовка)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Тип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2</w:t>
            </w:r>
          </w:p>
        </w:tc>
        <w:tc>
          <w:tcPr>
            <w:tcW w:w="6662" w:type="dxa"/>
            <w:gridSpan w:val="2"/>
            <w:tcBorders>
              <w:top w:val="nil"/>
            </w:tcBorders>
            <w:vAlign w:val="center"/>
          </w:tcPr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Длина, (м):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не менее 6, но не более 7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Ширина, (м):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не менее 2.4, но не более 3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Высота, (м):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не менее 2.4, но не более 3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Вместимость: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не менее 4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Каркас: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Цельносварная стальная рама из сложногнутый профиля толщиной не менее 3мм, сталь Ст3сп;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Нижняя рама выполнена из сложногнутого многополочного профиля не менее 200×90×3 мм;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Усиливающие поперечные балки изготовлены из швеллера не менее 100×50×3 мм;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Стойки из усиленного многополочного профиля не менее 150×150×3 мм;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- Верхняя рама усилена пространственной решёткой из профильной трубы не менее 25×25×1,5 мм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Утеплитель,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(пол, потолок, стены) (мм)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– не менее 100, но не более 110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Внешняя отделка: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– 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профлист С8 оцинкованный 0,5мм порошковое полимерное покрытие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крыша плоская  (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оцинкованным листом толщиной не менее 0,5 мм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);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Пол: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Покрытие пола выполнено из полукоммерческого износостойкого линолеума;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- Черновое покрытие выполнено из Ориентированно-стружечной плиты (ОСП) - 18 мм</w:t>
            </w:r>
            <w:r>
              <w:rPr>
                <w:rFonts w:eastAsia="Times New Roman" w:cs="Times New Roman"/>
                <w:b w:val="false"/>
                <w:bCs w:val="false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highlight w:val="none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Подшивка пола Профилированный лист С10 — не менее 0,5 мм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Окно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Тип окна: ПВХ однокамерный стеклопакет (поворотно-откидное).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Размер окна: не менее 600х900мм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Кол-во окон (шт): не менее 1, но не более 2;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Москитная сетка на окно: Да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Внутренняя отделка потолок и стены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ЛДСП не менее 16мм;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Входная дверь: </w:t>
            </w:r>
            <w:r>
              <w:rPr>
                <w:rFonts w:eastAsia="Times New Roman" w:cs="Times New Roman"/>
                <w:color w:val="292A2B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Металлическая с внутренним замком и ручками для открывания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Дополнительное оснащение:</w:t>
            </w:r>
          </w:p>
          <w:p>
            <w:pPr>
              <w:pStyle w:val="Style34"/>
              <w:widowControl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>- Разводка электрики наружная в кабель-канале: ВВГнг 2х2,5 (розетки), ВВГнг 2х1,5 (светильник), светильник Потолочный (светодиодный) – не менее 2 шт., розетка двойная – не менее 2 шт., выкл. – не менее 1шт., АВ25А- не менее 1шт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198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Приложение №1 к Коммерческому предложению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50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506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качеству и безопасности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0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506" w:type="dxa"/>
            <w:gridSpan w:val="3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432" w:leader="none"/>
                <w:tab w:val="left" w:pos="459" w:leader="none"/>
              </w:tabs>
              <w:suppressAutoHyphens w:val="true"/>
              <w:spacing w:before="0" w:after="0"/>
              <w:jc w:val="both"/>
              <w:rPr>
                <w:sz w:val="24"/>
                <w:szCs w:val="24"/>
                <w:lang w:eastAsia="x-none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x-none" w:bidi="ar-SA"/>
              </w:rPr>
              <w:t>Продукция должна поставляться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26653-2015 (транспортировка) и ГОСТ 15150-69 (хранение).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x-none" w:bidi="ar-SA"/>
              </w:rPr>
              <w:t>Упаковка должна обеспечивать полную сохранность продукции на весь срок его транспортировки с учетом перегрузок и длительного хранения.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50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506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Качество товара должно соответствовать требованиям действующих ГОСТ для соответствующей продукции. Качество товара подтверждается сертификатами соответствия, нормативной и технической документацией на данный вид продукции. Товар должен сопровождаться документами, обязательными для данного вида товара, подтверждающими его качество и безопасность и оформленными в соответствии с действующим законодательством Российской Федерации.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 случае, если товар иностранного происхождения, соответствующий товар должен быть изготовлен в соответствии с требованиями международных стандартов, действующих на территории Российской Федерации.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Качество товара, его функциональные характеристики (потребительские свойства), установленные на него гарантийные сроки и сроки годности должны подтверждаться соответствующими документами, в том числе от производителей, оформление которых предусмотрено законодательством Российской Федерации для данного вида товара (сертификаты и/или декларации о соответствии, паспорта на изделия, санитарно-эпидемиологические заключения, инструкции и руководства о товаре и т.д.).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Товар должен поставляться в оригинальной заводской упаковке, которая не должна иметь видимых признаков повреждения. Упаковка товара должна исключать возможность порчи или уничтожение товара во время транспортировки и хранения. Маркировка товара на упаковке наносится на русском языке и должна содержать адреса местонахождения и наименования организации производителя и поставщика, наименование и количество находящегося в упаковке товара, особенности складирования и условия хранения товара, если таковые имеются.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Товар должен быть свободным от любых прав и притязаний третьих лиц (не находится под арестом, в залоге, иных обременениях).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Поставляемые товары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товаров в условиях, обычных для Российской Федерации.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Упаковка товара не должна быть нарушена,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 и подтверждаться соответствующими документами, оформленными в соответствии с действующим законодательством Российской Федерации.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Маркировка упаковки должна строго соответствовать маркировке товара.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 факту поставки в присутствии представителя Заказчика Поставщик обязан осуществить проверку товара на отсутствие повреждений, а также произвести монтажные на рабочих местах (при необходимости)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50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506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доставке,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0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3483" w:type="dxa"/>
            <w:gridSpan w:val="2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Адреса поставки</w:t>
            </w:r>
          </w:p>
        </w:tc>
        <w:tc>
          <w:tcPr>
            <w:tcW w:w="502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Продукция должна быть доставлена Поставщиком по адресам: указанным в п. 1.3.1 настоящих ТТ.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hanging="0" w:left="0"/>
              <w:jc w:val="left"/>
              <w:outlineLvl w:val="2"/>
              <w:rPr>
                <w:rFonts w:eastAsia="Times New Roman"/>
                <w:b w:val="false"/>
                <w:bCs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bCs/>
                <w:kern w:val="0"/>
                <w:sz w:val="20"/>
                <w:szCs w:val="20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506" w:type="dxa"/>
            <w:gridSpan w:val="3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Поставка продукции осуществляется силами и средствами Поставщика в сроки, установленные в Таблице № 2 настоящих Технических требований.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984" w:type="dxa"/>
            <w:tcBorders>
              <w:top w:val="nil"/>
            </w:tcBorders>
            <w:vAlign w:val="center"/>
          </w:tcPr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hanging="0" w:left="0"/>
              <w:jc w:val="left"/>
              <w:outlineLvl w:val="2"/>
              <w:rPr>
                <w:rFonts w:eastAsia="Times New Roman"/>
                <w:b w:val="false"/>
                <w:bCs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bCs/>
                <w:kern w:val="0"/>
                <w:sz w:val="20"/>
                <w:szCs w:val="20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506" w:type="dxa"/>
            <w:gridSpan w:val="3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Поставщик несет ответственность, предусмотренную законодательством РФ, за качество поставляемой продукции и предоставление всей необходимой товарно-транспортной документации. Поставщик должен обеспечить упаковку товара, способную предотвратить его повреждение или порчу во время перевозки. Упаковка и маркировка товара должна соответствовать требованиям ГОСТа, импортный товар – международным стандартам упаковки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984" w:type="dxa"/>
            <w:tcBorders>
              <w:top w:val="nil"/>
            </w:tcBorders>
            <w:vAlign w:val="center"/>
          </w:tcPr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hanging="0" w:left="0"/>
              <w:jc w:val="left"/>
              <w:outlineLvl w:val="2"/>
              <w:rPr>
                <w:rFonts w:eastAsia="Times New Roman"/>
                <w:b w:val="false"/>
                <w:bCs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bCs/>
                <w:kern w:val="0"/>
                <w:sz w:val="20"/>
                <w:szCs w:val="20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0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506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0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506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Гарантийный срок на продукцию должен составлять не менее 12 месяцев с даты подписания сторонами Товарной накладной по форме ТОРГ-12/УПД, но не менее гарантийного срока, установленного производителем. В случае поставки товара ненадлежащего качества, поставки некомплектного товара, недопоставки товара, замена поставленного товара товаром надлежащего качества, доукомплектование и/или допоставка товара, производится Поставщиком в срок не более 10 (десяти) дней со дня подписания двустороннего акта, оформленного по факту приемки товара. Все транспортные и другие расходы, связанные с заменой поставленного товара товаром надлежащего качества, допоставкой и/или доукомплектованием поставленного товара, а также представлением надлежащим образом оформленного пакета первичной документации осуществляются за счет Поставщика и его силами.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hanging="0" w:left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506" w:type="dxa"/>
            <w:gridSpan w:val="3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Продукция должна быть новой, не находившейся в эксплуатации. Под новой следует понимать продукцию, которая не была в употреблении, не проходила ремонт, в том числе восстановление потребительских свойств.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98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hanging="0" w:left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850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506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0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506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Одновременно с передачей Товара Поставщик обязан передать Покупателю его принадлежности и относящиеся к нему документы (технические паспорта, инструкции по эксплуатации, сертификаты качества, сертификаты соответствия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sectPr>
          <w:headerReference w:type="default" r:id="rId6"/>
          <w:headerReference w:type="first" r:id="rId7"/>
          <w:type w:val="nextPage"/>
          <w:pgSz w:orient="landscape" w:w="16838" w:h="11906"/>
          <w:pgMar w:left="992" w:right="567" w:gutter="0" w:header="680" w:top="737" w:footer="0" w:bottom="851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ListParagraph"/>
        <w:numPr>
          <w:ilvl w:val="0"/>
          <w:numId w:val="8"/>
        </w:numPr>
        <w:ind w:firstLine="709" w:left="0"/>
        <w:jc w:val="center"/>
        <w:rPr>
          <w:b/>
          <w:bCs/>
          <w:sz w:val="28"/>
        </w:rPr>
      </w:pPr>
      <w:bookmarkStart w:id="32" w:name="_Toc75446583"/>
      <w:bookmarkStart w:id="33" w:name="_Toc53393312"/>
      <w:r>
        <w:rPr>
          <w:b/>
          <w:bCs/>
          <w:sz w:val="28"/>
        </w:rPr>
        <w:t>Требования к документации по ценообразованию</w:t>
      </w:r>
      <w:bookmarkEnd w:id="33"/>
      <w:r>
        <w:rPr>
          <w:b/>
          <w:bCs/>
          <w:sz w:val="28"/>
        </w:rPr>
        <w:t xml:space="preserve"> на этапе закупки</w:t>
      </w:r>
      <w:bookmarkEnd w:id="32"/>
    </w:p>
    <w:p>
      <w:pPr>
        <w:pStyle w:val="ListParagraph"/>
        <w:widowControl w:val="false"/>
        <w:tabs>
          <w:tab w:val="clear" w:pos="708"/>
          <w:tab w:val="left" w:pos="426" w:leader="none"/>
        </w:tabs>
        <w:ind w:firstLine="425" w:left="0"/>
        <w:jc w:val="both"/>
        <w:rPr>
          <w:bCs/>
          <w:iCs/>
        </w:rPr>
      </w:pPr>
      <w:r>
        <w:rPr>
          <w:bCs/>
          <w:iCs/>
        </w:rPr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426" w:leader="none"/>
        </w:tabs>
        <w:ind w:firstLine="709"/>
        <w:jc w:val="both"/>
        <w:rPr/>
      </w:pPr>
      <w:r>
        <w:rPr>
          <w:rFonts w:eastAsia="Calibri"/>
          <w:bCs/>
          <w:iCs/>
          <w:color w:val="000000"/>
          <w:sz w:val="24"/>
          <w:szCs w:val="24"/>
          <w:shd w:fill="FFFFFF" w:val="clear"/>
        </w:rPr>
        <w:t>В обоснование стоимости своей заявки Участник предоставляет Коммерческое предложение, по установленным формам.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426" w:leader="none"/>
        </w:tabs>
        <w:ind w:firstLine="709"/>
        <w:jc w:val="both"/>
        <w:rPr/>
      </w:pPr>
      <w:r>
        <w:rPr>
          <w:rFonts w:eastAsia="Calibri"/>
          <w:bCs/>
          <w:iCs/>
          <w:color w:val="000000"/>
          <w:sz w:val="24"/>
          <w:szCs w:val="24"/>
          <w:shd w:fill="FFFFFF" w:val="clear"/>
        </w:rPr>
        <w:t>Стоимость за единицу продукции (услуги) должна включать в себя налоги, сборы, пошлины и другие обязательные платежи, стоимость расходных материалов, используемых при оказании услуг, расходы на содержание, эксплуатацию, перебазировку спецоборудования и инструментов, и прочие расходы, связанные с оказанием услуг, предусмотренные Проектом договора (Приложение №2 к Мониторингу цен).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60" w:after="0"/>
        <w:jc w:val="both"/>
        <w:rPr>
          <w:rStyle w:val="Style8"/>
          <w:b w:val="false"/>
          <w:bCs/>
          <w:iCs/>
          <w:sz w:val="24"/>
          <w:szCs w:val="24"/>
        </w:rPr>
      </w:pPr>
      <w:r>
        <w:rPr>
          <w:b w:val="false"/>
          <w:bCs/>
          <w:iCs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60" w:after="0"/>
        <w:jc w:val="both"/>
        <w:rPr>
          <w:rStyle w:val="Style8"/>
          <w:b w:val="false"/>
          <w:bCs/>
          <w:iCs/>
          <w:sz w:val="24"/>
          <w:szCs w:val="24"/>
        </w:rPr>
      </w:pPr>
      <w:r>
        <w:rPr>
          <w:b w:val="false"/>
          <w:bCs/>
          <w:iCs/>
          <w:sz w:val="24"/>
          <w:szCs w:val="24"/>
        </w:rPr>
      </w:r>
    </w:p>
    <w:p>
      <w:pPr>
        <w:pStyle w:val="Heading1"/>
        <w:keepLines/>
        <w:numPr>
          <w:ilvl w:val="0"/>
          <w:numId w:val="0"/>
        </w:numPr>
        <w:ind w:hanging="0" w:left="357"/>
        <w:rPr>
          <w:iCs/>
        </w:rPr>
      </w:pPr>
      <w:r>
        <w:rPr>
          <w:iCs/>
        </w:rPr>
      </w:r>
    </w:p>
    <w:p>
      <w:pPr>
        <w:pStyle w:val="Normal"/>
        <w:rPr>
          <w:rFonts w:eastAsia="Calibri"/>
          <w:b/>
          <w:iCs/>
          <w:lang w:eastAsia="x-none"/>
        </w:rPr>
      </w:pPr>
      <w:bookmarkStart w:id="34" w:name="_Toc46743519"/>
      <w:bookmarkStart w:id="35" w:name="_Toc51339699"/>
      <w:r>
        <w:rPr>
          <w:rFonts w:eastAsia="Calibri"/>
          <w:b/>
          <w:iCs/>
          <w:lang w:eastAsia="x-none"/>
        </w:rPr>
        <w:t xml:space="preserve"> </w:t>
      </w:r>
      <w:bookmarkEnd w:id="34"/>
      <w:bookmarkEnd w:id="35"/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p>
      <w:pPr>
        <w:pStyle w:val="Normal"/>
        <w:rPr>
          <w:rFonts w:eastAsia="Calibri"/>
          <w:b/>
          <w:iCs/>
          <w:lang w:eastAsia="x-none"/>
        </w:rPr>
      </w:pPr>
      <w:r>
        <w:rPr>
          <w:rFonts w:eastAsia="Calibri"/>
          <w:b/>
          <w:iCs/>
          <w:lang w:eastAsia="x-none"/>
        </w:rPr>
      </w:r>
    </w:p>
    <w:sectPr>
      <w:headerReference w:type="default" r:id="rId8"/>
      <w:headerReference w:type="first" r:id="rId9"/>
      <w:type w:val="nextPage"/>
      <w:pgSz w:w="11906" w:h="16838"/>
      <w:pgMar w:left="1134" w:right="851" w:gutter="0" w:header="680" w:top="737" w:footer="0" w:bottom="992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fillcolor="white" stroked="f" o:allowincell="f" style="position:absolute;margin-left:0pt;margin-top:0.05pt;width:1.1pt;height:1.1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0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2" w:hanging="432"/>
      </w:pPr>
      <w:rPr>
        <w:sz w:val="22"/>
        <w:b w:val="false"/>
        <w:szCs w:val="20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i w:val="false"/>
        <w:b/>
        <w:iCs/>
        <w:bCs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8"/>
  <w:defaultTabStop w:val="708"/>
  <w:autoHyphenation w:val="true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b07f7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numPr>
        <w:ilvl w:val="0"/>
        <w:numId w:val="0"/>
      </w:numPr>
      <w:tabs>
        <w:tab w:val="clear" w:pos="708"/>
        <w:tab w:val="left" w:pos="0" w:leader="none"/>
      </w:tabs>
      <w:ind w:hanging="432" w:left="432"/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 w:customStyle="1">
    <w:name w:val="Символ сноски"/>
    <w:qFormat/>
    <w:rsid w:val="00d561d9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Annotationreference">
    <w:name w:val="annotation reference"/>
    <w:uiPriority w:val="99"/>
    <w:semiHidden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5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21"/>
    <w:qFormat/>
    <w:locked/>
    <w:rsid w:val="00d22f6d"/>
    <w:rPr>
      <w:sz w:val="28"/>
    </w:rPr>
  </w:style>
  <w:style w:type="character" w:styleId="Style5" w:customStyle="1">
    <w:name w:val="Текст сноски Знак"/>
    <w:uiPriority w:val="99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29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 w:customStyle="1">
    <w:name w:val="Символ концевой сноски"/>
    <w:qFormat/>
    <w:rsid w:val="003879d4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9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Style14" w:customStyle="1">
    <w:name w:val="Маркеры"/>
    <w:qFormat/>
    <w:rPr>
      <w:rFonts w:ascii="OpenSymbol" w:hAnsi="OpenSymbol" w:eastAsia="OpenSymbol" w:cs="OpenSymbol"/>
    </w:rPr>
  </w:style>
  <w:style w:type="character" w:styleId="FollowedHyperlink">
    <w:name w:val="FollowedHyperlink"/>
    <w:basedOn w:val="DefaultParagraphFont"/>
    <w:rPr>
      <w:color w:val="954F72" w:themeColor="followedHyperlink"/>
      <w:u w:val="single"/>
    </w:rPr>
  </w:style>
  <w:style w:type="character" w:styleId="Sc-kjecyx" w:customStyle="1">
    <w:name w:val="sc-kjecyx"/>
    <w:basedOn w:val="DefaultParagraphFont"/>
    <w:qFormat/>
    <w:rsid w:val="00de7cd9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Style17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18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19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uiPriority w:val="99"/>
    <w:rsid w:val="00d561d9"/>
    <w:pPr/>
    <w:rPr>
      <w:sz w:val="20"/>
      <w:szCs w:val="20"/>
    </w:rPr>
  </w:style>
  <w:style w:type="paragraph" w:styleId="14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0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rsid w:val="0076353a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hanging="0" w:left="36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hanging="0" w:left="283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hanging="0" w:left="283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hanging="0" w:left="-567" w:right="-766"/>
      <w:jc w:val="center"/>
    </w:pPr>
    <w:rPr>
      <w:b/>
      <w:bCs/>
      <w:sz w:val="24"/>
      <w:szCs w:val="20"/>
    </w:rPr>
  </w:style>
  <w:style w:type="paragraph" w:styleId="Style21" w:customStyle="1">
    <w:name w:val="Подпункт"/>
    <w:basedOn w:val="Normal"/>
    <w:link w:val="11"/>
    <w:qFormat/>
    <w:rsid w:val="0076353a"/>
    <w:pPr>
      <w:tabs>
        <w:tab w:val="clear" w:pos="708"/>
        <w:tab w:val="left" w:pos="1134" w:leader="none"/>
      </w:tabs>
      <w:snapToGrid w:val="false"/>
      <w:spacing w:lineRule="auto" w:line="360"/>
      <w:ind w:hanging="1134" w:left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hanging="1134" w:left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421b6b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hanging="0" w:left="280"/>
    </w:pPr>
    <w:rPr>
      <w:rFonts w:cs="Calibri" w:cstheme="minorHAnsi"/>
      <w:sz w:val="20"/>
      <w:szCs w:val="20"/>
    </w:rPr>
  </w:style>
  <w:style w:type="paragraph" w:styleId="Style22" w:customStyle="1">
    <w:name w:val="Раздел регламента"/>
    <w:basedOn w:val="Normal"/>
    <w:qFormat/>
    <w:rsid w:val="00e228fa"/>
    <w:pPr/>
    <w:rPr/>
  </w:style>
  <w:style w:type="paragraph" w:styleId="Style23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hanging="0" w:left="196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hanging="0" w:left="84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hanging="0" w:left="56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4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1" w:customStyle="1">
    <w:name w:val="caption1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numPr>
        <w:ilvl w:val="1"/>
      </w:numPr>
      <w:ind w:firstLine="709" w:left="1066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5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5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41" w:customStyle="1">
    <w:name w:val="Маркированный список 41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6" w:customStyle="1">
    <w:name w:val="Пункт"/>
    <w:basedOn w:val="Normal"/>
    <w:qFormat/>
    <w:rsid w:val="00d22f6d"/>
    <w:pPr>
      <w:widowControl w:val="false"/>
      <w:tabs>
        <w:tab w:val="clear" w:pos="708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d22f6d"/>
    <w:pPr>
      <w:spacing w:lineRule="auto" w:line="276" w:before="0" w:after="200"/>
      <w:ind w:hanging="0" w:left="720"/>
      <w:contextualSpacing/>
    </w:pPr>
    <w:rPr>
      <w:rFonts w:ascii="Calibri" w:hAnsi="Calibri"/>
      <w:sz w:val="22"/>
      <w:szCs w:val="22"/>
      <w:lang w:eastAsia="en-US"/>
    </w:rPr>
  </w:style>
  <w:style w:type="paragraph" w:styleId="Style27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8" w:customStyle="1">
    <w:name w:val="Таблица шапка"/>
    <w:basedOn w:val="Normal"/>
    <w:qFormat/>
    <w:rsid w:val="00f64089"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29" w:customStyle="1">
    <w:name w:val="Подподпункт"/>
    <w:basedOn w:val="Style21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/>
    </w:pPr>
    <w:rPr>
      <w:sz w:val="26"/>
      <w:szCs w:val="26"/>
      <w:lang w:val="ru-RU" w:eastAsia="ru-RU"/>
    </w:rPr>
  </w:style>
  <w:style w:type="paragraph" w:styleId="Style30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1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8"/>
        <w:tab w:val="left" w:pos="567" w:leader="none"/>
      </w:tabs>
      <w:spacing w:before="480" w:after="240"/>
      <w:ind w:hanging="567" w:left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2" w:customStyle="1">
    <w:name w:val="Таблица текст"/>
    <w:basedOn w:val="Normal"/>
    <w:qFormat/>
    <w:rsid w:val="00343e95"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hanging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hanging="0" w:left="112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hanging="0" w:left="140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hanging="0" w:left="168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Style33" w:customStyle="1">
    <w:name w:val="Содержимое врезки"/>
    <w:basedOn w:val="Normal"/>
    <w:qFormat/>
    <w:pPr/>
    <w:rPr/>
  </w:style>
  <w:style w:type="paragraph" w:styleId="Style34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5" w:customStyle="1">
    <w:name w:val="Заголовок таблицы"/>
    <w:basedOn w:val="Style34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10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8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header" Target="header8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4AAD2-2454-4A9C-8C73-698C8F4B0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2900</TotalTime>
  <Application>AlterOffice/2026.2.0.0$Linux_X86_64 LibreOffice_project/bc4ef1adf80b36c7a6365f8ed6cbf29021361edd</Application>
  <AppVersion>15.0000</AppVersion>
  <Pages>5</Pages>
  <Words>2397</Words>
  <Characters>15828</Characters>
  <CharactersWithSpaces>17988</CharactersWithSpaces>
  <Paragraphs>262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2023-12-01T08:22:00Z</dcterms:created>
  <dc:creator>Быстров Олег Геннадьевич</dc:creator>
  <dc:description/>
  <dc:language>ru-RU</dc:language>
  <cp:lastModifiedBy>bagryantsevee@corp.gidroogk.com</cp:lastModifiedBy>
  <cp:lastPrinted>2025-07-09T02:03:00Z</cp:lastPrinted>
  <dcterms:modified xsi:type="dcterms:W3CDTF">2026-09-08T16:28:07Z</dcterms:modified>
  <cp:revision>123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