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bCs/>
          <w:sz w:val="24"/>
          <w:szCs w:val="24"/>
        </w:rPr>
        <w:t>Договор поставки №_______</w:t>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8"/>
          <w:tab w:val="right" w:pos="10200" w:leader="none"/>
        </w:tabs>
        <w:rPr>
          <w:bCs/>
          <w:sz w:val="24"/>
          <w:szCs w:val="24"/>
        </w:rPr>
      </w:pPr>
      <w:r>
        <w:rPr>
          <w:bCs/>
          <w:sz w:val="24"/>
          <w:szCs w:val="24"/>
        </w:rPr>
        <w:t>г. Хабаровск</w:t>
        <w:tab/>
        <w:t xml:space="preserve">   «___» _________ 20__ г.</w:t>
      </w:r>
    </w:p>
    <w:p>
      <w:pPr>
        <w:pStyle w:val="Normal"/>
        <w:shd w:val="clear" w:color="auto" w:fill="FFFFFF"/>
        <w:tabs>
          <w:tab w:val="clear" w:pos="708"/>
          <w:tab w:val="right" w:pos="9639" w:leader="none"/>
        </w:tabs>
        <w:ind w:firstLine="709"/>
        <w:jc w:val="right"/>
        <w:rPr>
          <w:bCs/>
          <w:sz w:val="24"/>
          <w:szCs w:val="24"/>
        </w:rPr>
      </w:pPr>
      <w:r>
        <w:rPr>
          <w:bCs/>
          <w:sz w:val="24"/>
          <w:szCs w:val="24"/>
        </w:rPr>
      </w:r>
    </w:p>
    <w:p>
      <w:pPr>
        <w:pStyle w:val="Normal"/>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9" w:left="0"/>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w:t>
      </w:r>
      <w:r>
        <w:rPr>
          <w:rFonts w:ascii="Times New Roman" w:hAnsi="Times New Roman"/>
          <w:b w:val="false"/>
          <w:color w:val="auto"/>
          <w:sz w:val="24"/>
          <w:szCs w:val="24"/>
          <w:lang w:val="ru-RU" w:eastAsia="en-US"/>
        </w:rPr>
        <w:t>определяются</w:t>
      </w:r>
      <w:r>
        <w:rPr>
          <w:rFonts w:ascii="Times New Roman" w:hAnsi="Times New Roman"/>
          <w:b w:val="false"/>
          <w:color w:val="auto"/>
          <w:sz w:val="24"/>
          <w:szCs w:val="24"/>
          <w:lang w:eastAsia="en-US"/>
        </w:rPr>
        <w:t xml:space="preserve">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ListParagraph"/>
        <w:numPr>
          <w:ilvl w:val="1"/>
          <w:numId w:val="2"/>
        </w:numPr>
        <w:shd w:val="clear" w:color="auto" w:fill="FFFFFF"/>
        <w:ind w:firstLine="709" w:left="0"/>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блок-контейнер (бытовку)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Поставка Товара по Договору осуществляется для нужд АО «СК РусГидро».</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Поставка осуществляется в пределах территории Российской Федерации. </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Начало – с даты подписания договора;</w:t>
      </w:r>
    </w:p>
    <w:p>
      <w:pPr>
        <w:pStyle w:val="Normal"/>
        <w:numPr>
          <w:ilvl w:val="2"/>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Окончание – «31» декабря 2026 г.</w:t>
      </w:r>
    </w:p>
    <w:p>
      <w:pPr>
        <w:pStyle w:val="Normal"/>
        <w:shd w:val="clear" w:color="auto" w:fill="FFFFFF"/>
        <w:tabs>
          <w:tab w:val="clear" w:pos="708"/>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и/или приобретение Товара;</w:t>
      </w:r>
    </w:p>
    <w:p>
      <w:pPr>
        <w:pStyle w:val="ListParagraph"/>
        <w:numPr>
          <w:ilvl w:val="2"/>
          <w:numId w:val="9"/>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ListParagraph"/>
        <w:numPr>
          <w:ilvl w:val="2"/>
          <w:numId w:val="9"/>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ListParagraph"/>
        <w:numPr>
          <w:ilvl w:val="2"/>
          <w:numId w:val="9"/>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ListParagraph"/>
        <w:numPr>
          <w:ilvl w:val="2"/>
          <w:numId w:val="9"/>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Накладной ТОРГ-12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8"/>
          <w:tab w:val="left" w:pos="0" w:leader="none"/>
          <w:tab w:val="left" w:pos="1134" w:leader="none"/>
          <w:tab w:val="left" w:pos="1276"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 xml:space="preserve">фактуры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pPr>
        <w:pStyle w:val="Normal"/>
        <w:shd w:val="clear" w:color="auto" w:fill="FFFFFF"/>
        <w:tabs>
          <w:tab w:val="clear" w:pos="708"/>
          <w:tab w:val="left" w:pos="567" w:leader="none"/>
          <w:tab w:val="left" w:pos="716" w:leader="none"/>
          <w:tab w:val="left" w:pos="1134" w:leader="none"/>
          <w:tab w:val="left" w:pos="1708" w:leader="none"/>
        </w:tabs>
        <w:ind w:left="709"/>
        <w:jc w:val="both"/>
        <w:rPr>
          <w:sz w:val="24"/>
          <w:szCs w:val="24"/>
          <w:highlight w:val="lightGray"/>
        </w:rPr>
      </w:pPr>
      <w:r>
        <w:rPr>
          <w:sz w:val="24"/>
          <w:szCs w:val="24"/>
          <w:highlight w:val="lightGray"/>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Покупатель в срок не позднее 30 (тридцать) календарных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hyperlink r:id="rId2">
        <w:r>
          <w:rPr>
            <w:rStyle w:val="Hyperlink"/>
            <w:sz w:val="24"/>
            <w:szCs w:val="24"/>
            <w:lang w:val="en-US"/>
          </w:rPr>
          <w:t>ShubinVYu</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r>
        <w:rPr>
          <w:sz w:val="24"/>
          <w:szCs w:val="24"/>
        </w:rPr>
        <w:t xml:space="preserve">, </w:t>
      </w:r>
      <w:hyperlink r:id="rId3">
        <w:r>
          <w:rPr>
            <w:rStyle w:val="Hyperlink"/>
            <w:sz w:val="24"/>
            <w:szCs w:val="24"/>
            <w:lang w:val="en-US"/>
          </w:rPr>
          <w:t>AntonovPE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r>
        <w:rPr>
          <w:sz w:val="24"/>
          <w:szCs w:val="24"/>
        </w:rPr>
        <w:t xml:space="preserve">, </w:t>
      </w:r>
      <w:hyperlink r:id="rId4">
        <w:r>
          <w:rPr>
            <w:rStyle w:val="Hyperlink"/>
            <w:sz w:val="24"/>
            <w:szCs w:val="24"/>
            <w:lang w:val="en-US"/>
          </w:rPr>
          <w:t>BaevaVV</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r>
        <w:rPr>
          <w:sz w:val="24"/>
          <w:szCs w:val="24"/>
        </w:rPr>
        <w:t xml:space="preserve">, </w:t>
      </w:r>
      <w:hyperlink r:id="rId5">
        <w:r>
          <w:rPr>
            <w:rStyle w:val="Hyperlink"/>
            <w:sz w:val="24"/>
            <w:szCs w:val="24"/>
            <w:lang w:val="en-US"/>
          </w:rPr>
          <w:t>BagryantsevEE</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r>
        <w:rPr>
          <w:sz w:val="24"/>
          <w:szCs w:val="24"/>
        </w:rPr>
        <w:t xml:space="preserve"> с последующим направлением письменного ответа по адресу, указанному в разделе 15 Договора.</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Покупатель не позднее 28 (двадцати восьми) календарных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8"/>
          <w:tab w:val="left" w:pos="993" w:leader="none"/>
          <w:tab w:val="left" w:pos="1418" w:leader="none"/>
        </w:tabs>
        <w:ind w:firstLine="709" w:left="0"/>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8"/>
          <w:tab w:val="left" w:pos="993" w:leader="none"/>
          <w:tab w:val="left" w:pos="1418" w:leader="none"/>
        </w:tabs>
        <w:ind w:firstLine="709" w:left="0"/>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8"/>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8"/>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8"/>
          <w:tab w:val="left" w:pos="993" w:leader="none"/>
          <w:tab w:val="left" w:pos="1418" w:leader="none"/>
        </w:tabs>
        <w:ind w:firstLine="709" w:left="0"/>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накладная ТОРГ-12 в 1 (одном)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8"/>
          <w:tab w:val="left" w:pos="1134" w:leader="none"/>
          <w:tab w:val="left" w:pos="1418" w:leader="none"/>
        </w:tabs>
        <w:ind w:left="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разгрузка и перемещение Товара (в том числе </w:t>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1" w:name="_Ref361396594"/>
      <w:r>
        <w:rPr>
          <w:sz w:val="24"/>
          <w:szCs w:val="24"/>
        </w:rPr>
        <w:t>Датой поставки Товара является дата подписания Сторонами Накладной</w:t>
        <w:br/>
        <w:t>ТОРГ-12.</w:t>
      </w:r>
      <w:bookmarkEnd w:id="1"/>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8"/>
          <w:tab w:val="left" w:pos="1418" w:leader="none"/>
        </w:tabs>
        <w:ind w:firstLine="709" w:left="0"/>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p>
    <w:p>
      <w:pPr>
        <w:pStyle w:val="ListParagraph"/>
        <w:numPr>
          <w:ilvl w:val="1"/>
          <w:numId w:val="2"/>
        </w:numPr>
        <w:tabs>
          <w:tab w:val="clear" w:pos="708"/>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8"/>
          <w:tab w:val="left" w:pos="1418" w:leader="none"/>
          <w:tab w:val="left" w:pos="1851"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widowControl/>
        <w:shd w:val="clear" w:color="auto" w:fill="FFFFFF"/>
        <w:tabs>
          <w:tab w:val="clear" w:pos="708"/>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8"/>
          <w:tab w:val="left" w:pos="1134" w:leader="none"/>
          <w:tab w:val="left" w:pos="1276"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5"/>
      <w:bookmarkStart w:id="4" w:name="OLE_LINK6"/>
      <w:r>
        <w:rPr>
          <w:sz w:val="24"/>
          <w:szCs w:val="24"/>
        </w:rPr>
        <w:t>Покупателем в соответствии с пунктом 4.3 Договора</w:t>
      </w:r>
      <w:bookmarkEnd w:id="3"/>
      <w:bookmarkEnd w:id="4"/>
      <w:r>
        <w:rPr>
          <w:sz w:val="24"/>
          <w:szCs w:val="24"/>
        </w:rPr>
        <w:t xml:space="preserve">, путем замены Товара. </w:t>
      </w:r>
    </w:p>
    <w:p>
      <w:pPr>
        <w:pStyle w:val="Normal"/>
        <w:widowControl/>
        <w:shd w:val="clear" w:color="auto" w:fill="FFFFFF"/>
        <w:tabs>
          <w:tab w:val="clear" w:pos="708"/>
          <w:tab w:val="left" w:pos="1134" w:leader="none"/>
        </w:tabs>
        <w:ind w:firstLine="709"/>
        <w:jc w:val="both"/>
        <w:rPr>
          <w:sz w:val="24"/>
          <w:szCs w:val="24"/>
        </w:rPr>
      </w:pPr>
      <w:r>
        <w:rPr>
          <w:sz w:val="24"/>
          <w:szCs w:val="24"/>
        </w:rPr>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8"/>
          <w:tab w:val="left" w:pos="1134" w:leader="none"/>
          <w:tab w:val="left" w:pos="1276"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ind w:firstLine="709"/>
        <w:jc w:val="both"/>
        <w:rPr>
          <w:sz w:val="24"/>
          <w:szCs w:val="24"/>
        </w:rPr>
      </w:pPr>
      <w:r>
        <w:rPr>
          <w:sz w:val="24"/>
          <w:szCs w:val="24"/>
        </w:rPr>
      </w:r>
    </w:p>
    <w:p>
      <w:pPr>
        <w:pStyle w:val="Normal"/>
        <w:numPr>
          <w:ilvl w:val="0"/>
          <w:numId w:val="2"/>
        </w:numPr>
        <w:shd w:val="clear" w:color="auto" w:fill="FFFFFF"/>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276" w:leader="none"/>
        </w:tabs>
        <w:ind w:firstLine="709" w:left="0"/>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Normal"/>
        <w:widowControl/>
        <w:numPr>
          <w:ilvl w:val="1"/>
          <w:numId w:val="2"/>
        </w:numPr>
        <w:tabs>
          <w:tab w:val="clear" w:pos="708"/>
          <w:tab w:val="left" w:pos="1276" w:leader="none"/>
        </w:tabs>
        <w:ind w:firstLine="709" w:left="0"/>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8"/>
          <w:tab w:val="left" w:pos="1276" w:leader="none"/>
        </w:tabs>
        <w:ind w:firstLine="709" w:left="0"/>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счетов-фактур,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Pr>
          <w:bCs/>
          <w:i/>
          <w:iCs/>
          <w:sz w:val="24"/>
          <w:szCs w:val="24"/>
          <w:highlight w:val="lightGray"/>
          <w:lang w:val="en-GB"/>
        </w:rPr>
        <w:t>(</w:t>
      </w:r>
      <w:r>
        <w:rPr>
          <w:bCs/>
          <w:i/>
          <w:iCs/>
          <w:sz w:val="24"/>
          <w:szCs w:val="24"/>
          <w:highlight w:val="lightGray"/>
        </w:rPr>
        <w:t xml:space="preserve">если предусмотрен </w:t>
      </w:r>
      <w:r>
        <w:rPr>
          <w:bCs/>
          <w:i/>
          <w:iCs/>
          <w:sz w:val="24"/>
          <w:szCs w:val="24"/>
          <w:highlight w:val="lightGray"/>
          <w:lang w:val="en-GB"/>
        </w:rPr>
        <w:t>НДС)</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276" w:leader="none"/>
        </w:tabs>
        <w:ind w:firstLine="709" w:left="0"/>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276" w:leader="none"/>
        </w:tabs>
        <w:ind w:firstLine="709" w:left="0"/>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8"/>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hanging="0" w:left="0"/>
        <w:jc w:val="center"/>
        <w:rPr>
          <w:b/>
          <w:bCs/>
          <w:sz w:val="24"/>
          <w:szCs w:val="24"/>
        </w:rPr>
      </w:pPr>
      <w:r>
        <w:rPr>
          <w:b/>
          <w:bCs/>
          <w:sz w:val="24"/>
          <w:szCs w:val="24"/>
        </w:rPr>
        <w:t>Антикоррупционная оговорка</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Каналы связи Линия доверия Группы РусГидро:</w:t>
      </w:r>
    </w:p>
    <w:p>
      <w:pPr>
        <w:pStyle w:val="ListParagraph"/>
        <w:widowControl/>
        <w:numPr>
          <w:ilvl w:val="2"/>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Электронная почта: </w:t>
      </w:r>
      <w:hyperlink r:id="rId6">
        <w:r>
          <w:rPr>
            <w:rStyle w:val="Hyperlink"/>
            <w:bCs/>
            <w:color w:val="auto"/>
            <w:sz w:val="24"/>
            <w:szCs w:val="24"/>
          </w:rPr>
          <w:t>ld@rushydro.ru</w:t>
        </w:r>
      </w:hyperlink>
      <w:r>
        <w:rPr>
          <w:bCs/>
          <w:sz w:val="24"/>
          <w:szCs w:val="24"/>
        </w:rPr>
        <w:t>.</w:t>
      </w:r>
    </w:p>
    <w:p>
      <w:pPr>
        <w:pStyle w:val="ListParagraph"/>
        <w:widowControl/>
        <w:numPr>
          <w:ilvl w:val="2"/>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134"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8"/>
          <w:tab w:val="left" w:pos="1134" w:leader="none"/>
        </w:tabs>
        <w:ind w:firstLine="709" w:left="0"/>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7">
        <w:r>
          <w:rPr>
            <w:bCs/>
            <w:sz w:val="24"/>
            <w:szCs w:val="24"/>
          </w:rPr>
          <w:t>№ 18162/09</w:t>
        </w:r>
      </w:hyperlink>
      <w:r>
        <w:rPr>
          <w:bCs/>
          <w:sz w:val="24"/>
          <w:szCs w:val="24"/>
        </w:rPr>
        <w:t xml:space="preserve"> </w:t>
        <w:br/>
        <w:t xml:space="preserve">и от 25.05.2010 </w:t>
      </w:r>
      <w:hyperlink r:id="rId8">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и/или </w:t>
      </w:r>
    </w:p>
    <w:p>
      <w:pPr>
        <w:pStyle w:val="ListParagraph"/>
        <w:widowControl/>
        <w:numPr>
          <w:ilvl w:val="1"/>
          <w:numId w:val="12"/>
        </w:numPr>
        <w:shd w:val="clear" w:color="auto" w:fill="FFFFFF"/>
        <w:tabs>
          <w:tab w:val="clear" w:pos="708"/>
          <w:tab w:val="left" w:pos="1134" w:leader="none"/>
        </w:tabs>
        <w:ind w:firstLine="709" w:left="0"/>
        <w:jc w:val="both"/>
        <w:rPr>
          <w:bCs/>
          <w:sz w:val="24"/>
          <w:szCs w:val="24"/>
        </w:rPr>
      </w:pPr>
      <w:r>
        <w:rPr>
          <w:bCs/>
          <w:sz w:val="24"/>
          <w:szCs w:val="24"/>
        </w:rPr>
        <w:t xml:space="preserve">соответствующие </w:t>
      </w:r>
      <w:hyperlink r:id="rId9">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и/или нарушившим свои обязательства по Договору.</w:t>
      </w:r>
      <w:bookmarkEnd w:id="13"/>
    </w:p>
    <w:p>
      <w:pPr>
        <w:pStyle w:val="ListParagraph"/>
        <w:widowControl/>
        <w:numPr>
          <w:ilvl w:val="1"/>
          <w:numId w:val="13"/>
        </w:numPr>
        <w:shd w:val="clear" w:color="auto" w:fill="FFFFFF"/>
        <w:tabs>
          <w:tab w:val="clear" w:pos="708"/>
          <w:tab w:val="left" w:pos="1134" w:leader="none"/>
        </w:tabs>
        <w:ind w:firstLine="709" w:left="0"/>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ListParagraph"/>
        <w:widowControl/>
        <w:shd w:val="clear" w:color="auto" w:fill="FFFFFF"/>
        <w:tabs>
          <w:tab w:val="clear" w:pos="708"/>
          <w:tab w:val="left" w:pos="1134" w:leader="none"/>
        </w:tabs>
        <w:ind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firstLine="709" w:left="0"/>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709" w:leader="none"/>
          <w:tab w:val="left" w:pos="1418" w:leader="none"/>
        </w:tabs>
        <w:ind w:firstLine="709" w:left="0"/>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8"/>
          <w:tab w:val="left" w:pos="1134" w:leader="none"/>
          <w:tab w:val="left" w:pos="1418" w:leader="none"/>
        </w:tabs>
        <w:ind w:firstLine="709" w:left="0"/>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60 (шестьдесят) календарных дней по причинам, не зависящим от Покупателя;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8"/>
          <w:tab w:val="left" w:pos="1418" w:leader="none"/>
        </w:tabs>
        <w:spacing w:beforeAutospacing="0" w:before="0" w:afterAutospacing="0" w:after="0"/>
        <w:ind w:firstLine="709" w:left="0"/>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8"/>
          <w:tab w:val="left" w:pos="1418" w:leader="none"/>
        </w:tabs>
        <w:ind w:firstLine="709" w:left="0"/>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r>
        <w:rPr>
          <w:sz w:val="24"/>
          <w:szCs w:val="24"/>
          <w:highlight w:val="lightGray"/>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2"/>
        </w:numPr>
        <w:ind w:firstLine="709" w:left="0"/>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pPr>
        <w:pStyle w:val="ListParagraph"/>
        <w:numPr>
          <w:ilvl w:val="0"/>
          <w:numId w:val="14"/>
        </w:numPr>
        <w:tabs>
          <w:tab w:val="clear" w:pos="708"/>
          <w:tab w:val="left" w:pos="993" w:leader="none"/>
        </w:tabs>
        <w:ind w:firstLine="709" w:left="0"/>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4"/>
        </w:numPr>
        <w:tabs>
          <w:tab w:val="clear" w:pos="708"/>
          <w:tab w:val="left" w:pos="993" w:leader="none"/>
        </w:tabs>
        <w:ind w:firstLine="709" w:left="0"/>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pPr>
        <w:pStyle w:val="ListParagraph"/>
        <w:numPr>
          <w:ilvl w:val="2"/>
          <w:numId w:val="2"/>
        </w:numPr>
        <w:ind w:firstLine="709" w:left="0"/>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pPr>
        <w:pStyle w:val="ListParagraph"/>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highlight w:val="lightGray"/>
        </w:rPr>
      </w:pPr>
      <w:bookmarkStart w:id="19" w:name="_Hlk154477404"/>
      <w:bookmarkStart w:id="20" w:name="_Hlk154477413"/>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0"/>
      <w:r>
        <w:rPr>
          <w:sz w:val="24"/>
          <w:szCs w:val="24"/>
          <w:highlight w:val="lightGray"/>
        </w:rPr>
        <w:t>.</w:t>
      </w:r>
    </w:p>
    <w:p>
      <w:pPr>
        <w:pStyle w:val="ListParagraph"/>
        <w:widowControl/>
        <w:shd w:val="clear" w:color="auto" w:fill="FFFFFF"/>
        <w:tabs>
          <w:tab w:val="clear" w:pos="708"/>
          <w:tab w:val="left" w:pos="0" w:leader="none"/>
          <w:tab w:val="left" w:pos="1418" w:leader="none"/>
        </w:tabs>
        <w:ind w:firstLine="709" w:left="0"/>
        <w:jc w:val="both"/>
        <w:rPr>
          <w:sz w:val="24"/>
          <w:szCs w:val="24"/>
        </w:rPr>
      </w:pPr>
      <w:bookmarkStart w:id="21"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1"/>
      <w:r>
        <w:rPr>
          <w:i/>
          <w:iCs/>
          <w:sz w:val="24"/>
          <w:szCs w:val="24"/>
          <w:highlight w:val="lightGray"/>
        </w:rPr>
        <w:t>(в случае заключения в электронной форме</w:t>
      </w:r>
      <w:bookmarkEnd w:id="19"/>
      <w:r>
        <w:rPr>
          <w:i/>
          <w:iCs/>
          <w:sz w:val="24"/>
          <w:szCs w:val="24"/>
          <w:highlight w:val="lightGray"/>
        </w:rPr>
        <w:t>)</w:t>
      </w:r>
    </w:p>
    <w:p>
      <w:pPr>
        <w:pStyle w:val="ListParagraph"/>
        <w:widowControl/>
        <w:shd w:val="clear" w:color="auto" w:fill="FFFFFF"/>
        <w:tabs>
          <w:tab w:val="clear" w:pos="708"/>
          <w:tab w:val="left" w:pos="0" w:leader="none"/>
          <w:tab w:val="left" w:pos="1418" w:leader="none"/>
        </w:tabs>
        <w:ind w:firstLine="709" w:left="0"/>
        <w:jc w:val="both"/>
        <w:rPr>
          <w:sz w:val="24"/>
          <w:szCs w:val="24"/>
        </w:rPr>
      </w:pPr>
      <w:r>
        <w:rPr>
          <w:sz w:val="24"/>
          <w:szCs w:val="24"/>
        </w:rPr>
      </w:r>
    </w:p>
    <w:p>
      <w:pPr>
        <w:pStyle w:val="Normal"/>
        <w:widowControl/>
        <w:numPr>
          <w:ilvl w:val="0"/>
          <w:numId w:val="2"/>
        </w:numPr>
        <w:shd w:val="clear" w:color="auto" w:fill="FFFFFF"/>
        <w:spacing w:before="0" w:after="0"/>
        <w:ind w:hanging="0" w:left="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pPr>
        <w:pStyle w:val="Normal"/>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hanging="0" w:left="0"/>
        <w:jc w:val="center"/>
        <w:rPr>
          <w:b/>
          <w:bCs/>
          <w:sz w:val="24"/>
          <w:szCs w:val="24"/>
        </w:rPr>
      </w:pPr>
      <w:r>
        <w:rPr>
          <w:b/>
          <w:bCs/>
          <w:sz w:val="24"/>
          <w:szCs w:val="24"/>
        </w:rPr>
        <w:t>Адреса и платежные реквизиты Сторон</w:t>
      </w:r>
    </w:p>
    <w:p>
      <w:pPr>
        <w:pStyle w:val="Normal"/>
        <w:rPr>
          <w:sz w:val="24"/>
          <w:szCs w:val="24"/>
        </w:rPr>
      </w:pPr>
      <w:r>
        <w:rPr>
          <w:sz w:val="24"/>
          <w:szCs w:val="24"/>
        </w:rPr>
      </w:r>
    </w:p>
    <w:tbl>
      <w:tblPr>
        <w:tblStyle w:val="affd"/>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ПОКУПАТЕЛЬ:</w:t>
            </w:r>
          </w:p>
        </w:tc>
        <w:tc>
          <w:tcPr>
            <w:tcW w:w="5097" w:type="dxa"/>
            <w:tcBorders>
              <w:top w:val="nil"/>
              <w:left w:val="nil"/>
              <w:bottom w:val="nil"/>
              <w:right w:val="nil"/>
            </w:tcBorders>
          </w:tcPr>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ПОСТАВЩИК:</w:t>
            </w:r>
          </w:p>
        </w:tc>
      </w:tr>
      <w:tr>
        <w:trPr/>
        <w:tc>
          <w:tcPr>
            <w:tcW w:w="5097" w:type="dxa"/>
            <w:tcBorders>
              <w:top w:val="nil"/>
              <w:left w:val="nil"/>
              <w:bottom w:val="nil"/>
              <w:right w:val="nil"/>
            </w:tcBorders>
          </w:tcPr>
          <w:p>
            <w:pPr>
              <w:pStyle w:val="Normal"/>
              <w:tabs>
                <w:tab w:val="clear" w:pos="708"/>
                <w:tab w:val="left" w:pos="851" w:leader="none"/>
              </w:tabs>
              <w:suppressAutoHyphens w:val="true"/>
              <w:spacing w:before="0" w:after="0"/>
              <w:contextualSpacing/>
              <w:jc w:val="left"/>
              <w:rPr>
                <w:b/>
                <w:sz w:val="24"/>
                <w:szCs w:val="24"/>
              </w:rPr>
            </w:pPr>
            <w:r>
              <w:rPr>
                <w:rFonts w:eastAsia="Times New Roman" w:cs="Times New Roman"/>
                <w:b/>
                <w:kern w:val="0"/>
                <w:sz w:val="24"/>
                <w:szCs w:val="24"/>
                <w:lang w:val="ru-RU" w:eastAsia="ru-RU" w:bidi="ar-SA"/>
              </w:rPr>
              <w:t>Акционерное общество «</w:t>
            </w:r>
            <w:r>
              <w:rPr>
                <w:rFonts w:eastAsia="Times New Roman" w:cs="Times New Roman"/>
                <w:b/>
                <w:bCs/>
                <w:kern w:val="0"/>
                <w:sz w:val="24"/>
                <w:szCs w:val="24"/>
                <w:lang w:val="ru-RU" w:eastAsia="ru-RU" w:bidi="ar-SA"/>
              </w:rPr>
              <w:t>Сервисная Компания РусГидро</w:t>
            </w:r>
            <w:r>
              <w:rPr>
                <w:rFonts w:eastAsia="Times New Roman" w:cs="Times New Roman"/>
                <w:b/>
                <w:kern w:val="0"/>
                <w:sz w:val="24"/>
                <w:szCs w:val="24"/>
                <w:lang w:val="ru-RU" w:eastAsia="ru-RU" w:bidi="ar-SA"/>
              </w:rPr>
              <w:t xml:space="preserve">» </w:t>
            </w:r>
          </w:p>
          <w:p>
            <w:pPr>
              <w:pStyle w:val="Normal"/>
              <w:tabs>
                <w:tab w:val="clear" w:pos="708"/>
                <w:tab w:val="left" w:pos="851" w:leader="none"/>
              </w:tabs>
              <w:suppressAutoHyphens w:val="true"/>
              <w:spacing w:before="0" w:after="0"/>
              <w:contextualSpacing/>
              <w:jc w:val="both"/>
              <w:rPr>
                <w:b/>
                <w:sz w:val="24"/>
                <w:szCs w:val="24"/>
              </w:rPr>
            </w:pPr>
            <w:r>
              <w:rPr>
                <w:rFonts w:eastAsia="Times New Roman" w:cs="Times New Roman"/>
                <w:b/>
                <w:kern w:val="0"/>
                <w:sz w:val="24"/>
                <w:szCs w:val="24"/>
                <w:lang w:val="ru-RU" w:eastAsia="ru-RU" w:bidi="ar-SA"/>
              </w:rPr>
              <w:t>(</w:t>
            </w:r>
            <w:r>
              <w:rPr>
                <w:rFonts w:eastAsia="Times New Roman" w:cs="Times New Roman"/>
                <w:b/>
                <w:bCs/>
                <w:kern w:val="0"/>
                <w:sz w:val="24"/>
                <w:szCs w:val="24"/>
                <w:lang w:val="ru-RU" w:eastAsia="ru-RU" w:bidi="ar-SA"/>
              </w:rPr>
              <w:t>АО «СК РусГидро»</w:t>
            </w:r>
            <w:r>
              <w:rPr>
                <w:rFonts w:eastAsia="Times New Roman" w:cs="Times New Roman"/>
                <w:b/>
                <w:kern w:val="0"/>
                <w:sz w:val="24"/>
                <w:szCs w:val="24"/>
                <w:lang w:val="ru-RU" w:eastAsia="ru-RU" w:bidi="ar-SA"/>
              </w:rPr>
              <w:t>)</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Адрес (юридический/почтовый):  </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680000, Хабаровский край, г. Хабаровск, </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ул. Тургенева, дом 80, этаж 2, помещ. </w:t>
            </w:r>
            <w:r>
              <w:rPr>
                <w:rFonts w:eastAsia="Times New Roman" w:cs="Times New Roman"/>
                <w:kern w:val="0"/>
                <w:sz w:val="24"/>
                <w:szCs w:val="24"/>
                <w:lang w:val="en-US" w:eastAsia="ru-RU" w:bidi="ar-SA"/>
              </w:rPr>
              <w:t>II</w:t>
            </w:r>
            <w:r>
              <w:rPr>
                <w:rFonts w:eastAsia="Times New Roman" w:cs="Times New Roman"/>
                <w:kern w:val="0"/>
                <w:sz w:val="24"/>
                <w:szCs w:val="24"/>
                <w:lang w:val="ru-RU" w:eastAsia="ru-RU" w:bidi="ar-SA"/>
              </w:rPr>
              <w:t xml:space="preserve"> (1-13)</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ОГРН 1042502690339</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ИНН 2526007482 КПП 272101001</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р/с 40702810223022005387</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Филиал Банка ВТБ (ПАО) в г. Хабаровске </w:t>
            </w:r>
          </w:p>
          <w:p>
            <w:pPr>
              <w:pStyle w:val="Normal"/>
              <w:tabs>
                <w:tab w:val="clear" w:pos="708"/>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к/с 30101810400000000727</w:t>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t>БИК 040813727</w:t>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color w:val="000000"/>
                <w:kern w:val="0"/>
                <w:sz w:val="24"/>
                <w:szCs w:val="24"/>
                <w:lang w:val="en-US" w:eastAsia="ru-RU" w:bidi="ar-SA"/>
              </w:rPr>
              <w:t>E</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US" w:eastAsia="ru-RU" w:bidi="ar-SA"/>
              </w:rPr>
              <w:t>mail</w:t>
            </w: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en-GB" w:eastAsia="ru-RU" w:bidi="ar-SA"/>
              </w:rPr>
              <w:t>sk</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rushydro</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w:t>
            </w:r>
            <w:r>
              <w:rPr>
                <w:rFonts w:eastAsia="Times New Roman" w:cs="Times New Roman"/>
                <w:color w:val="000000"/>
                <w:kern w:val="0"/>
                <w:sz w:val="24"/>
                <w:szCs w:val="24"/>
                <w:lang w:val="en-US" w:eastAsia="ru-RU" w:bidi="ar-SA"/>
              </w:rPr>
              <w:t>u</w:t>
            </w:r>
          </w:p>
        </w:tc>
        <w:tc>
          <w:tcPr>
            <w:tcW w:w="5097" w:type="dxa"/>
            <w:tcBorders>
              <w:top w:val="nil"/>
              <w:left w:val="nil"/>
              <w:bottom w:val="nil"/>
              <w:right w:val="nil"/>
            </w:tcBorders>
          </w:tcPr>
          <w:p>
            <w:pPr>
              <w:pStyle w:val="Normal"/>
              <w:tabs>
                <w:tab w:val="clear" w:pos="708"/>
                <w:tab w:val="left" w:pos="5638" w:leader="none"/>
              </w:tabs>
              <w:suppressAutoHyphens w:val="true"/>
              <w:spacing w:before="0" w:after="0"/>
              <w:ind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tabs>
                <w:tab w:val="clear" w:pos="708"/>
                <w:tab w:val="left" w:pos="5638" w:leader="none"/>
              </w:tabs>
              <w:suppressAutoHyphens w:val="true"/>
              <w:spacing w:lineRule="auto" w:line="192" w:before="0" w:after="0"/>
              <w:ind w:right="-23"/>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tabs>
                <w:tab w:val="clear" w:pos="708"/>
                <w:tab w:val="left" w:pos="5638" w:leader="none"/>
              </w:tabs>
              <w:suppressAutoHyphens w:val="true"/>
              <w:spacing w:before="0" w:after="0"/>
              <w:ind w:right="-22"/>
              <w:jc w:val="left"/>
              <w:rPr>
                <w:color w:val="000000"/>
                <w:spacing w:val="-2"/>
                <w:sz w:val="24"/>
                <w:szCs w:val="24"/>
              </w:rPr>
            </w:pPr>
            <w:r>
              <w:rPr>
                <w:rFonts w:eastAsia="Times New Roman" w:cs="Times New Roman"/>
                <w:color w:val="000000"/>
                <w:spacing w:val="-2"/>
                <w:kern w:val="0"/>
                <w:sz w:val="24"/>
                <w:szCs w:val="24"/>
                <w:lang w:val="ru-RU" w:eastAsia="ru-RU" w:bidi="ar-SA"/>
              </w:rPr>
              <w:t>Адрес (место нахождения):</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Почтовый адрес:</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ОГРН ________________________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ИНН __________ КПП __________</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р/с ___________________________</w:t>
            </w:r>
          </w:p>
          <w:p>
            <w:pPr>
              <w:pStyle w:val="Normal"/>
              <w:tabs>
                <w:tab w:val="clear" w:pos="708"/>
                <w:tab w:val="left" w:pos="5638" w:leader="none"/>
              </w:tabs>
              <w:suppressAutoHyphens w:val="true"/>
              <w:spacing w:lineRule="auto" w:line="192" w:before="0" w:after="0"/>
              <w:ind w:hanging="1094" w:left="1094" w:right="-23"/>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tabs>
                <w:tab w:val="clear" w:pos="708"/>
                <w:tab w:val="left" w:pos="5638" w:leader="none"/>
              </w:tabs>
              <w:suppressAutoHyphens w:val="true"/>
              <w:spacing w:lineRule="auto" w:line="192" w:before="0" w:after="0"/>
              <w:ind w:right="-23"/>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К/с ___________________________</w:t>
            </w:r>
          </w:p>
          <w:p>
            <w:pPr>
              <w:pStyle w:val="Normal"/>
              <w:tabs>
                <w:tab w:val="clear" w:pos="708"/>
                <w:tab w:val="left" w:pos="5638" w:leader="none"/>
              </w:tabs>
              <w:suppressAutoHyphens w:val="true"/>
              <w:spacing w:lineRule="auto" w:line="192" w:before="0" w:after="0"/>
              <w:ind w:hanging="1094" w:left="1094" w:right="-23"/>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tabs>
                <w:tab w:val="clear" w:pos="708"/>
                <w:tab w:val="left" w:pos="5638" w:leader="none"/>
              </w:tabs>
              <w:suppressAutoHyphens w:val="true"/>
              <w:spacing w:before="0" w:after="0"/>
              <w:ind w:hanging="1094" w:left="1094" w:right="-22"/>
              <w:jc w:val="left"/>
              <w:rPr>
                <w:color w:val="000000"/>
                <w:spacing w:val="-2"/>
                <w:sz w:val="24"/>
                <w:szCs w:val="24"/>
              </w:rPr>
            </w:pPr>
            <w:r>
              <w:rPr>
                <w:rFonts w:eastAsia="Times New Roman" w:cs="Times New Roman"/>
                <w:color w:val="000000"/>
                <w:spacing w:val="-2"/>
                <w:kern w:val="0"/>
                <w:sz w:val="24"/>
                <w:szCs w:val="24"/>
                <w:lang w:val="ru-RU" w:eastAsia="ru-RU" w:bidi="ar-SA"/>
              </w:rPr>
              <w:t>БИК___________________________</w:t>
            </w:r>
          </w:p>
          <w:p>
            <w:pPr>
              <w:pStyle w:val="Normal"/>
              <w:tabs>
                <w:tab w:val="clear" w:pos="708"/>
                <w:tab w:val="left" w:pos="5638" w:leader="none"/>
              </w:tabs>
              <w:suppressAutoHyphens w:val="true"/>
              <w:spacing w:lineRule="auto" w:line="192" w:before="0" w:after="0"/>
              <w:ind w:hanging="1094" w:left="1094" w:right="-23"/>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tabs>
                <w:tab w:val="clear" w:pos="708"/>
                <w:tab w:val="left" w:pos="426" w:leader="none"/>
              </w:tabs>
              <w:suppressAutoHyphens w:val="true"/>
              <w:spacing w:before="0" w:after="0"/>
              <w:jc w:val="left"/>
              <w:rPr>
                <w:sz w:val="24"/>
                <w:szCs w:val="24"/>
              </w:rPr>
            </w:pPr>
            <w:r>
              <w:rPr>
                <w:rFonts w:eastAsia="Times New Roman" w:cs="Times New Roman"/>
                <w:kern w:val="0"/>
                <w:sz w:val="24"/>
                <w:szCs w:val="24"/>
                <w:lang w:val="ru-RU" w:eastAsia="ru-RU" w:bidi="ar-SA"/>
              </w:rPr>
              <w:t>_______________________________</w:t>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kern w:val="0"/>
                <w:sz w:val="20"/>
                <w:szCs w:val="20"/>
                <w:lang w:val="ru-RU" w:eastAsia="ru-RU" w:bidi="ar-SA"/>
              </w:rPr>
              <w:t>(номер телефона, адрес электронной почты)</w:t>
            </w:r>
          </w:p>
        </w:tc>
      </w:tr>
      <w:tr>
        <w:trPr/>
        <w:tc>
          <w:tcPr>
            <w:tcW w:w="5097" w:type="dxa"/>
            <w:tcBorders>
              <w:top w:val="nil"/>
              <w:left w:val="nil"/>
              <w:bottom w:val="nil"/>
              <w:right w:val="nil"/>
            </w:tcBorders>
          </w:tcPr>
          <w:p>
            <w:pPr>
              <w:pStyle w:val="Normal"/>
              <w:suppressAutoHyphens w:val="true"/>
              <w:spacing w:before="0" w:after="0"/>
              <w:jc w:val="left"/>
              <w:rPr>
                <w:sz w:val="24"/>
                <w:szCs w:val="24"/>
              </w:rPr>
            </w:pPr>
            <w:r>
              <w:rPr>
                <w:rFonts w:eastAsia="Times New Roman" w:cs="Times New Roman"/>
                <w:kern w:val="0"/>
                <w:sz w:val="24"/>
                <w:szCs w:val="24"/>
                <w:lang w:val="ru-RU" w:eastAsia="ru-RU" w:bidi="ar-SA"/>
              </w:rPr>
              <w:t>Заместитель генерального директора</w:t>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t>По управление ресурсами</w:t>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r>
          </w:p>
          <w:p>
            <w:pPr>
              <w:pStyle w:val="Normal"/>
              <w:suppressAutoHyphens w:val="true"/>
              <w:spacing w:before="0" w:after="0"/>
              <w:jc w:val="left"/>
              <w:rPr>
                <w:sz w:val="24"/>
                <w:szCs w:val="24"/>
              </w:rPr>
            </w:pPr>
            <w:r>
              <w:rPr>
                <w:rFonts w:eastAsia="Times New Roman" w:cs="Times New Roman"/>
                <w:kern w:val="0"/>
                <w:sz w:val="24"/>
                <w:szCs w:val="24"/>
                <w:lang w:val="ru-RU" w:eastAsia="ru-RU" w:bidi="ar-SA"/>
              </w:rPr>
              <w:t xml:space="preserve">__________________ / Н.Н. Клочков </w:t>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r>
          </w:p>
        </w:tc>
        <w:tc>
          <w:tcPr>
            <w:tcW w:w="5097" w:type="dxa"/>
            <w:tcBorders>
              <w:top w:val="nil"/>
              <w:left w:val="nil"/>
              <w:bottom w:val="nil"/>
              <w:right w:val="nil"/>
            </w:tcBorders>
          </w:tcPr>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_______________________________</w:t>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r>
          </w:p>
          <w:p>
            <w:pPr>
              <w:pStyle w:val="Normal"/>
              <w:tabs>
                <w:tab w:val="clear" w:pos="708"/>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 / _____________</w:t>
            </w:r>
          </w:p>
        </w:tc>
      </w:tr>
    </w:tbl>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jc w:val="right"/>
        <w:rPr>
          <w:sz w:val="22"/>
          <w:szCs w:val="22"/>
        </w:rPr>
      </w:pPr>
      <w:r>
        <w:rPr>
          <w:sz w:val="22"/>
          <w:szCs w:val="22"/>
        </w:rPr>
        <w:t>Приложение № 1</w:t>
      </w:r>
    </w:p>
    <w:p>
      <w:pPr>
        <w:pStyle w:val="Normal"/>
        <w:jc w:val="right"/>
        <w:rPr>
          <w:sz w:val="22"/>
          <w:szCs w:val="22"/>
        </w:rPr>
      </w:pPr>
      <w:r>
        <w:rPr>
          <w:sz w:val="22"/>
          <w:szCs w:val="22"/>
        </w:rPr>
        <w:t>к Договору поставки</w:t>
      </w:r>
    </w:p>
    <w:p>
      <w:pPr>
        <w:pStyle w:val="Normal"/>
        <w:jc w:val="right"/>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p>
      <w:pPr>
        <w:pStyle w:val="ListParagraph"/>
        <w:numPr>
          <w:ilvl w:val="0"/>
          <w:numId w:val="16"/>
        </w:numPr>
        <w:jc w:val="both"/>
        <w:rPr>
          <w:b/>
          <w:i/>
          <w:i/>
          <w:color w:val="FF0000"/>
          <w:sz w:val="24"/>
          <w:szCs w:val="24"/>
        </w:rPr>
      </w:pPr>
      <w:r>
        <w:rPr>
          <w:b/>
          <w:bCs/>
          <w:sz w:val="24"/>
          <w:szCs w:val="24"/>
        </w:rPr>
        <w:t>Перечень и объем закупаемой продукции</w:t>
      </w:r>
      <w:r>
        <w:rPr>
          <w:b/>
          <w:sz w:val="24"/>
          <w:szCs w:val="24"/>
        </w:rPr>
        <w:t xml:space="preserve"> </w:t>
      </w:r>
      <w:r>
        <w:rPr>
          <w:b/>
          <w:i/>
          <w:color w:val="FF0000"/>
          <w:sz w:val="24"/>
          <w:szCs w:val="24"/>
          <w:u w:val="single"/>
        </w:rPr>
        <w:t>(Технические характеристики продукции могут быть изменены согласно результатам проведенной закупочной процедуры)</w:t>
      </w:r>
    </w:p>
    <w:p>
      <w:pPr>
        <w:pStyle w:val="Normal"/>
        <w:ind w:firstLine="709"/>
        <w:jc w:val="center"/>
        <w:rPr>
          <w:b/>
          <w:sz w:val="24"/>
          <w:szCs w:val="24"/>
        </w:rPr>
      </w:pPr>
      <w:r>
        <w:rPr>
          <w:b/>
          <w:sz w:val="24"/>
          <w:szCs w:val="24"/>
        </w:rPr>
      </w:r>
    </w:p>
    <w:tbl>
      <w:tblPr>
        <w:tblW w:w="10815" w:type="dxa"/>
        <w:jc w:val="left"/>
        <w:tblInd w:w="-572" w:type="dxa"/>
        <w:tblLayout w:type="fixed"/>
        <w:tblCellMar>
          <w:top w:w="0" w:type="dxa"/>
          <w:left w:w="108" w:type="dxa"/>
          <w:bottom w:w="0" w:type="dxa"/>
          <w:right w:w="108" w:type="dxa"/>
        </w:tblCellMar>
        <w:tblLook w:val="04a0" w:noHBand="0" w:noVBand="1" w:firstColumn="1" w:lastRow="0" w:lastColumn="0" w:firstRow="1"/>
      </w:tblPr>
      <w:tblGrid>
        <w:gridCol w:w="680"/>
        <w:gridCol w:w="1729"/>
        <w:gridCol w:w="4842"/>
        <w:gridCol w:w="916"/>
        <w:gridCol w:w="622"/>
        <w:gridCol w:w="561"/>
        <w:gridCol w:w="678"/>
        <w:gridCol w:w="785"/>
      </w:tblGrid>
      <w:tr>
        <w:trPr>
          <w:trHeight w:val="3395"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 xml:space="preserve">№ </w:t>
            </w:r>
            <w:r>
              <w:rPr>
                <w:sz w:val="22"/>
                <w:szCs w:val="22"/>
              </w:rPr>
              <w:t>п/п</w:t>
            </w:r>
          </w:p>
        </w:tc>
        <w:tc>
          <w:tcPr>
            <w:tcW w:w="172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Наименование продукции</w:t>
            </w:r>
          </w:p>
        </w:tc>
        <w:tc>
          <w:tcPr>
            <w:tcW w:w="484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Технические характеристики</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Страна происхождения товара</w:t>
            </w:r>
          </w:p>
        </w:tc>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Ед. изм.</w:t>
            </w:r>
          </w:p>
        </w:tc>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Кол-во</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НМЦ единицы продукции (руб. без НДС)</w:t>
            </w:r>
          </w:p>
        </w:tc>
        <w:tc>
          <w:tcPr>
            <w:tcW w:w="7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Итоговая стоимость позиции (руб. без НДС)</w:t>
            </w:r>
          </w:p>
        </w:tc>
      </w:tr>
      <w:tr>
        <w:trPr>
          <w:trHeight w:val="3395"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Style30"/>
              <w:jc w:val="center"/>
              <w:rPr>
                <w:color w:val="000000"/>
                <w:sz w:val="22"/>
                <w:szCs w:val="22"/>
              </w:rPr>
            </w:pPr>
            <w:r>
              <w:rPr>
                <w:color w:val="000000"/>
                <w:sz w:val="22"/>
                <w:szCs w:val="22"/>
              </w:rPr>
              <w:t>1</w:t>
            </w:r>
          </w:p>
        </w:tc>
        <w:tc>
          <w:tcPr>
            <w:tcW w:w="1729" w:type="dxa"/>
            <w:tcBorders>
              <w:top w:val="single" w:sz="4" w:space="0" w:color="000000"/>
              <w:left w:val="single" w:sz="4" w:space="0" w:color="000000"/>
              <w:bottom w:val="single" w:sz="4" w:space="0" w:color="000000"/>
              <w:right w:val="single" w:sz="4" w:space="0" w:color="000000"/>
            </w:tcBorders>
            <w:vAlign w:val="center"/>
          </w:tcPr>
          <w:p>
            <w:pPr>
              <w:pStyle w:val="Style30"/>
              <w:rPr>
                <w:sz w:val="22"/>
                <w:szCs w:val="22"/>
                <w:lang w:val="en-US"/>
              </w:rPr>
            </w:pPr>
            <w:r>
              <w:rPr>
                <w:sz w:val="24"/>
                <w:szCs w:val="24"/>
              </w:rPr>
              <w:t>Блок-контейнер (бытовка) Тип 1</w:t>
            </w:r>
          </w:p>
        </w:tc>
        <w:tc>
          <w:tcPr>
            <w:tcW w:w="4842" w:type="dxa"/>
            <w:tcBorders>
              <w:top w:val="single" w:sz="4" w:space="0" w:color="000000"/>
              <w:left w:val="single" w:sz="4" w:space="0" w:color="000000"/>
              <w:bottom w:val="single" w:sz="4" w:space="0" w:color="000000"/>
              <w:right w:val="single" w:sz="4" w:space="0" w:color="000000"/>
            </w:tcBorders>
            <w:vAlign w:val="center"/>
          </w:tcPr>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Длина, (м)</w:t>
            </w:r>
            <w:r>
              <w:rPr>
                <w:rFonts w:eastAsia="Times New Roman" w:cs="Times New Roman"/>
                <w:kern w:val="0"/>
                <w:sz w:val="24"/>
                <w:szCs w:val="24"/>
                <w:lang w:val="ru-RU" w:eastAsia="ru-RU" w:bidi="ar-SA"/>
              </w:rPr>
              <w:t>: не менее 4, но не более 5</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Ширина, (м)</w:t>
            </w:r>
            <w:r>
              <w:rPr>
                <w:rFonts w:eastAsia="Times New Roman" w:cs="Times New Roman"/>
                <w:kern w:val="0"/>
                <w:sz w:val="24"/>
                <w:szCs w:val="24"/>
                <w:lang w:val="ru-RU" w:eastAsia="ru-RU" w:bidi="ar-SA"/>
              </w:rPr>
              <w:t>: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Высота, (м)</w:t>
            </w:r>
            <w:r>
              <w:rPr>
                <w:rFonts w:eastAsia="Times New Roman" w:cs="Times New Roman"/>
                <w:kern w:val="0"/>
                <w:sz w:val="24"/>
                <w:szCs w:val="24"/>
                <w:lang w:val="ru-RU" w:eastAsia="ru-RU" w:bidi="ar-SA"/>
              </w:rPr>
              <w:t>: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Вместимость:</w:t>
            </w:r>
            <w:r>
              <w:rPr>
                <w:rFonts w:eastAsia="Times New Roman" w:cs="Times New Roman"/>
                <w:kern w:val="0"/>
                <w:sz w:val="24"/>
                <w:szCs w:val="24"/>
                <w:lang w:val="ru-RU" w:eastAsia="ru-RU" w:bidi="ar-SA"/>
              </w:rPr>
              <w:t xml:space="preserve"> не менее 2</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Каркас:</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Цельносварная стальная рама из сложногнутый профиля толщиной не менее 3мм, сталь Ст3сп;</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Нижняя рама выполнена из сложногнутого многополочного профиля не менее 200×90×3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Усиливающие поперечные балки изготовлены из швеллера не менее 100×50×3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Стойки из усиленного многополочного профиля не менее 150×150×3 мм;</w:t>
            </w:r>
          </w:p>
          <w:p>
            <w:pPr>
              <w:pStyle w:val="Style30"/>
              <w:widowControl/>
              <w:suppressAutoHyphens w:val="true"/>
              <w:spacing w:before="0" w:after="0"/>
              <w:jc w:val="left"/>
              <w:rPr>
                <w:sz w:val="24"/>
                <w:szCs w:val="24"/>
              </w:rPr>
            </w:pPr>
            <w:r>
              <w:rPr>
                <w:rFonts w:eastAsia="Times New Roman" w:cs="Times New Roman"/>
                <w:kern w:val="0"/>
                <w:sz w:val="24"/>
                <w:szCs w:val="24"/>
                <w:shd w:fill="auto" w:val="clear"/>
                <w:lang w:val="ru-RU" w:eastAsia="ru-RU" w:bidi="ar-SA"/>
              </w:rPr>
              <w:t>- Верхняя рама усилена пространственной решёткой из профильной трубы не менее 25×25×1,5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Утеплитель,</w:t>
            </w:r>
            <w:r>
              <w:rPr>
                <w:rFonts w:eastAsia="Times New Roman" w:cs="Times New Roman"/>
                <w:kern w:val="0"/>
                <w:sz w:val="20"/>
                <w:szCs w:val="20"/>
                <w:lang w:val="ru-RU" w:eastAsia="ru-RU" w:bidi="ar-SA"/>
              </w:rPr>
              <w:t xml:space="preserve"> </w:t>
            </w:r>
            <w:r>
              <w:rPr>
                <w:rFonts w:eastAsia="Times New Roman" w:cs="Times New Roman"/>
                <w:b/>
                <w:bCs/>
                <w:kern w:val="0"/>
                <w:sz w:val="24"/>
                <w:szCs w:val="24"/>
                <w:lang w:val="ru-RU" w:eastAsia="ru-RU" w:bidi="ar-SA"/>
              </w:rPr>
              <w:t>(пол, потолок, стены) (мм)</w:t>
            </w:r>
            <w:r>
              <w:rPr>
                <w:rFonts w:eastAsia="Times New Roman" w:cs="Times New Roman"/>
                <w:kern w:val="0"/>
                <w:sz w:val="24"/>
                <w:szCs w:val="24"/>
                <w:lang w:val="ru-RU" w:eastAsia="ru-RU" w:bidi="ar-SA"/>
              </w:rPr>
              <w:t xml:space="preserve"> – не менее 100, но не более 110</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Внешняя отделка:</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lang w:val="ru-RU" w:eastAsia="ru-RU" w:bidi="ar-SA"/>
              </w:rPr>
              <w:t>П</w:t>
            </w:r>
            <w:r>
              <w:rPr>
                <w:rFonts w:eastAsia="Times New Roman" w:cs="Times New Roman"/>
                <w:kern w:val="0"/>
                <w:sz w:val="24"/>
                <w:szCs w:val="24"/>
                <w:shd w:fill="auto" w:val="clear"/>
                <w:lang w:val="ru-RU" w:eastAsia="ru-RU" w:bidi="ar-SA"/>
              </w:rPr>
              <w:t xml:space="preserve">рофлист С8 оцинкованный 0,5мм порошковое полимерное покрытие </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крыша плоская  (</w:t>
            </w:r>
            <w:r>
              <w:rPr>
                <w:rFonts w:eastAsia="Times New Roman" w:cs="Times New Roman"/>
                <w:kern w:val="0"/>
                <w:sz w:val="20"/>
                <w:szCs w:val="20"/>
                <w:lang w:val="ru-RU" w:eastAsia="ru-RU" w:bidi="ar-SA"/>
              </w:rPr>
              <w:t>оцинкованным листом толщиной не менее 0,5 мм</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Пол:</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 </w:t>
            </w:r>
            <w:r>
              <w:rPr>
                <w:rFonts w:eastAsia="Times New Roman" w:cs="Times New Roman"/>
                <w:b w:val="false"/>
                <w:bCs w:val="false"/>
                <w:kern w:val="0"/>
                <w:sz w:val="24"/>
                <w:szCs w:val="24"/>
                <w:shd w:fill="auto" w:val="clear"/>
                <w:lang w:val="ru-RU" w:eastAsia="ru-RU" w:bidi="ar-SA"/>
              </w:rPr>
              <w:t>Покрытие пола выполнено из полукоммерческого износостойкого линолеума;</w:t>
            </w:r>
          </w:p>
          <w:p>
            <w:pPr>
              <w:pStyle w:val="Style30"/>
              <w:widowControl/>
              <w:suppressAutoHyphens w:val="true"/>
              <w:spacing w:before="0" w:after="0"/>
              <w:jc w:val="left"/>
              <w:rPr>
                <w:sz w:val="24"/>
                <w:szCs w:val="24"/>
              </w:rPr>
            </w:pPr>
            <w:r>
              <w:rPr>
                <w:rFonts w:eastAsia="Times New Roman" w:cs="Times New Roman"/>
                <w:b w:val="false"/>
                <w:bCs w:val="false"/>
                <w:kern w:val="0"/>
                <w:sz w:val="24"/>
                <w:szCs w:val="24"/>
                <w:shd w:fill="auto" w:val="clear"/>
                <w:lang w:val="ru-RU" w:eastAsia="ru-RU" w:bidi="ar-SA"/>
              </w:rPr>
              <w:t>- Черновое покрытие выполнено из Ориентированно-стружечной плиты (ОСП) - 18 мм</w:t>
            </w:r>
            <w:r>
              <w:rPr>
                <w:rFonts w:eastAsia="Times New Roman" w:cs="Times New Roman"/>
                <w:b w:val="false"/>
                <w:bCs w:val="false"/>
                <w:kern w:val="0"/>
                <w:sz w:val="20"/>
                <w:szCs w:val="20"/>
                <w:shd w:fill="auto" w:val="clear"/>
                <w:lang w:val="ru-RU" w:eastAsia="ru-RU" w:bidi="ar-SA"/>
              </w:rPr>
              <w:t>;</w:t>
            </w:r>
          </w:p>
          <w:p>
            <w:pPr>
              <w:pStyle w:val="Style30"/>
              <w:widowControl/>
              <w:suppressAutoHyphens w:val="true"/>
              <w:spacing w:before="0" w:after="0"/>
              <w:jc w:val="left"/>
              <w:rPr>
                <w:rFonts w:ascii="Times New Roman" w:hAnsi="Times New Roman" w:eastAsia="Times New Roman" w:cs="Times New Roman"/>
                <w:kern w:val="0"/>
                <w:highlight w:val="none"/>
                <w:shd w:fill="auto" w:val="clear"/>
                <w:lang w:val="ru-RU" w:eastAsia="ru-RU" w:bidi="ar-SA"/>
              </w:rPr>
            </w:pPr>
            <w:r>
              <w:rPr>
                <w:rFonts w:eastAsia="Times New Roman" w:cs="Times New Roman"/>
                <w:b w:val="false"/>
                <w:bCs w:val="false"/>
                <w:kern w:val="0"/>
                <w:sz w:val="20"/>
                <w:szCs w:val="20"/>
                <w:shd w:fill="auto" w:val="clear"/>
                <w:lang w:val="ru-RU" w:eastAsia="ru-RU" w:bidi="ar-SA"/>
              </w:rPr>
              <w:t xml:space="preserve">- </w:t>
            </w:r>
            <w:r>
              <w:rPr>
                <w:rFonts w:eastAsia="Times New Roman" w:cs="Times New Roman"/>
                <w:b w:val="false"/>
                <w:bCs w:val="false"/>
                <w:kern w:val="0"/>
                <w:sz w:val="24"/>
                <w:szCs w:val="24"/>
                <w:shd w:fill="auto" w:val="clear"/>
                <w:lang w:val="ru-RU" w:eastAsia="ru-RU" w:bidi="ar-SA"/>
              </w:rPr>
              <w:t>Подшивка пола Профилированный лист С10 — не менее 0,5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Окно</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Тип окна: ПВХ однокамерный стеклопакет (поворотно-откидное).</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Размер окна: не менее 600х900мм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Кол-во окон (шт): не менее 1, но не более 2;</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Москитная сетка на окно: Да</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Внутренняя отделка потолок и стены</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ЛДСП не менее 16мм;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Входная дверь: </w:t>
            </w:r>
            <w:r>
              <w:rPr>
                <w:rFonts w:eastAsia="Times New Roman" w:cs="Times New Roman"/>
                <w:color w:val="292A2B"/>
                <w:kern w:val="0"/>
                <w:sz w:val="24"/>
                <w:szCs w:val="24"/>
                <w:shd w:fill="FFFFFF" w:val="clear"/>
                <w:lang w:val="ru-RU" w:eastAsia="ru-RU" w:bidi="ar-SA"/>
              </w:rPr>
              <w:t>Металлическая с внутренним замком и ручками для открывания</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Дополнительное оснащение:</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Разводка электрики наружная в кабель-канале: ВВГнг 2х2,5 (розетки), ВВГнг 2х1,5 (светильник), светильник Потолочный (светодиодный) – не менее 2 шт., розетка двойная – не менее 2 шт., выкл. – не менее 1шт., АВ25А- не менее 1шт</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шт</w:t>
            </w:r>
          </w:p>
        </w:tc>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7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r>
      <w:tr>
        <w:trPr>
          <w:trHeight w:val="3395"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Style30"/>
              <w:jc w:val="center"/>
              <w:rPr>
                <w:color w:val="000000"/>
                <w:sz w:val="22"/>
                <w:szCs w:val="22"/>
              </w:rPr>
            </w:pPr>
            <w:r>
              <w:rPr>
                <w:color w:val="000000"/>
                <w:sz w:val="22"/>
                <w:szCs w:val="22"/>
              </w:rPr>
              <w:t>2</w:t>
            </w:r>
          </w:p>
        </w:tc>
        <w:tc>
          <w:tcPr>
            <w:tcW w:w="1729" w:type="dxa"/>
            <w:tcBorders>
              <w:top w:val="single" w:sz="4" w:space="0" w:color="000000"/>
              <w:left w:val="single" w:sz="4" w:space="0" w:color="000000"/>
              <w:bottom w:val="single" w:sz="4" w:space="0" w:color="000000"/>
              <w:right w:val="single" w:sz="4" w:space="0" w:color="000000"/>
            </w:tcBorders>
            <w:vAlign w:val="center"/>
          </w:tcPr>
          <w:p>
            <w:pPr>
              <w:pStyle w:val="Style30"/>
              <w:rPr>
                <w:sz w:val="22"/>
                <w:szCs w:val="22"/>
              </w:rPr>
            </w:pPr>
            <w:r>
              <w:rPr>
                <w:sz w:val="24"/>
                <w:szCs w:val="24"/>
              </w:rPr>
              <w:t>Блок-контейнер (бытовка) Тип 2</w:t>
            </w:r>
          </w:p>
        </w:tc>
        <w:tc>
          <w:tcPr>
            <w:tcW w:w="4842" w:type="dxa"/>
            <w:tcBorders>
              <w:top w:val="single" w:sz="4" w:space="0" w:color="000000"/>
              <w:left w:val="single" w:sz="4" w:space="0" w:color="000000"/>
              <w:bottom w:val="single" w:sz="4" w:space="0" w:color="000000"/>
              <w:right w:val="single" w:sz="4" w:space="0" w:color="000000"/>
            </w:tcBorders>
            <w:vAlign w:val="center"/>
          </w:tcPr>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Длина, (м):</w:t>
            </w:r>
            <w:r>
              <w:rPr>
                <w:rFonts w:eastAsia="Times New Roman" w:cs="Times New Roman"/>
                <w:kern w:val="0"/>
                <w:sz w:val="24"/>
                <w:szCs w:val="24"/>
                <w:lang w:val="ru-RU" w:eastAsia="ru-RU" w:bidi="ar-SA"/>
              </w:rPr>
              <w:t xml:space="preserve"> не менее 6, но не более 7</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Ширина, (м):</w:t>
            </w:r>
            <w:r>
              <w:rPr>
                <w:rFonts w:eastAsia="Times New Roman" w:cs="Times New Roman"/>
                <w:kern w:val="0"/>
                <w:sz w:val="24"/>
                <w:szCs w:val="24"/>
                <w:lang w:val="ru-RU" w:eastAsia="ru-RU" w:bidi="ar-SA"/>
              </w:rPr>
              <w:t xml:space="preserve">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Высота, (м):</w:t>
            </w:r>
            <w:r>
              <w:rPr>
                <w:rFonts w:eastAsia="Times New Roman" w:cs="Times New Roman"/>
                <w:kern w:val="0"/>
                <w:sz w:val="24"/>
                <w:szCs w:val="24"/>
                <w:lang w:val="ru-RU" w:eastAsia="ru-RU" w:bidi="ar-SA"/>
              </w:rPr>
              <w:t xml:space="preserve">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Вместимость:</w:t>
            </w:r>
            <w:r>
              <w:rPr>
                <w:rFonts w:eastAsia="Times New Roman" w:cs="Times New Roman"/>
                <w:kern w:val="0"/>
                <w:sz w:val="24"/>
                <w:szCs w:val="24"/>
                <w:lang w:val="ru-RU" w:eastAsia="ru-RU" w:bidi="ar-SA"/>
              </w:rPr>
              <w:t xml:space="preserve"> не менее 4</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Каркас:</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Цельносварная стальная рама из сложногнутый профиля толщиной не менее 3мм, сталь Ст3сп;</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Нижняя рама выполнена из сложногнутого многополочного профиля не менее 200×90×3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Усиливающие поперечные балки изготовлены из швеллера не менее 100×50×3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Стойки из усиленного многополочного профиля не менее 150×150×3 мм;</w:t>
            </w:r>
          </w:p>
          <w:p>
            <w:pPr>
              <w:pStyle w:val="Style30"/>
              <w:widowControl/>
              <w:suppressAutoHyphens w:val="true"/>
              <w:spacing w:before="0" w:after="0"/>
              <w:jc w:val="left"/>
              <w:rPr>
                <w:sz w:val="24"/>
                <w:szCs w:val="24"/>
              </w:rPr>
            </w:pPr>
            <w:r>
              <w:rPr>
                <w:rFonts w:eastAsia="Times New Roman" w:cs="Times New Roman"/>
                <w:kern w:val="0"/>
                <w:sz w:val="24"/>
                <w:szCs w:val="24"/>
                <w:shd w:fill="auto" w:val="clear"/>
                <w:lang w:val="ru-RU" w:eastAsia="ru-RU" w:bidi="ar-SA"/>
              </w:rPr>
              <w:t>- Верхняя рама усилена пространственной решёткой из профильной трубы не менее 25×25×1,5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Утеплитель,</w:t>
            </w:r>
            <w:r>
              <w:rPr>
                <w:rFonts w:eastAsia="Times New Roman" w:cs="Times New Roman"/>
                <w:kern w:val="0"/>
                <w:sz w:val="20"/>
                <w:szCs w:val="20"/>
                <w:lang w:val="ru-RU" w:eastAsia="ru-RU" w:bidi="ar-SA"/>
              </w:rPr>
              <w:t xml:space="preserve"> </w:t>
            </w:r>
            <w:r>
              <w:rPr>
                <w:rFonts w:eastAsia="Times New Roman" w:cs="Times New Roman"/>
                <w:b/>
                <w:bCs/>
                <w:kern w:val="0"/>
                <w:sz w:val="24"/>
                <w:szCs w:val="24"/>
                <w:lang w:val="ru-RU" w:eastAsia="ru-RU" w:bidi="ar-SA"/>
              </w:rPr>
              <w:t>(пол, потолок, стены) (мм)</w:t>
            </w:r>
            <w:r>
              <w:rPr>
                <w:rFonts w:eastAsia="Times New Roman" w:cs="Times New Roman"/>
                <w:kern w:val="0"/>
                <w:sz w:val="24"/>
                <w:szCs w:val="24"/>
                <w:lang w:val="ru-RU" w:eastAsia="ru-RU" w:bidi="ar-SA"/>
              </w:rPr>
              <w:t xml:space="preserve"> – не менее 100, но не более 110</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Внешняя отделка:</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 xml:space="preserve">профлист С8 оцинкованный 0,5мм порошковое полимерное покрытие </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крыша плоская  (</w:t>
            </w:r>
            <w:r>
              <w:rPr>
                <w:rFonts w:eastAsia="Times New Roman" w:cs="Times New Roman"/>
                <w:kern w:val="0"/>
                <w:sz w:val="20"/>
                <w:szCs w:val="20"/>
                <w:lang w:val="ru-RU" w:eastAsia="ru-RU" w:bidi="ar-SA"/>
              </w:rPr>
              <w:t>оцинкованным листом толщиной не менее 0,5 мм</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Пол:</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 </w:t>
            </w:r>
            <w:r>
              <w:rPr>
                <w:rFonts w:eastAsia="Times New Roman" w:cs="Times New Roman"/>
                <w:b w:val="false"/>
                <w:bCs w:val="false"/>
                <w:kern w:val="0"/>
                <w:sz w:val="24"/>
                <w:szCs w:val="24"/>
                <w:shd w:fill="auto" w:val="clear"/>
                <w:lang w:val="ru-RU" w:eastAsia="ru-RU" w:bidi="ar-SA"/>
              </w:rPr>
              <w:t>Покрытие пола выполнено из полукоммерческого износостойкого линолеума;</w:t>
            </w:r>
          </w:p>
          <w:p>
            <w:pPr>
              <w:pStyle w:val="Style30"/>
              <w:widowControl/>
              <w:suppressAutoHyphens w:val="true"/>
              <w:spacing w:before="0" w:after="0"/>
              <w:jc w:val="left"/>
              <w:rPr>
                <w:sz w:val="24"/>
                <w:szCs w:val="24"/>
              </w:rPr>
            </w:pPr>
            <w:r>
              <w:rPr>
                <w:rFonts w:eastAsia="Times New Roman" w:cs="Times New Roman"/>
                <w:b w:val="false"/>
                <w:bCs w:val="false"/>
                <w:kern w:val="0"/>
                <w:sz w:val="24"/>
                <w:szCs w:val="24"/>
                <w:shd w:fill="auto" w:val="clear"/>
                <w:lang w:val="ru-RU" w:eastAsia="ru-RU" w:bidi="ar-SA"/>
              </w:rPr>
              <w:t>- Черновое покрытие выполнено из Ориентированно-стружечной плиты (ОСП) - 18 мм</w:t>
            </w:r>
            <w:r>
              <w:rPr>
                <w:rFonts w:eastAsia="Times New Roman" w:cs="Times New Roman"/>
                <w:b w:val="false"/>
                <w:bCs w:val="false"/>
                <w:kern w:val="0"/>
                <w:sz w:val="20"/>
                <w:szCs w:val="20"/>
                <w:shd w:fill="auto" w:val="clear"/>
                <w:lang w:val="ru-RU" w:eastAsia="ru-RU" w:bidi="ar-SA"/>
              </w:rPr>
              <w:t>;</w:t>
            </w:r>
          </w:p>
          <w:p>
            <w:pPr>
              <w:pStyle w:val="Style30"/>
              <w:widowControl/>
              <w:suppressAutoHyphens w:val="true"/>
              <w:spacing w:before="0" w:after="0"/>
              <w:jc w:val="left"/>
              <w:rPr>
                <w:rFonts w:ascii="Times New Roman" w:hAnsi="Times New Roman" w:eastAsia="Times New Roman" w:cs="Times New Roman"/>
                <w:kern w:val="0"/>
                <w:highlight w:val="none"/>
                <w:shd w:fill="auto" w:val="clear"/>
                <w:lang w:val="ru-RU" w:eastAsia="ru-RU" w:bidi="ar-SA"/>
              </w:rPr>
            </w:pPr>
            <w:r>
              <w:rPr>
                <w:rFonts w:eastAsia="Times New Roman" w:cs="Times New Roman"/>
                <w:b w:val="false"/>
                <w:bCs w:val="false"/>
                <w:kern w:val="0"/>
                <w:sz w:val="20"/>
                <w:szCs w:val="20"/>
                <w:shd w:fill="auto" w:val="clear"/>
                <w:lang w:val="ru-RU" w:eastAsia="ru-RU" w:bidi="ar-SA"/>
              </w:rPr>
              <w:t xml:space="preserve">- </w:t>
            </w:r>
            <w:r>
              <w:rPr>
                <w:rFonts w:eastAsia="Times New Roman" w:cs="Times New Roman"/>
                <w:b w:val="false"/>
                <w:bCs w:val="false"/>
                <w:kern w:val="0"/>
                <w:sz w:val="24"/>
                <w:szCs w:val="24"/>
                <w:shd w:fill="auto" w:val="clear"/>
                <w:lang w:val="ru-RU" w:eastAsia="ru-RU" w:bidi="ar-SA"/>
              </w:rPr>
              <w:t>Подшивка пола Профилированный лист С10 — не менее 0,5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Окно</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Тип окна: ПВХ однокамерный стеклопакет (поворотно-откидное).</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Размер окна: не менее 600х900мм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Кол-во окон (шт): не менее 1, но не более 2;</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Москитная сетка на окно: Да</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Внутренняя отделка потолок и стены</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ЛДСП не менее 16мм;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Входная дверь: </w:t>
            </w:r>
            <w:r>
              <w:rPr>
                <w:rFonts w:eastAsia="Times New Roman" w:cs="Times New Roman"/>
                <w:color w:val="292A2B"/>
                <w:kern w:val="0"/>
                <w:sz w:val="24"/>
                <w:szCs w:val="24"/>
                <w:shd w:fill="FFFFFF" w:val="clear"/>
                <w:lang w:val="ru-RU" w:eastAsia="ru-RU" w:bidi="ar-SA"/>
              </w:rPr>
              <w:t>Металлическая с внутренним замком и ручками для открывания</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Дополнительное оснащение:</w:t>
            </w:r>
          </w:p>
          <w:p>
            <w:pPr>
              <w:pStyle w:val="Style30"/>
              <w:widowControl/>
              <w:suppressAutoHyphens w:val="true"/>
              <w:spacing w:before="0" w:after="0"/>
              <w:jc w:val="left"/>
              <w:rPr>
                <w:sz w:val="24"/>
                <w:szCs w:val="24"/>
              </w:rPr>
            </w:pPr>
            <w:r>
              <w:rPr>
                <w:rFonts w:eastAsia="Times New Roman" w:cs="Times New Roman"/>
                <w:b w:val="false"/>
                <w:bCs w:val="false"/>
                <w:kern w:val="0"/>
                <w:sz w:val="24"/>
                <w:szCs w:val="24"/>
                <w:lang w:val="ru-RU" w:eastAsia="ru-RU" w:bidi="ar-SA"/>
              </w:rPr>
              <w:t>-</w:t>
            </w:r>
            <w:r>
              <w:rPr>
                <w:rFonts w:eastAsia="Times New Roman" w:cs="Times New Roman"/>
                <w:b/>
                <w:bCs/>
                <w:kern w:val="0"/>
                <w:sz w:val="24"/>
                <w:szCs w:val="24"/>
                <w:lang w:val="ru-RU" w:eastAsia="ru-RU" w:bidi="ar-SA"/>
              </w:rPr>
              <w:t xml:space="preserve"> </w:t>
            </w:r>
            <w:r>
              <w:rPr>
                <w:rFonts w:eastAsia="Times New Roman" w:cs="Times New Roman"/>
                <w:b w:val="false"/>
                <w:bCs w:val="false"/>
                <w:kern w:val="0"/>
                <w:sz w:val="24"/>
                <w:szCs w:val="24"/>
                <w:lang w:val="ru-RU" w:eastAsia="ru-RU" w:bidi="ar-SA"/>
              </w:rPr>
              <w:t>Разводка электрики наружная в кабель-канале: ВВГнг 2х2,5 (розетки), ВВГнг 2х1,5 (светильник), светильник Потолочный (светодиодный) – не менее 2 шт., розетка двойная – не менее 2 шт., выкл. – не менее 1шт., АВ25А- не менее 1шт</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шт</w:t>
            </w:r>
          </w:p>
        </w:tc>
        <w:tc>
          <w:tcPr>
            <w:tcW w:w="561" w:type="dxa"/>
            <w:tcBorders>
              <w:top w:val="single" w:sz="4" w:space="0" w:color="000000"/>
              <w:left w:val="single" w:sz="4" w:space="0" w:color="000000"/>
              <w:bottom w:val="single" w:sz="4" w:space="0" w:color="000000"/>
              <w:right w:val="single" w:sz="4" w:space="0" w:color="000000"/>
            </w:tcBorders>
            <w:vAlign w:val="center"/>
          </w:tcPr>
          <w:p>
            <w:pPr>
              <w:pStyle w:val="Style30"/>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7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r>
      <w:tr>
        <w:trPr>
          <w:trHeight w:val="983" w:hRule="atLeast"/>
        </w:trPr>
        <w:tc>
          <w:tcPr>
            <w:tcW w:w="680" w:type="dxa"/>
            <w:tcBorders>
              <w:top w:val="single" w:sz="4" w:space="0" w:color="000000"/>
              <w:left w:val="single" w:sz="4" w:space="0" w:color="000000"/>
              <w:bottom w:val="single" w:sz="4" w:space="0" w:color="000000"/>
              <w:right w:val="single" w:sz="4" w:space="0" w:color="000000"/>
            </w:tcBorders>
            <w:vAlign w:val="center"/>
          </w:tcPr>
          <w:p>
            <w:pPr>
              <w:pStyle w:val="Style30"/>
              <w:jc w:val="center"/>
              <w:rPr>
                <w:color w:val="000000"/>
                <w:sz w:val="22"/>
                <w:szCs w:val="22"/>
              </w:rPr>
            </w:pPr>
            <w:r>
              <w:rPr>
                <w:color w:val="000000"/>
                <w:sz w:val="22"/>
                <w:szCs w:val="22"/>
              </w:rPr>
              <w:t>3</w:t>
            </w:r>
          </w:p>
        </w:tc>
        <w:tc>
          <w:tcPr>
            <w:tcW w:w="1729" w:type="dxa"/>
            <w:tcBorders>
              <w:top w:val="single" w:sz="4" w:space="0" w:color="000000"/>
              <w:left w:val="single" w:sz="4" w:space="0" w:color="000000"/>
              <w:bottom w:val="single" w:sz="4" w:space="0" w:color="000000"/>
              <w:right w:val="single" w:sz="4" w:space="0" w:color="000000"/>
            </w:tcBorders>
            <w:vAlign w:val="center"/>
          </w:tcPr>
          <w:p>
            <w:pPr>
              <w:pStyle w:val="Style30"/>
              <w:rPr>
                <w:sz w:val="22"/>
                <w:szCs w:val="22"/>
                <w:lang w:val="en-US"/>
              </w:rPr>
            </w:pPr>
            <w:r>
              <w:rPr>
                <w:sz w:val="24"/>
                <w:szCs w:val="24"/>
              </w:rPr>
              <w:t>Блок-контейнер (бытовка) Тип 2</w:t>
            </w:r>
          </w:p>
        </w:tc>
        <w:tc>
          <w:tcPr>
            <w:tcW w:w="4842" w:type="dxa"/>
            <w:tcBorders>
              <w:top w:val="single" w:sz="4" w:space="0" w:color="000000"/>
              <w:left w:val="single" w:sz="4" w:space="0" w:color="000000"/>
              <w:bottom w:val="single" w:sz="4" w:space="0" w:color="000000"/>
              <w:right w:val="single" w:sz="4" w:space="0" w:color="000000"/>
            </w:tcBorders>
            <w:vAlign w:val="center"/>
          </w:tcPr>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Длина, (м):</w:t>
            </w:r>
            <w:r>
              <w:rPr>
                <w:rFonts w:eastAsia="Times New Roman" w:cs="Times New Roman"/>
                <w:kern w:val="0"/>
                <w:sz w:val="24"/>
                <w:szCs w:val="24"/>
                <w:lang w:val="ru-RU" w:eastAsia="ru-RU" w:bidi="ar-SA"/>
              </w:rPr>
              <w:t xml:space="preserve"> не менее 6, но не более 7</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Ширина, (м):</w:t>
            </w:r>
            <w:r>
              <w:rPr>
                <w:rFonts w:eastAsia="Times New Roman" w:cs="Times New Roman"/>
                <w:kern w:val="0"/>
                <w:sz w:val="24"/>
                <w:szCs w:val="24"/>
                <w:lang w:val="ru-RU" w:eastAsia="ru-RU" w:bidi="ar-SA"/>
              </w:rPr>
              <w:t xml:space="preserve">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Высота, (м):</w:t>
            </w:r>
            <w:r>
              <w:rPr>
                <w:rFonts w:eastAsia="Times New Roman" w:cs="Times New Roman"/>
                <w:kern w:val="0"/>
                <w:sz w:val="24"/>
                <w:szCs w:val="24"/>
                <w:lang w:val="ru-RU" w:eastAsia="ru-RU" w:bidi="ar-SA"/>
              </w:rPr>
              <w:t xml:space="preserve"> не менее 2.4, но не более 3</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Вместимость:</w:t>
            </w:r>
            <w:r>
              <w:rPr>
                <w:rFonts w:eastAsia="Times New Roman" w:cs="Times New Roman"/>
                <w:kern w:val="0"/>
                <w:sz w:val="24"/>
                <w:szCs w:val="24"/>
                <w:lang w:val="ru-RU" w:eastAsia="ru-RU" w:bidi="ar-SA"/>
              </w:rPr>
              <w:t xml:space="preserve"> не менее 4</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Каркас:</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Цельносварная стальная рама из сложногнутый профиля толщиной не менее 3мм, сталь Ст3сп;</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Нижняя рама выполнена из сложногнутого многополочного профиля не менее 200×90×3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Усиливающие поперечные балки изготовлены из швеллера не менее 100×50×3 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Стойки из усиленного многополочного профиля не менее 150×150×3 мм;</w:t>
            </w:r>
          </w:p>
          <w:p>
            <w:pPr>
              <w:pStyle w:val="Style30"/>
              <w:widowControl/>
              <w:suppressAutoHyphens w:val="true"/>
              <w:spacing w:before="0" w:after="0"/>
              <w:jc w:val="left"/>
              <w:rPr>
                <w:sz w:val="24"/>
                <w:szCs w:val="24"/>
              </w:rPr>
            </w:pPr>
            <w:r>
              <w:rPr>
                <w:rFonts w:eastAsia="Times New Roman" w:cs="Times New Roman"/>
                <w:kern w:val="0"/>
                <w:sz w:val="24"/>
                <w:szCs w:val="24"/>
                <w:shd w:fill="auto" w:val="clear"/>
                <w:lang w:val="ru-RU" w:eastAsia="ru-RU" w:bidi="ar-SA"/>
              </w:rPr>
              <w:t>- Верхняя рама усилена пространственной решёткой из профильной трубы не менее 25×25×1,5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Утеплитель,</w:t>
            </w:r>
            <w:r>
              <w:rPr>
                <w:rFonts w:eastAsia="Times New Roman" w:cs="Times New Roman"/>
                <w:kern w:val="0"/>
                <w:sz w:val="20"/>
                <w:szCs w:val="20"/>
                <w:lang w:val="ru-RU" w:eastAsia="ru-RU" w:bidi="ar-SA"/>
              </w:rPr>
              <w:t xml:space="preserve"> </w:t>
            </w:r>
            <w:r>
              <w:rPr>
                <w:rFonts w:eastAsia="Times New Roman" w:cs="Times New Roman"/>
                <w:b/>
                <w:bCs/>
                <w:kern w:val="0"/>
                <w:sz w:val="24"/>
                <w:szCs w:val="24"/>
                <w:lang w:val="ru-RU" w:eastAsia="ru-RU" w:bidi="ar-SA"/>
              </w:rPr>
              <w:t>(пол, потолок, стены) (мм)</w:t>
            </w:r>
            <w:r>
              <w:rPr>
                <w:rFonts w:eastAsia="Times New Roman" w:cs="Times New Roman"/>
                <w:kern w:val="0"/>
                <w:sz w:val="24"/>
                <w:szCs w:val="24"/>
                <w:lang w:val="ru-RU" w:eastAsia="ru-RU" w:bidi="ar-SA"/>
              </w:rPr>
              <w:t xml:space="preserve"> – не менее 100, но не более 110</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Внешняя отделка:</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xml:space="preserve">– </w:t>
            </w:r>
            <w:r>
              <w:rPr>
                <w:rFonts w:eastAsia="Times New Roman" w:cs="Times New Roman"/>
                <w:kern w:val="0"/>
                <w:sz w:val="24"/>
                <w:szCs w:val="24"/>
                <w:shd w:fill="auto" w:val="clear"/>
                <w:lang w:val="ru-RU" w:eastAsia="ru-RU" w:bidi="ar-SA"/>
              </w:rPr>
              <w:t xml:space="preserve">профлист С8 оцинкованный 0,5мм порошковое полимерное покрытие </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крыша плоская  (</w:t>
            </w:r>
            <w:r>
              <w:rPr>
                <w:rFonts w:eastAsia="Times New Roman" w:cs="Times New Roman"/>
                <w:kern w:val="0"/>
                <w:sz w:val="20"/>
                <w:szCs w:val="20"/>
                <w:lang w:val="ru-RU" w:eastAsia="ru-RU" w:bidi="ar-SA"/>
              </w:rPr>
              <w:t>оцинкованным листом толщиной не менее 0,5 мм</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Пол:</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 </w:t>
            </w:r>
            <w:r>
              <w:rPr>
                <w:rFonts w:eastAsia="Times New Roman" w:cs="Times New Roman"/>
                <w:b w:val="false"/>
                <w:bCs w:val="false"/>
                <w:kern w:val="0"/>
                <w:sz w:val="24"/>
                <w:szCs w:val="24"/>
                <w:shd w:fill="auto" w:val="clear"/>
                <w:lang w:val="ru-RU" w:eastAsia="ru-RU" w:bidi="ar-SA"/>
              </w:rPr>
              <w:t>Покрытие пола выполнено из полукоммерческого износостойкого линолеума;</w:t>
            </w:r>
          </w:p>
          <w:p>
            <w:pPr>
              <w:pStyle w:val="Style30"/>
              <w:widowControl/>
              <w:suppressAutoHyphens w:val="true"/>
              <w:spacing w:before="0" w:after="0"/>
              <w:jc w:val="left"/>
              <w:rPr>
                <w:sz w:val="24"/>
                <w:szCs w:val="24"/>
              </w:rPr>
            </w:pPr>
            <w:r>
              <w:rPr>
                <w:rFonts w:eastAsia="Times New Roman" w:cs="Times New Roman"/>
                <w:b w:val="false"/>
                <w:bCs w:val="false"/>
                <w:kern w:val="0"/>
                <w:sz w:val="24"/>
                <w:szCs w:val="24"/>
                <w:shd w:fill="auto" w:val="clear"/>
                <w:lang w:val="ru-RU" w:eastAsia="ru-RU" w:bidi="ar-SA"/>
              </w:rPr>
              <w:t>- Черновое покрытие выполнено из Ориентированно-стружечной плиты (ОСП) - 18 мм</w:t>
            </w:r>
            <w:r>
              <w:rPr>
                <w:rFonts w:eastAsia="Times New Roman" w:cs="Times New Roman"/>
                <w:b w:val="false"/>
                <w:bCs w:val="false"/>
                <w:kern w:val="0"/>
                <w:sz w:val="20"/>
                <w:szCs w:val="20"/>
                <w:shd w:fill="auto" w:val="clear"/>
                <w:lang w:val="ru-RU" w:eastAsia="ru-RU" w:bidi="ar-SA"/>
              </w:rPr>
              <w:t>;</w:t>
            </w:r>
          </w:p>
          <w:p>
            <w:pPr>
              <w:pStyle w:val="Style30"/>
              <w:widowControl/>
              <w:suppressAutoHyphens w:val="true"/>
              <w:spacing w:before="0" w:after="0"/>
              <w:jc w:val="left"/>
              <w:rPr>
                <w:rFonts w:ascii="Times New Roman" w:hAnsi="Times New Roman" w:eastAsia="Times New Roman" w:cs="Times New Roman"/>
                <w:kern w:val="0"/>
                <w:highlight w:val="none"/>
                <w:shd w:fill="auto" w:val="clear"/>
                <w:lang w:val="ru-RU" w:eastAsia="ru-RU" w:bidi="ar-SA"/>
              </w:rPr>
            </w:pPr>
            <w:r>
              <w:rPr>
                <w:rFonts w:eastAsia="Times New Roman" w:cs="Times New Roman"/>
                <w:b w:val="false"/>
                <w:bCs w:val="false"/>
                <w:kern w:val="0"/>
                <w:sz w:val="20"/>
                <w:szCs w:val="20"/>
                <w:shd w:fill="auto" w:val="clear"/>
                <w:lang w:val="ru-RU" w:eastAsia="ru-RU" w:bidi="ar-SA"/>
              </w:rPr>
              <w:t xml:space="preserve">- </w:t>
            </w:r>
            <w:r>
              <w:rPr>
                <w:rFonts w:eastAsia="Times New Roman" w:cs="Times New Roman"/>
                <w:b w:val="false"/>
                <w:bCs w:val="false"/>
                <w:kern w:val="0"/>
                <w:sz w:val="24"/>
                <w:szCs w:val="24"/>
                <w:shd w:fill="auto" w:val="clear"/>
                <w:lang w:val="ru-RU" w:eastAsia="ru-RU" w:bidi="ar-SA"/>
              </w:rPr>
              <w:t>Подшивка пола Профилированный лист С10 — не менее 0,5 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Окно</w:t>
            </w:r>
            <w:r>
              <w:rPr>
                <w:rFonts w:eastAsia="Times New Roman" w:cs="Times New Roman"/>
                <w:kern w:val="0"/>
                <w:sz w:val="24"/>
                <w:szCs w:val="24"/>
                <w:lang w:val="ru-RU" w:eastAsia="ru-RU" w:bidi="ar-SA"/>
              </w:rPr>
              <w:t>:</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Тип окна: ПВХ однокамерный стеклопакет (поворотно-откидное).</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Размер окна: не менее 600х900мм</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Кол-во окон (шт): не менее 1, но не более 2;</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Москитная сетка на окно: Да</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Внутренняя отделка потолок и стены</w:t>
            </w:r>
          </w:p>
          <w:p>
            <w:pPr>
              <w:pStyle w:val="Style30"/>
              <w:widowControl/>
              <w:suppressAutoHyphens w:val="true"/>
              <w:spacing w:before="0" w:after="0"/>
              <w:jc w:val="left"/>
              <w:rPr>
                <w:sz w:val="24"/>
                <w:szCs w:val="24"/>
              </w:rPr>
            </w:pPr>
            <w:r>
              <w:rPr>
                <w:rFonts w:eastAsia="Times New Roman" w:cs="Times New Roman"/>
                <w:kern w:val="0"/>
                <w:sz w:val="24"/>
                <w:szCs w:val="24"/>
                <w:lang w:val="ru-RU" w:eastAsia="ru-RU" w:bidi="ar-SA"/>
              </w:rPr>
              <w:t>- ЛДСП не менее 16мм;</w:t>
            </w:r>
          </w:p>
          <w:p>
            <w:pPr>
              <w:pStyle w:val="Style30"/>
              <w:widowControl/>
              <w:suppressAutoHyphens w:val="true"/>
              <w:spacing w:before="0" w:after="0"/>
              <w:jc w:val="left"/>
              <w:rPr>
                <w:sz w:val="24"/>
                <w:szCs w:val="24"/>
              </w:rPr>
            </w:pPr>
            <w:r>
              <w:rPr>
                <w:rFonts w:eastAsia="Times New Roman" w:cs="Times New Roman"/>
                <w:b/>
                <w:bCs/>
                <w:kern w:val="0"/>
                <w:sz w:val="24"/>
                <w:szCs w:val="24"/>
                <w:lang w:val="ru-RU" w:eastAsia="ru-RU" w:bidi="ar-SA"/>
              </w:rPr>
              <w:t xml:space="preserve">Входная дверь: </w:t>
            </w:r>
            <w:r>
              <w:rPr>
                <w:rFonts w:eastAsia="Times New Roman" w:cs="Times New Roman"/>
                <w:color w:val="292A2B"/>
                <w:kern w:val="0"/>
                <w:sz w:val="24"/>
                <w:szCs w:val="24"/>
                <w:shd w:fill="FFFFFF" w:val="clear"/>
                <w:lang w:val="ru-RU" w:eastAsia="ru-RU" w:bidi="ar-SA"/>
              </w:rPr>
              <w:t>Металлическая с внутренним замком и ручками для открывания</w:t>
            </w:r>
          </w:p>
          <w:p>
            <w:pPr>
              <w:pStyle w:val="Style30"/>
              <w:widowControl/>
              <w:suppressAutoHyphens w:val="true"/>
              <w:spacing w:before="0" w:after="0"/>
              <w:jc w:val="left"/>
              <w:rPr>
                <w:b/>
                <w:bCs/>
                <w:sz w:val="24"/>
                <w:szCs w:val="24"/>
              </w:rPr>
            </w:pPr>
            <w:r>
              <w:rPr>
                <w:rFonts w:eastAsia="Times New Roman" w:cs="Times New Roman"/>
                <w:b/>
                <w:bCs/>
                <w:kern w:val="0"/>
                <w:sz w:val="24"/>
                <w:szCs w:val="24"/>
                <w:lang w:val="ru-RU" w:eastAsia="ru-RU" w:bidi="ar-SA"/>
              </w:rPr>
              <w:t>Дополнительное оснащение:</w:t>
            </w:r>
          </w:p>
          <w:p>
            <w:pPr>
              <w:pStyle w:val="Style30"/>
              <w:widowControl/>
              <w:suppressAutoHyphens w:val="true"/>
              <w:spacing w:before="0" w:after="0"/>
              <w:jc w:val="left"/>
              <w:rPr>
                <w:sz w:val="24"/>
                <w:szCs w:val="24"/>
              </w:rPr>
            </w:pPr>
            <w:r>
              <w:rPr>
                <w:rFonts w:eastAsia="Times New Roman" w:cs="Times New Roman"/>
                <w:b w:val="false"/>
                <w:bCs w:val="false"/>
                <w:kern w:val="0"/>
                <w:sz w:val="24"/>
                <w:szCs w:val="24"/>
                <w:lang w:val="ru-RU" w:eastAsia="ru-RU" w:bidi="ar-SA"/>
              </w:rPr>
              <w:t>-</w:t>
            </w:r>
            <w:r>
              <w:rPr>
                <w:rFonts w:eastAsia="Times New Roman" w:cs="Times New Roman"/>
                <w:b/>
                <w:bCs/>
                <w:kern w:val="0"/>
                <w:sz w:val="24"/>
                <w:szCs w:val="24"/>
                <w:lang w:val="ru-RU" w:eastAsia="ru-RU" w:bidi="ar-SA"/>
              </w:rPr>
              <w:t xml:space="preserve"> </w:t>
            </w:r>
            <w:r>
              <w:rPr>
                <w:rFonts w:eastAsia="Times New Roman" w:cs="Times New Roman"/>
                <w:b w:val="false"/>
                <w:bCs w:val="false"/>
                <w:kern w:val="0"/>
                <w:sz w:val="24"/>
                <w:szCs w:val="24"/>
                <w:lang w:val="ru-RU" w:eastAsia="ru-RU" w:bidi="ar-SA"/>
              </w:rPr>
              <w:t>Разводка электрики наружная в кабель-канале: ВВГнг 2х2,5 (розетки), ВВГнг 2х1,5 (светильник), светильник Потолочный (светодиодный) – не менее 2 шт., розетка двойная – не менее 2 шт., выкл. – не менее 1шт., АВ25А- не менее 1шт.</w:t>
            </w:r>
          </w:p>
        </w:tc>
        <w:tc>
          <w:tcPr>
            <w:tcW w:w="9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rPr>
            </w:pPr>
            <w:r>
              <w:rPr>
                <w:sz w:val="22"/>
                <w:szCs w:val="22"/>
              </w:rPr>
              <w:t>шт</w:t>
            </w:r>
          </w:p>
        </w:tc>
        <w:tc>
          <w:tcPr>
            <w:tcW w:w="561" w:type="dxa"/>
            <w:tcBorders>
              <w:top w:val="single" w:sz="4" w:space="0" w:color="000000"/>
              <w:left w:val="single" w:sz="4" w:space="0" w:color="000000"/>
              <w:bottom w:val="single" w:sz="4" w:space="0" w:color="000000"/>
              <w:right w:val="single" w:sz="4" w:space="0" w:color="000000"/>
            </w:tcBorders>
            <w:vAlign w:val="center"/>
          </w:tcPr>
          <w:p>
            <w:pPr>
              <w:pStyle w:val="Style30"/>
              <w:jc w:val="center"/>
              <w:rPr>
                <w:sz w:val="22"/>
                <w:szCs w:val="22"/>
              </w:rPr>
            </w:pPr>
            <w:r>
              <w:rPr>
                <w:sz w:val="22"/>
                <w:szCs w:val="22"/>
              </w:rPr>
              <w:t>1</w:t>
            </w:r>
          </w:p>
        </w:tc>
        <w:tc>
          <w:tcPr>
            <w:tcW w:w="67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c>
          <w:tcPr>
            <w:tcW w:w="78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2"/>
                <w:szCs w:val="22"/>
                <w:highlight w:val="yellow"/>
              </w:rPr>
            </w:pPr>
            <w:r>
              <w:rPr>
                <w:sz w:val="22"/>
                <w:szCs w:val="22"/>
                <w:highlight w:val="yellow"/>
              </w:rPr>
            </w:r>
          </w:p>
        </w:tc>
      </w:tr>
    </w:tbl>
    <w:p>
      <w:pPr>
        <w:pStyle w:val="Normal"/>
        <w:ind w:firstLine="709"/>
        <w:jc w:val="both"/>
        <w:rPr>
          <w:b/>
          <w:bCs/>
          <w:lang w:val="x-none"/>
        </w:rPr>
      </w:pPr>
      <w:r>
        <w:rPr>
          <w:b/>
          <w:bCs/>
          <w:i/>
          <w:iCs/>
          <w:sz w:val="22"/>
          <w:szCs w:val="22"/>
        </w:rPr>
        <w:t>* Информация о количестве и объеме продукции, который указан в Спецификации, имеет информационно-справочный характер и приведена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w:t>
      </w:r>
      <w:r>
        <w:rPr/>
        <w:t xml:space="preserve"> </w:t>
      </w:r>
      <w:r>
        <w:rPr>
          <w:b/>
          <w:bCs/>
          <w:i/>
          <w:iCs/>
          <w:sz w:val="22"/>
          <w:szCs w:val="22"/>
        </w:rPr>
        <w:t>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pPr>
        <w:pStyle w:val="Normal"/>
        <w:ind w:firstLine="709"/>
        <w:jc w:val="both"/>
        <w:rPr>
          <w:b/>
          <w:bCs/>
          <w:i/>
          <w:i/>
          <w:iCs/>
          <w:szCs w:val="22"/>
          <w:lang w:val="x-none"/>
        </w:rPr>
      </w:pPr>
      <w:r>
        <w:rPr>
          <w:b/>
          <w:bCs/>
          <w:i/>
          <w:iCs/>
          <w:szCs w:val="22"/>
          <w:lang w:val="x-none"/>
        </w:rPr>
      </w:r>
    </w:p>
    <w:p>
      <w:pPr>
        <w:pStyle w:val="Normal"/>
        <w:ind w:firstLine="709"/>
        <w:jc w:val="both"/>
        <w:rPr>
          <w:b/>
          <w:bCs/>
          <w:i/>
          <w:i/>
          <w:iCs/>
          <w:szCs w:val="22"/>
        </w:rPr>
      </w:pPr>
      <w:r>
        <w:rPr>
          <w:b/>
          <w:bCs/>
          <w:i/>
          <w:iCs/>
          <w:szCs w:val="22"/>
        </w:rPr>
      </w:r>
    </w:p>
    <w:p>
      <w:pPr>
        <w:pStyle w:val="ListParagraph"/>
        <w:numPr>
          <w:ilvl w:val="0"/>
          <w:numId w:val="16"/>
        </w:numPr>
        <w:rPr>
          <w:b/>
          <w:sz w:val="24"/>
          <w:szCs w:val="24"/>
        </w:rPr>
      </w:pPr>
      <w:r>
        <w:rPr>
          <w:b/>
          <w:sz w:val="24"/>
          <w:szCs w:val="24"/>
        </w:rPr>
        <w:t xml:space="preserve">Место поставки товара: </w:t>
      </w:r>
    </w:p>
    <w:p>
      <w:pPr>
        <w:pStyle w:val="Normal"/>
        <w:spacing w:lineRule="auto" w:line="300"/>
        <w:ind w:firstLine="709"/>
        <w:jc w:val="both"/>
        <w:rPr>
          <w:sz w:val="24"/>
          <w:szCs w:val="24"/>
        </w:rPr>
      </w:pPr>
      <w:r>
        <w:rPr>
          <w:sz w:val="24"/>
          <w:szCs w:val="24"/>
        </w:rPr>
        <w:t>- Филиал ПАО «РусГидро» - «Нижегородская ГЭС» 606520, Нижегородская область, г. Заволжье, ул. Привокзальная, д.14;</w:t>
      </w:r>
    </w:p>
    <w:p>
      <w:pPr>
        <w:pStyle w:val="Normal"/>
        <w:spacing w:lineRule="auto" w:line="300"/>
        <w:ind w:firstLine="709"/>
        <w:jc w:val="both"/>
        <w:rPr>
          <w:sz w:val="24"/>
          <w:szCs w:val="24"/>
          <w:lang w:val="en-US"/>
        </w:rPr>
      </w:pPr>
      <w:r>
        <w:rPr>
          <w:sz w:val="24"/>
          <w:szCs w:val="24"/>
        </w:rPr>
        <w:t>-</w:t>
      </w:r>
      <w:r>
        <w:rPr/>
        <w:t xml:space="preserve"> </w:t>
      </w:r>
      <w:r>
        <w:rPr>
          <w:sz w:val="24"/>
          <w:szCs w:val="24"/>
        </w:rPr>
        <w:t>Филиал ПАО «РусГидро» - «Северо-Осетинский филиал» - 362049, Республика Северная Осетия — Алания, г. Владикавказ, ул. Васо Абаева, д. 63</w:t>
      </w:r>
      <w:r>
        <w:rPr>
          <w:sz w:val="24"/>
          <w:szCs w:val="24"/>
          <w:lang w:val="en-US"/>
        </w:rPr>
        <w:t>;</w:t>
      </w:r>
    </w:p>
    <w:p>
      <w:pPr>
        <w:pStyle w:val="Normal"/>
        <w:spacing w:lineRule="auto" w:line="300"/>
        <w:ind w:firstLine="709"/>
        <w:jc w:val="both"/>
        <w:rPr>
          <w:sz w:val="24"/>
          <w:szCs w:val="24"/>
          <w:lang w:val="en-US"/>
        </w:rPr>
      </w:pPr>
      <w:r>
        <w:rPr>
          <w:sz w:val="24"/>
          <w:szCs w:val="24"/>
        </w:rPr>
        <w:t xml:space="preserve">- </w:t>
      </w:r>
      <w:bookmarkStart w:id="23" w:name="_Hlk202888911"/>
      <w:r>
        <w:rPr>
          <w:sz w:val="24"/>
          <w:szCs w:val="24"/>
        </w:rPr>
        <w:t>«Башенная ГЭС» Чеченская Республика, м р-н Итум-Калинский, с.п. Гучум-Калинское, село Гучум-Кали, ул. им. М.Х. Гучиева, зд. 72</w:t>
      </w:r>
      <w:bookmarkEnd w:id="23"/>
      <w:r>
        <w:rPr>
          <w:sz w:val="24"/>
          <w:szCs w:val="24"/>
          <w:lang w:val="en-US"/>
        </w:rPr>
        <w:t>.</w:t>
      </w:r>
    </w:p>
    <w:p>
      <w:pPr>
        <w:pStyle w:val="ListParagraph"/>
        <w:rPr>
          <w:b/>
          <w:sz w:val="24"/>
          <w:szCs w:val="24"/>
        </w:rPr>
      </w:pPr>
      <w:r>
        <w:rPr>
          <w:b/>
          <w:sz w:val="24"/>
          <w:szCs w:val="24"/>
        </w:rPr>
      </w:r>
    </w:p>
    <w:p>
      <w:pPr>
        <w:pStyle w:val="ListParagraph"/>
        <w:spacing w:lineRule="auto" w:line="300"/>
        <w:ind w:firstLine="425" w:left="0"/>
        <w:jc w:val="both"/>
        <w:rPr>
          <w:b/>
          <w:bCs/>
        </w:rPr>
      </w:pPr>
      <w:r>
        <w:rPr>
          <w:rFonts w:eastAsia="Calibri"/>
          <w:b/>
          <w:bCs/>
          <w:sz w:val="24"/>
          <w:szCs w:val="24"/>
          <w:lang w:eastAsia="x-none"/>
        </w:rPr>
        <w:t>Условия и срок поставки товара:</w:t>
      </w:r>
    </w:p>
    <w:p>
      <w:pPr>
        <w:pStyle w:val="ListParagraph"/>
        <w:spacing w:lineRule="auto" w:line="300"/>
        <w:ind w:firstLine="425" w:left="0"/>
        <w:jc w:val="both"/>
        <w:rPr>
          <w:rFonts w:eastAsia="Calibri"/>
          <w:sz w:val="24"/>
          <w:szCs w:val="24"/>
          <w:lang w:eastAsia="x-none"/>
        </w:rPr>
      </w:pPr>
      <w:r>
        <w:rPr>
          <w:rFonts w:eastAsia="Calibri"/>
          <w:sz w:val="24"/>
          <w:szCs w:val="24"/>
          <w:lang w:eastAsia="x-none"/>
        </w:rPr>
        <w:t xml:space="preserve"> </w:t>
      </w:r>
      <w:r>
        <w:rPr>
          <w:rFonts w:eastAsia="Calibri"/>
          <w:sz w:val="24"/>
          <w:szCs w:val="24"/>
          <w:lang w:eastAsia="x-none"/>
        </w:rPr>
        <w:t>Поставка товара осуществляется в рабочие дни с 9:00 до 17:00, перерыв на обед с 12:00 до 13:00,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подъем на этаж, осуществляются силами Поставщика.</w:t>
      </w:r>
    </w:p>
    <w:p>
      <w:pPr>
        <w:pStyle w:val="Normal"/>
        <w:ind w:firstLine="284"/>
        <w:jc w:val="both"/>
        <w:rPr>
          <w:rFonts w:eastAsia="Calibri"/>
          <w:sz w:val="24"/>
          <w:szCs w:val="24"/>
          <w:lang w:eastAsia="x-none"/>
        </w:rPr>
      </w:pPr>
      <w:r>
        <w:rPr>
          <w:rFonts w:eastAsia="Calibri"/>
          <w:sz w:val="24"/>
          <w:szCs w:val="24"/>
          <w:lang w:eastAsia="x-none"/>
        </w:rPr>
        <w:t>Поставка осуществляется в соответствии с заявкой Заказчика в течение всего срока действия договора.</w:t>
      </w:r>
    </w:p>
    <w:p>
      <w:pPr>
        <w:pStyle w:val="Normal"/>
        <w:ind w:firstLine="284"/>
        <w:jc w:val="both"/>
        <w:rPr>
          <w:rFonts w:eastAsia="Calibri"/>
          <w:sz w:val="24"/>
          <w:szCs w:val="24"/>
          <w:lang w:eastAsia="x-none"/>
        </w:rPr>
      </w:pPr>
      <w:r>
        <w:rPr>
          <w:rFonts w:eastAsia="Calibri"/>
          <w:sz w:val="24"/>
          <w:szCs w:val="24"/>
          <w:lang w:eastAsia="x-none"/>
        </w:rPr>
        <w:t xml:space="preserve">Срок поставки товара определяется в Заявках, но не может превышать 30 (тридцать) календарных дней с момента предоставленной письменной заявки Заказчика, которая подается на каждый адрес отдельно. В Заявке указываются данные по наименованию количеству необходимого Товара. </w:t>
      </w:r>
    </w:p>
    <w:p>
      <w:pPr>
        <w:pStyle w:val="ListParagraph"/>
        <w:spacing w:lineRule="auto" w:line="300"/>
        <w:ind w:firstLine="425" w:left="0"/>
        <w:jc w:val="both"/>
        <w:rPr>
          <w:rFonts w:eastAsia="Calibri"/>
          <w:sz w:val="24"/>
          <w:szCs w:val="24"/>
          <w:lang w:eastAsia="x-none"/>
        </w:rPr>
      </w:pPr>
      <w:r>
        <w:rPr>
          <w:rFonts w:eastAsia="Calibri"/>
          <w:sz w:val="24"/>
          <w:szCs w:val="24"/>
          <w:lang w:eastAsia="x-none"/>
        </w:rPr>
      </w:r>
    </w:p>
    <w:p>
      <w:pPr>
        <w:pStyle w:val="Normal"/>
        <w:widowControl/>
        <w:spacing w:before="0" w:after="0"/>
        <w:ind w:left="360"/>
        <w:contextualSpacing/>
        <w:jc w:val="both"/>
        <w:rPr>
          <w:sz w:val="24"/>
          <w:szCs w:val="24"/>
        </w:rPr>
      </w:pPr>
      <w:r>
        <w:rPr>
          <w:sz w:val="24"/>
          <w:szCs w:val="24"/>
        </w:rPr>
      </w:r>
    </w:p>
    <w:p>
      <w:pPr>
        <w:pStyle w:val="ListParagraph"/>
        <w:widowControl/>
        <w:numPr>
          <w:ilvl w:val="0"/>
          <w:numId w:val="16"/>
        </w:numPr>
        <w:spacing w:lineRule="auto" w:line="300"/>
        <w:jc w:val="both"/>
        <w:rPr>
          <w:rFonts w:eastAsia="Calibri"/>
          <w:b/>
          <w:sz w:val="24"/>
          <w:szCs w:val="24"/>
        </w:rPr>
      </w:pPr>
      <w:r>
        <w:rPr>
          <w:rFonts w:eastAsia="Calibri"/>
          <w:b/>
          <w:sz w:val="24"/>
          <w:szCs w:val="24"/>
        </w:rPr>
        <w:t xml:space="preserve">Иные требования и сведения общего характера: </w:t>
      </w:r>
    </w:p>
    <w:p>
      <w:pPr>
        <w:pStyle w:val="Normal"/>
        <w:tabs>
          <w:tab w:val="clear" w:pos="708"/>
          <w:tab w:val="left" w:pos="426" w:leader="none"/>
        </w:tabs>
        <w:spacing w:lineRule="auto" w:line="300"/>
        <w:ind w:firstLine="425"/>
        <w:jc w:val="both"/>
        <w:rPr/>
      </w:pPr>
      <w:r>
        <w:rPr>
          <w:iCs/>
          <w:sz w:val="24"/>
        </w:rPr>
        <w:t>Поставщик обязан поставить товар надлежащего качества.</w:t>
      </w:r>
    </w:p>
    <w:p>
      <w:pPr>
        <w:pStyle w:val="Normal"/>
        <w:tabs>
          <w:tab w:val="clear" w:pos="708"/>
          <w:tab w:val="left" w:pos="426" w:leader="none"/>
        </w:tabs>
        <w:spacing w:lineRule="auto" w:line="300"/>
        <w:ind w:firstLine="425"/>
        <w:jc w:val="both"/>
        <w:rPr>
          <w:rFonts w:eastAsia="Calibri"/>
          <w:sz w:val="24"/>
          <w:szCs w:val="24"/>
          <w:lang w:eastAsia="x-none"/>
        </w:rPr>
      </w:pPr>
      <w:r>
        <w:rPr>
          <w:rFonts w:eastAsia="Calibri"/>
          <w:sz w:val="24"/>
          <w:szCs w:val="24"/>
          <w:lang w:eastAsia="x-none"/>
        </w:rPr>
        <w:t>Поставка осуществляется в соответствии с заявкой Заказчика в течение всего срока действия договора.</w:t>
      </w:r>
    </w:p>
    <w:p>
      <w:pPr>
        <w:pStyle w:val="Normal"/>
        <w:tabs>
          <w:tab w:val="clear" w:pos="708"/>
          <w:tab w:val="left" w:pos="426" w:leader="none"/>
        </w:tabs>
        <w:spacing w:lineRule="auto" w:line="300"/>
        <w:ind w:firstLine="425"/>
        <w:jc w:val="both"/>
        <w:rPr>
          <w:rFonts w:eastAsia="Calibri"/>
          <w:sz w:val="24"/>
          <w:szCs w:val="24"/>
          <w:lang w:eastAsia="x-none"/>
        </w:rPr>
      </w:pPr>
      <w:r>
        <w:rPr>
          <w:rFonts w:eastAsia="Calibri"/>
          <w:sz w:val="24"/>
          <w:szCs w:val="24"/>
          <w:lang w:eastAsia="x-none"/>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в соответствии с ГОСТ 26653-2015 (транспортировка) и ГОСТ 15150-69 (хранение).</w:t>
      </w:r>
    </w:p>
    <w:p>
      <w:pPr>
        <w:pStyle w:val="Normal"/>
        <w:tabs>
          <w:tab w:val="clear" w:pos="708"/>
          <w:tab w:val="left" w:pos="426" w:leader="none"/>
        </w:tabs>
        <w:spacing w:lineRule="auto" w:line="300"/>
        <w:ind w:firstLine="425"/>
        <w:jc w:val="both"/>
        <w:rPr>
          <w:rFonts w:eastAsia="Calibri"/>
          <w:sz w:val="24"/>
          <w:szCs w:val="24"/>
          <w:lang w:eastAsia="x-none"/>
        </w:rPr>
      </w:pPr>
      <w:r>
        <w:rPr>
          <w:rFonts w:eastAsia="Calibri"/>
          <w:sz w:val="24"/>
          <w:szCs w:val="24"/>
          <w:lang w:eastAsia="x-none"/>
        </w:rPr>
        <w:t>Упаковка должна обеспечивать полную сохранность продукции на весь срок его транспортировки с учетом перегрузок и длительного хранения.</w:t>
      </w:r>
    </w:p>
    <w:p>
      <w:pPr>
        <w:pStyle w:val="Normal"/>
        <w:tabs>
          <w:tab w:val="clear" w:pos="708"/>
          <w:tab w:val="left" w:pos="426" w:leader="none"/>
        </w:tabs>
        <w:spacing w:lineRule="auto" w:line="300"/>
        <w:ind w:firstLine="425"/>
        <w:jc w:val="both"/>
        <w:rPr/>
      </w:pPr>
      <w:r>
        <w:rPr>
          <w:rFonts w:eastAsia="Calibri"/>
          <w:sz w:val="24"/>
          <w:szCs w:val="24"/>
          <w:lang w:eastAsia="x-none"/>
        </w:rPr>
        <w:t xml:space="preserve">Срок поставки товара определяется в Заявках, но не может превышать 30 (тридцать) календарных дней с момента предоставленной письменной заявки Заказчика, которая подается на каждый адрес отдельно. </w:t>
      </w:r>
    </w:p>
    <w:p>
      <w:pPr>
        <w:pStyle w:val="ListParagraph"/>
        <w:spacing w:lineRule="auto" w:line="300"/>
        <w:ind w:firstLine="425" w:left="0"/>
        <w:jc w:val="both"/>
        <w:rPr>
          <w:rFonts w:eastAsia="Calibri"/>
          <w:b/>
          <w:bCs/>
          <w:color w:val="000000"/>
          <w:sz w:val="24"/>
          <w:szCs w:val="24"/>
          <w:lang w:eastAsia="x-none"/>
        </w:rPr>
      </w:pPr>
      <w:r>
        <w:rPr>
          <w:rFonts w:eastAsia="Calibri"/>
          <w:color w:val="000000"/>
          <w:sz w:val="24"/>
          <w:szCs w:val="24"/>
          <w:lang w:eastAsia="x-none"/>
        </w:rPr>
        <w:t>На территории объектов Заказчика действует контрольно-пропускной режим, в связи с чем Поставщик не менее чем за 1 (один) рабочий день до предполагаемой даты поставки Товара должен сообщить представителю Заказчика номер автотранспортного средства и Ф.И.О. водителя, грузчиков-экспедиторов и других лиц, задействованных в транспортировке и погрузочно-разгрузочных работах, для оформления пропуска в соответствии с порядком пропускного режима объекта Заказчика</w:t>
      </w:r>
      <w:r>
        <w:rPr>
          <w:rFonts w:eastAsia="Calibri"/>
          <w:b/>
          <w:bCs/>
          <w:color w:val="000000"/>
          <w:sz w:val="24"/>
          <w:szCs w:val="24"/>
          <w:lang w:eastAsia="x-none"/>
        </w:rPr>
        <w:t>.</w:t>
      </w:r>
    </w:p>
    <w:p>
      <w:pPr>
        <w:pStyle w:val="ListParagraph"/>
        <w:spacing w:lineRule="auto" w:line="300"/>
        <w:ind w:firstLine="425" w:left="0"/>
        <w:jc w:val="both"/>
        <w:rPr>
          <w:b/>
          <w:i/>
          <w:i/>
          <w:shd w:fill="FFFF99" w:val="clear"/>
        </w:rPr>
      </w:pPr>
      <w:r>
        <w:rPr>
          <w:b/>
          <w:i/>
          <w:shd w:fill="FFFF99" w:val="clear"/>
        </w:rPr>
      </w:r>
    </w:p>
    <w:p>
      <w:pPr>
        <w:pStyle w:val="ListParagraph"/>
        <w:widowControl/>
        <w:numPr>
          <w:ilvl w:val="0"/>
          <w:numId w:val="16"/>
        </w:numPr>
        <w:spacing w:lineRule="auto" w:line="300"/>
        <w:rPr>
          <w:b/>
          <w:bCs/>
          <w:sz w:val="24"/>
          <w:szCs w:val="24"/>
        </w:rPr>
      </w:pPr>
      <w:r>
        <w:rPr>
          <w:b/>
          <w:bCs/>
          <w:sz w:val="24"/>
          <w:szCs w:val="24"/>
        </w:rPr>
        <w:t>Требования к гарантиям, гарантийному и послегарантийному обслуживанию</w:t>
      </w:r>
    </w:p>
    <w:p>
      <w:pPr>
        <w:pStyle w:val="Normal"/>
        <w:spacing w:lineRule="auto" w:line="300"/>
        <w:ind w:firstLine="709"/>
        <w:jc w:val="both"/>
        <w:rPr>
          <w:sz w:val="24"/>
          <w:szCs w:val="24"/>
        </w:rPr>
      </w:pPr>
      <w:r>
        <w:rPr>
          <w:sz w:val="24"/>
          <w:szCs w:val="24"/>
        </w:rPr>
        <w:t>Гарантийный срок на продукцию должен составлять не менее 12 месяцев с даты подписания сторонами Товарной накладной по форме ТОРГ-12/УПД, но не менее гарантийного срока, установленного производителем.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10 (десяти)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p>
      <w:pPr>
        <w:pStyle w:val="Normal"/>
        <w:spacing w:lineRule="auto" w:line="300" w:before="0" w:after="0"/>
        <w:contextualSpacing/>
        <w:jc w:val="both"/>
        <w:rPr>
          <w:sz w:val="24"/>
          <w:szCs w:val="24"/>
        </w:rPr>
      </w:pPr>
      <w:r>
        <w:rPr>
          <w:sz w:val="24"/>
          <w:szCs w:val="24"/>
        </w:rPr>
        <w:t xml:space="preserve">Продукция должна быть новой, не находившейся в эксплуатации. </w:t>
      </w:r>
      <w:r>
        <w:rPr>
          <w:sz w:val="24"/>
        </w:rPr>
        <w:t>Под новой следует понимать продукцию, которая не была в употреблении, не проходила ремонт, в том числе восстановление потребительских свойств.</w:t>
      </w:r>
    </w:p>
    <w:p>
      <w:pPr>
        <w:pStyle w:val="Normal"/>
        <w:spacing w:lineRule="auto" w:line="300" w:before="0" w:after="0"/>
        <w:contextualSpacing/>
        <w:jc w:val="both"/>
        <w:rPr>
          <w:sz w:val="24"/>
          <w:szCs w:val="24"/>
        </w:rPr>
      </w:pPr>
      <w:r>
        <w:rPr>
          <w:sz w:val="24"/>
          <w:szCs w:val="24"/>
        </w:rPr>
      </w:r>
    </w:p>
    <w:p>
      <w:pPr>
        <w:pStyle w:val="ListParagraph"/>
        <w:widowControl/>
        <w:numPr>
          <w:ilvl w:val="0"/>
          <w:numId w:val="16"/>
        </w:numPr>
        <w:spacing w:lineRule="auto" w:line="300"/>
        <w:rPr>
          <w:b/>
          <w:bCs/>
          <w:sz w:val="32"/>
          <w:szCs w:val="24"/>
        </w:rPr>
      </w:pPr>
      <w:r>
        <w:rPr>
          <w:b/>
          <w:sz w:val="24"/>
        </w:rPr>
        <w:t>Требования к комплектации и документам, поставляемым вместе с продукцией</w:t>
      </w:r>
    </w:p>
    <w:p>
      <w:pPr>
        <w:pStyle w:val="Normal"/>
        <w:widowControl/>
        <w:spacing w:lineRule="auto" w:line="300"/>
        <w:ind w:firstLine="709"/>
        <w:jc w:val="both"/>
        <w:rPr/>
      </w:pPr>
      <w:r>
        <w:rPr>
          <w:sz w:val="24"/>
          <w:szCs w:val="24"/>
        </w:rPr>
        <w:t>Одновременно с передачей Товара Поставщик обязан передать Покупателю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pPr>
        <w:pStyle w:val="ListParagraph"/>
        <w:widowControl/>
        <w:spacing w:lineRule="auto" w:line="300"/>
        <w:rPr>
          <w:b/>
          <w:bCs/>
          <w:sz w:val="32"/>
          <w:szCs w:val="24"/>
        </w:rPr>
      </w:pPr>
      <w:r>
        <w:rPr>
          <w:b/>
          <w:bCs/>
          <w:sz w:val="32"/>
          <w:szCs w:val="24"/>
        </w:rPr>
      </w:r>
    </w:p>
    <w:p>
      <w:pPr>
        <w:pStyle w:val="Normal"/>
        <w:numPr>
          <w:ilvl w:val="0"/>
          <w:numId w:val="16"/>
        </w:numPr>
        <w:spacing w:lineRule="auto" w:line="300"/>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p>
      <w:pPr>
        <w:pStyle w:val="Normal"/>
        <w:widowControl/>
        <w:spacing w:lineRule="auto" w:line="300"/>
        <w:ind w:firstLine="709"/>
        <w:jc w:val="both"/>
        <w:rPr>
          <w:b/>
          <w:bCs/>
          <w:sz w:val="24"/>
          <w:szCs w:val="24"/>
        </w:rPr>
      </w:pPr>
      <w:r>
        <w:rPr>
          <w:sz w:val="24"/>
          <w:szCs w:val="24"/>
        </w:rPr>
        <w:t>Поставщик несет ответственность, предусмотренную законодательством РФ, за качество поставляемой продукции и предоставление всей необходимой товарно-транспортной документации. Поставщик должен обеспечить упаковку товара, способную предотвратить его повреждение или порчу во время перевозки. Упаковка и маркировка товара должна соответствовать требованиям ГОСТа, импортный товар – международным стандартам упаковки</w:t>
      </w:r>
    </w:p>
    <w:p>
      <w:pPr>
        <w:pStyle w:val="Normal"/>
        <w:widowControl/>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rPr>
                <w:b/>
                <w:sz w:val="24"/>
                <w:szCs w:val="24"/>
              </w:rPr>
            </w:pPr>
            <w:r>
              <w:rPr>
                <w:b/>
                <w:sz w:val="24"/>
                <w:szCs w:val="24"/>
              </w:rPr>
              <w:t>Покупатель:</w:t>
            </w:r>
          </w:p>
          <w:p>
            <w:pPr>
              <w:pStyle w:val="Normal"/>
              <w:rPr>
                <w:sz w:val="24"/>
                <w:szCs w:val="24"/>
              </w:rPr>
            </w:pPr>
            <w:r>
              <w:rPr>
                <w:sz w:val="24"/>
                <w:szCs w:val="24"/>
              </w:rPr>
              <w:t>АО «СК РусГидро»</w:t>
            </w:r>
          </w:p>
          <w:p>
            <w:pPr>
              <w:pStyle w:val="Normal"/>
              <w:rPr>
                <w:sz w:val="24"/>
                <w:szCs w:val="24"/>
              </w:rPr>
            </w:pPr>
            <w:r>
              <w:rPr>
                <w:sz w:val="24"/>
                <w:szCs w:val="24"/>
              </w:rPr>
              <w:t>Заместитель генерального директора</w:t>
            </w:r>
          </w:p>
          <w:p>
            <w:pPr>
              <w:pStyle w:val="Normal"/>
              <w:rPr>
                <w:sz w:val="24"/>
                <w:szCs w:val="24"/>
              </w:rPr>
            </w:pPr>
            <w:r>
              <w:rPr>
                <w:sz w:val="24"/>
                <w:szCs w:val="24"/>
              </w:rPr>
              <w:t>По управлению ресурсами</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 Н.Н. Клочков</w:t>
            </w:r>
          </w:p>
          <w:p>
            <w:pPr>
              <w:pStyle w:val="Normal"/>
              <w:ind w:firstLine="709"/>
              <w:rPr>
                <w:sz w:val="24"/>
                <w:szCs w:val="24"/>
              </w:rPr>
            </w:pPr>
            <w:r>
              <w:rPr>
                <w:sz w:val="24"/>
                <w:szCs w:val="24"/>
              </w:rPr>
            </w:r>
          </w:p>
        </w:tc>
        <w:tc>
          <w:tcPr>
            <w:tcW w:w="4819" w:type="dxa"/>
            <w:tcBorders/>
            <w:shd w:color="auto" w:fill="auto" w:val="clear"/>
          </w:tcPr>
          <w:p>
            <w:pPr>
              <w:pStyle w:val="Normal"/>
              <w:rPr>
                <w:b/>
                <w:sz w:val="24"/>
                <w:szCs w:val="24"/>
              </w:rPr>
            </w:pPr>
            <w:r>
              <w:rPr>
                <w:b/>
                <w:sz w:val="24"/>
                <w:szCs w:val="24"/>
              </w:rPr>
              <w:t>Поставщик:</w:t>
            </w:r>
          </w:p>
          <w:p>
            <w:pPr>
              <w:pStyle w:val="Normal"/>
              <w:rPr>
                <w:b/>
                <w:sz w:val="24"/>
                <w:szCs w:val="24"/>
              </w:rPr>
            </w:pPr>
            <w:r>
              <w:rPr>
                <w:b/>
                <w:sz w:val="24"/>
                <w:szCs w:val="24"/>
              </w:rPr>
            </w:r>
          </w:p>
          <w:p>
            <w:pPr>
              <w:pStyle w:val="Normal"/>
              <w:rPr>
                <w:b/>
                <w:sz w:val="24"/>
                <w:szCs w:val="24"/>
              </w:rPr>
            </w:pPr>
            <w:r>
              <w:rPr>
                <w:b/>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_____________________/____________</w:t>
            </w:r>
          </w:p>
          <w:p>
            <w:pPr>
              <w:pStyle w:val="Normal"/>
              <w:ind w:firstLine="709"/>
              <w:rPr>
                <w:b/>
                <w:sz w:val="24"/>
                <w:szCs w:val="24"/>
              </w:rPr>
            </w:pPr>
            <w:r>
              <w:rPr>
                <w:b/>
                <w:sz w:val="24"/>
                <w:szCs w:val="24"/>
              </w:rPr>
            </w:r>
          </w:p>
        </w:tc>
      </w:tr>
    </w:tbl>
    <w:p>
      <w:pPr>
        <w:pStyle w:val="Normal"/>
        <w:widowControl/>
        <w:ind w:firstLine="709"/>
        <w:rPr>
          <w:rFonts w:eastAsia="Calibri"/>
          <w:b/>
          <w:sz w:val="24"/>
          <w:szCs w:val="24"/>
          <w:lang w:eastAsia="en-US"/>
        </w:rPr>
      </w:pPr>
      <w:r>
        <w:rPr>
          <w:rFonts w:eastAsia="Calibri"/>
          <w:b/>
          <w:sz w:val="24"/>
          <w:szCs w:val="24"/>
          <w:lang w:eastAsia="en-US"/>
        </w:rPr>
      </w:r>
    </w:p>
    <w:p>
      <w:pPr>
        <w:pStyle w:val="Normal"/>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jc w:val="right"/>
        <w:rPr>
          <w:sz w:val="22"/>
          <w:szCs w:val="22"/>
        </w:rPr>
      </w:pPr>
      <w:r>
        <w:drawing>
          <wp:anchor behindDoc="1" distT="0" distB="0" distL="0" distR="0" simplePos="0" locked="0" layoutInCell="0" allowOverlap="1" relativeHeight="2">
            <wp:simplePos x="0" y="0"/>
            <wp:positionH relativeFrom="margin">
              <wp:posOffset>0</wp:posOffset>
            </wp:positionH>
            <wp:positionV relativeFrom="margin">
              <wp:posOffset>-635</wp:posOffset>
            </wp:positionV>
            <wp:extent cx="2131060" cy="453390"/>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10"/>
                    <a:stretch>
                      <a:fillRect/>
                    </a:stretch>
                  </pic:blipFill>
                  <pic:spPr bwMode="auto">
                    <a:xfrm>
                      <a:off x="0" y="0"/>
                      <a:ext cx="2131060" cy="453390"/>
                    </a:xfrm>
                    <a:prstGeom prst="rect">
                      <a:avLst/>
                    </a:prstGeom>
                  </pic:spPr>
                </pic:pic>
              </a:graphicData>
            </a:graphic>
          </wp:anchor>
        </w:drawing>
      </w:r>
      <w:r>
        <w:rPr>
          <w:sz w:val="22"/>
          <w:szCs w:val="22"/>
        </w:rPr>
        <w:t>Приложение № 2</w:t>
      </w:r>
    </w:p>
    <w:p>
      <w:pPr>
        <w:pStyle w:val="Normal"/>
        <w:jc w:val="right"/>
        <w:rPr>
          <w:sz w:val="22"/>
          <w:szCs w:val="22"/>
        </w:rPr>
      </w:pPr>
      <w:r>
        <w:rPr>
          <w:sz w:val="22"/>
          <w:szCs w:val="22"/>
        </w:rPr>
        <w:t>к Договору поставки</w:t>
      </w:r>
    </w:p>
    <w:p>
      <w:pPr>
        <w:pStyle w:val="Normal"/>
        <w:jc w:val="right"/>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 xml:space="preserve">Заявка </w:t>
      </w:r>
    </w:p>
    <w:p>
      <w:pPr>
        <w:pStyle w:val="Normal"/>
        <w:tabs>
          <w:tab w:val="clear" w:pos="708"/>
          <w:tab w:val="left" w:pos="1843" w:leader="none"/>
        </w:tabs>
        <w:ind w:firstLine="709"/>
        <w:jc w:val="center"/>
        <w:rPr>
          <w:b/>
          <w:sz w:val="24"/>
          <w:szCs w:val="24"/>
        </w:rPr>
      </w:pPr>
      <w:r>
        <w:rPr>
          <w:b/>
          <w:sz w:val="24"/>
          <w:szCs w:val="24"/>
        </w:rPr>
        <w:t>на поставку Товара</w:t>
      </w:r>
    </w:p>
    <w:p>
      <w:pPr>
        <w:pStyle w:val="Normal"/>
        <w:tabs>
          <w:tab w:val="clear" w:pos="708"/>
          <w:tab w:val="left" w:pos="1843" w:leader="none"/>
          <w:tab w:val="left" w:pos="4395" w:leader="none"/>
        </w:tabs>
        <w:ind w:firstLine="709"/>
        <w:jc w:val="center"/>
        <w:rPr>
          <w:i/>
          <w:i/>
          <w:sz w:val="24"/>
          <w:szCs w:val="24"/>
        </w:rPr>
      </w:pPr>
      <w:r>
        <w:rPr>
          <w:i/>
          <w:sz w:val="24"/>
          <w:szCs w:val="24"/>
        </w:rPr>
        <w:t>(форма)</w:t>
      </w:r>
    </w:p>
    <w:p>
      <w:pPr>
        <w:pStyle w:val="Normal"/>
        <w:tabs>
          <w:tab w:val="clear" w:pos="708"/>
          <w:tab w:val="left" w:pos="2700" w:leader="none"/>
        </w:tabs>
        <w:ind w:firstLine="709"/>
        <w:jc w:val="center"/>
        <w:rPr>
          <w:b/>
          <w:sz w:val="24"/>
          <w:szCs w:val="24"/>
        </w:rPr>
      </w:pPr>
      <w:r>
        <w:rPr>
          <w:b/>
          <w:sz w:val="24"/>
          <w:szCs w:val="24"/>
        </w:rPr>
      </w:r>
    </w:p>
    <w:p>
      <w:pPr>
        <w:pStyle w:val="Normal"/>
        <w:tabs>
          <w:tab w:val="clear" w:pos="708"/>
          <w:tab w:val="left" w:pos="2700" w:leader="none"/>
        </w:tabs>
        <w:jc w:val="center"/>
        <w:rPr>
          <w:b/>
          <w:sz w:val="24"/>
          <w:szCs w:val="24"/>
        </w:rPr>
      </w:pPr>
      <w:r>
        <w:rPr>
          <w:b/>
          <w:sz w:val="24"/>
          <w:szCs w:val="24"/>
        </w:rPr>
        <w:t>Заявка №___</w:t>
      </w:r>
    </w:p>
    <w:p>
      <w:pPr>
        <w:pStyle w:val="Normal"/>
        <w:tabs>
          <w:tab w:val="clear" w:pos="708"/>
          <w:tab w:val="left" w:pos="2700" w:leader="none"/>
        </w:tabs>
        <w:jc w:val="center"/>
        <w:rPr>
          <w:b/>
          <w:sz w:val="24"/>
          <w:szCs w:val="24"/>
        </w:rPr>
      </w:pPr>
      <w:r>
        <w:rPr>
          <w:b/>
          <w:sz w:val="24"/>
          <w:szCs w:val="24"/>
        </w:rPr>
        <w:t xml:space="preserve">на поставку Товара </w:t>
      </w:r>
    </w:p>
    <w:p>
      <w:pPr>
        <w:pStyle w:val="Normal"/>
        <w:tabs>
          <w:tab w:val="clear" w:pos="708"/>
          <w:tab w:val="left" w:pos="2700" w:leader="none"/>
        </w:tabs>
        <w:jc w:val="center"/>
        <w:rPr>
          <w:b/>
          <w:sz w:val="24"/>
          <w:szCs w:val="24"/>
        </w:rPr>
      </w:pPr>
      <w:r>
        <w:rPr>
          <w:b/>
          <w:sz w:val="24"/>
          <w:szCs w:val="24"/>
        </w:rPr>
        <w:t xml:space="preserve">по договору поставки №______________ от «____» _____202_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61"/>
        <w:gridCol w:w="1038"/>
        <w:gridCol w:w="1180"/>
        <w:gridCol w:w="747"/>
        <w:gridCol w:w="1131"/>
        <w:gridCol w:w="1243"/>
        <w:gridCol w:w="1040"/>
        <w:gridCol w:w="1490"/>
        <w:gridCol w:w="892"/>
        <w:gridCol w:w="882"/>
      </w:tblGrid>
      <w:tr>
        <w:trPr>
          <w:trHeight w:val="543"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 xml:space="preserve">№ </w:t>
            </w:r>
            <w:r>
              <w:rPr>
                <w:bCs/>
                <w:color w:val="000000"/>
                <w:sz w:val="22"/>
                <w:szCs w:val="22"/>
              </w:rPr>
              <w:t xml:space="preserve">п/п </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Наименование Товара</w:t>
            </w:r>
          </w:p>
        </w:tc>
        <w:tc>
          <w:tcPr>
            <w:tcW w:w="1180" w:type="dxa"/>
            <w:tcBorders>
              <w:top w:val="single" w:sz="4" w:space="0" w:color="000000"/>
              <w:left w:val="single" w:sz="4" w:space="0" w:color="000000"/>
              <w:bottom w:val="single" w:sz="4" w:space="0" w:color="000000"/>
              <w:right w:val="single" w:sz="4" w:space="0" w:color="000000"/>
            </w:tcBorders>
          </w:tcPr>
          <w:p>
            <w:pPr>
              <w:pStyle w:val="Normal"/>
              <w:jc w:val="center"/>
              <w:rPr>
                <w:bCs/>
                <w:color w:val="000000"/>
                <w:sz w:val="22"/>
                <w:szCs w:val="22"/>
              </w:rPr>
            </w:pPr>
            <w:r>
              <w:rPr>
                <w:bCs/>
                <w:color w:val="000000"/>
                <w:sz w:val="22"/>
                <w:szCs w:val="22"/>
              </w:rPr>
              <w:t>Артикул, тип, марка</w:t>
            </w:r>
          </w:p>
        </w:tc>
        <w:tc>
          <w:tcPr>
            <w:tcW w:w="74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pPr>
              <w:pStyle w:val="Normal"/>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pPr>
              <w:pStyle w:val="Normal"/>
              <w:jc w:val="center"/>
              <w:rPr>
                <w:bCs/>
                <w:color w:val="000000"/>
                <w:sz w:val="22"/>
                <w:szCs w:val="22"/>
              </w:rPr>
            </w:pPr>
            <w:r>
              <w:rPr>
                <w:bCs/>
                <w:color w:val="000000"/>
                <w:sz w:val="22"/>
                <w:szCs w:val="22"/>
              </w:rPr>
              <w:t>НДС (___%), руб.</w:t>
            </w:r>
          </w:p>
        </w:tc>
        <w:tc>
          <w:tcPr>
            <w:tcW w:w="1490" w:type="dxa"/>
            <w:tcBorders>
              <w:top w:val="single" w:sz="4" w:space="0" w:color="000000"/>
              <w:left w:val="single" w:sz="4" w:space="0" w:color="000000"/>
              <w:bottom w:val="single" w:sz="4" w:space="0" w:color="000000"/>
              <w:right w:val="single" w:sz="4" w:space="0" w:color="000000"/>
            </w:tcBorders>
          </w:tcPr>
          <w:p>
            <w:pPr>
              <w:pStyle w:val="Normal"/>
              <w:jc w:val="center"/>
              <w:rPr>
                <w:bCs/>
                <w:color w:val="000000"/>
                <w:sz w:val="22"/>
                <w:szCs w:val="22"/>
              </w:rPr>
            </w:pPr>
            <w:r>
              <w:rPr>
                <w:bCs/>
                <w:color w:val="000000"/>
                <w:sz w:val="22"/>
                <w:szCs w:val="22"/>
              </w:rPr>
              <w:t>Стоимость, в том числе НДС, руб.</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Место поставки</w:t>
            </w:r>
          </w:p>
        </w:tc>
        <w:tc>
          <w:tcPr>
            <w:tcW w:w="88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z w:val="22"/>
                <w:szCs w:val="22"/>
              </w:rPr>
            </w:pPr>
            <w:r>
              <w:rPr>
                <w:bCs/>
                <w:color w:val="000000"/>
                <w:sz w:val="22"/>
                <w:szCs w:val="22"/>
              </w:rPr>
              <w:t>Дата поставки</w:t>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118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747"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49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882"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r>
      <w:tr>
        <w:trPr>
          <w:trHeight w:val="556" w:hRule="atLeast"/>
        </w:trPr>
        <w:tc>
          <w:tcPr>
            <w:tcW w:w="561" w:type="dxa"/>
            <w:tcBorders>
              <w:top w:val="single" w:sz="4" w:space="0" w:color="000000"/>
              <w:left w:val="single" w:sz="4" w:space="0" w:color="000000"/>
              <w:bottom w:val="single" w:sz="4" w:space="0" w:color="000000"/>
              <w:right w:val="single" w:sz="4" w:space="0" w:color="000000"/>
            </w:tcBorders>
            <w:vAlign w:val="center"/>
          </w:tcPr>
          <w:p>
            <w:pPr>
              <w:pStyle w:val="Normal"/>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118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747"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131"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1243"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04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1490" w:type="dxa"/>
            <w:tcBorders>
              <w:top w:val="single" w:sz="4" w:space="0" w:color="000000"/>
              <w:left w:val="single" w:sz="4" w:space="0" w:color="000000"/>
              <w:bottom w:val="single" w:sz="4" w:space="0" w:color="000000"/>
              <w:right w:val="single" w:sz="4" w:space="0" w:color="000000"/>
            </w:tcBorders>
          </w:tcPr>
          <w:p>
            <w:pPr>
              <w:pStyle w:val="Normal"/>
              <w:ind w:firstLine="709"/>
              <w:rPr>
                <w:color w:val="000000"/>
                <w:sz w:val="22"/>
                <w:szCs w:val="22"/>
                <w:highlight w:val="yellow"/>
              </w:rPr>
            </w:pPr>
            <w:r>
              <w:rPr>
                <w:color w:val="000000"/>
                <w:sz w:val="22"/>
                <w:szCs w:val="22"/>
                <w:highlight w:val="yellow"/>
              </w:rPr>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c>
          <w:tcPr>
            <w:tcW w:w="882" w:type="dxa"/>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2"/>
                <w:szCs w:val="22"/>
                <w:highlight w:val="yellow"/>
              </w:rPr>
            </w:pPr>
            <w:r>
              <w:rPr>
                <w:color w:val="000000"/>
                <w:sz w:val="22"/>
                <w:szCs w:val="22"/>
                <w:highlight w:val="yellow"/>
              </w:rPr>
            </w:r>
          </w:p>
        </w:tc>
      </w:tr>
      <w:tr>
        <w:trPr>
          <w:trHeight w:val="556" w:hRule="atLeast"/>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pPr>
              <w:pStyle w:val="Normal"/>
              <w:ind w:firstLine="709"/>
              <w:rPr>
                <w:color w:val="000000"/>
                <w:sz w:val="24"/>
                <w:szCs w:val="24"/>
                <w:highlight w:val="yellow"/>
              </w:rPr>
            </w:pPr>
            <w:r>
              <w:rPr>
                <w:color w:val="000000"/>
                <w:sz w:val="24"/>
                <w:szCs w:val="24"/>
              </w:rPr>
              <w:t>Итого:</w:t>
            </w:r>
          </w:p>
        </w:tc>
      </w:tr>
    </w:tbl>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ind w:firstLine="709"/>
        <w:jc w:val="center"/>
        <w:outlineLvl w:val="0"/>
        <w:rPr>
          <w:b/>
          <w:bCs/>
          <w:sz w:val="24"/>
          <w:szCs w:val="24"/>
        </w:rPr>
      </w:pPr>
      <w:r>
        <w:rPr>
          <w:b/>
          <w:bCs/>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rPr>
                <w:b/>
                <w:sz w:val="24"/>
                <w:szCs w:val="24"/>
              </w:rPr>
            </w:pPr>
            <w:r>
              <w:rPr>
                <w:b/>
                <w:sz w:val="24"/>
                <w:szCs w:val="24"/>
              </w:rPr>
              <w:t>Покупатель:</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_____________________/____________</w:t>
            </w:r>
          </w:p>
          <w:p>
            <w:pPr>
              <w:pStyle w:val="Normal"/>
              <w:ind w:firstLine="709"/>
              <w:rPr>
                <w:sz w:val="24"/>
                <w:szCs w:val="24"/>
              </w:rPr>
            </w:pPr>
            <w:r>
              <w:rPr>
                <w:sz w:val="24"/>
                <w:szCs w:val="24"/>
              </w:rPr>
            </w:r>
          </w:p>
        </w:tc>
        <w:tc>
          <w:tcPr>
            <w:tcW w:w="5104" w:type="dxa"/>
            <w:tcBorders/>
            <w:shd w:color="auto" w:fill="auto" w:val="clear"/>
          </w:tcPr>
          <w:p>
            <w:pPr>
              <w:pStyle w:val="Normal"/>
              <w:ind w:hanging="1"/>
              <w:rPr>
                <w:b/>
                <w:sz w:val="24"/>
                <w:szCs w:val="24"/>
              </w:rPr>
            </w:pPr>
            <w:r>
              <w:rPr>
                <w:b/>
                <w:sz w:val="24"/>
                <w:szCs w:val="24"/>
              </w:rPr>
              <w:t>Поставщик:</w:t>
            </w:r>
          </w:p>
          <w:p>
            <w:pPr>
              <w:pStyle w:val="Normal"/>
              <w:ind w:hanging="1"/>
              <w:rPr>
                <w:sz w:val="24"/>
                <w:szCs w:val="24"/>
              </w:rPr>
            </w:pPr>
            <w:r>
              <w:rPr>
                <w:sz w:val="24"/>
                <w:szCs w:val="24"/>
              </w:rPr>
            </w:r>
          </w:p>
          <w:p>
            <w:pPr>
              <w:pStyle w:val="Normal"/>
              <w:ind w:hanging="1"/>
              <w:rPr>
                <w:sz w:val="24"/>
                <w:szCs w:val="24"/>
              </w:rPr>
            </w:pPr>
            <w:r>
              <w:rPr>
                <w:sz w:val="24"/>
                <w:szCs w:val="24"/>
              </w:rPr>
            </w:r>
          </w:p>
          <w:p>
            <w:pPr>
              <w:pStyle w:val="Normal"/>
              <w:ind w:hanging="1"/>
              <w:rPr>
                <w:sz w:val="24"/>
                <w:szCs w:val="24"/>
              </w:rPr>
            </w:pPr>
            <w:r>
              <w:rPr>
                <w:sz w:val="24"/>
                <w:szCs w:val="24"/>
              </w:rPr>
              <w:t>_____________________/____________</w:t>
            </w:r>
          </w:p>
          <w:p>
            <w:pPr>
              <w:pStyle w:val="Normal"/>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rPr>
                <w:b/>
                <w:sz w:val="24"/>
                <w:szCs w:val="24"/>
              </w:rPr>
            </w:pPr>
            <w:r>
              <w:rPr>
                <w:b/>
                <w:sz w:val="24"/>
                <w:szCs w:val="24"/>
              </w:rPr>
              <w:t>Покупатель:</w:t>
            </w:r>
          </w:p>
          <w:p>
            <w:pPr>
              <w:pStyle w:val="Normal"/>
              <w:rPr>
                <w:sz w:val="24"/>
                <w:szCs w:val="24"/>
              </w:rPr>
            </w:pPr>
            <w:r>
              <w:rPr>
                <w:sz w:val="24"/>
                <w:szCs w:val="24"/>
              </w:rPr>
              <w:t>АО «СК РусГидро»</w:t>
            </w:r>
          </w:p>
          <w:p>
            <w:pPr>
              <w:pStyle w:val="Normal"/>
              <w:rPr>
                <w:sz w:val="24"/>
                <w:szCs w:val="24"/>
              </w:rPr>
            </w:pPr>
            <w:r>
              <w:rPr>
                <w:sz w:val="24"/>
                <w:szCs w:val="24"/>
              </w:rPr>
              <w:t>Заместитель генерального директора</w:t>
            </w:r>
          </w:p>
          <w:p>
            <w:pPr>
              <w:pStyle w:val="Normal"/>
              <w:rPr>
                <w:sz w:val="24"/>
                <w:szCs w:val="24"/>
              </w:rPr>
            </w:pPr>
            <w:r>
              <w:rPr>
                <w:sz w:val="24"/>
                <w:szCs w:val="24"/>
              </w:rPr>
              <w:t>По управлению ресурсами</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 Н.Н. Клочков</w:t>
            </w:r>
          </w:p>
          <w:p>
            <w:pPr>
              <w:pStyle w:val="Normal"/>
              <w:ind w:firstLine="709"/>
              <w:rPr>
                <w:sz w:val="24"/>
                <w:szCs w:val="24"/>
              </w:rPr>
            </w:pPr>
            <w:r>
              <w:rPr>
                <w:sz w:val="24"/>
                <w:szCs w:val="24"/>
              </w:rPr>
            </w:r>
          </w:p>
        </w:tc>
        <w:tc>
          <w:tcPr>
            <w:tcW w:w="5104" w:type="dxa"/>
            <w:tcBorders/>
            <w:shd w:color="auto" w:fill="auto" w:val="clear"/>
          </w:tcPr>
          <w:p>
            <w:pPr>
              <w:pStyle w:val="Normal"/>
              <w:ind w:hanging="1"/>
              <w:rPr>
                <w:b/>
                <w:sz w:val="24"/>
                <w:szCs w:val="24"/>
              </w:rPr>
            </w:pPr>
            <w:r>
              <w:rPr>
                <w:b/>
                <w:sz w:val="24"/>
                <w:szCs w:val="24"/>
              </w:rPr>
              <w:t>Поставщик:</w:t>
            </w:r>
          </w:p>
          <w:p>
            <w:pPr>
              <w:pStyle w:val="Normal"/>
              <w:ind w:hanging="1"/>
              <w:rPr>
                <w:sz w:val="24"/>
                <w:szCs w:val="24"/>
              </w:rPr>
            </w:pPr>
            <w:r>
              <w:rPr>
                <w:sz w:val="24"/>
                <w:szCs w:val="24"/>
              </w:rPr>
            </w:r>
          </w:p>
          <w:p>
            <w:pPr>
              <w:pStyle w:val="Normal"/>
              <w:ind w:hanging="1"/>
              <w:rPr>
                <w:sz w:val="24"/>
                <w:szCs w:val="24"/>
              </w:rPr>
            </w:pPr>
            <w:r>
              <w:rPr>
                <w:sz w:val="24"/>
                <w:szCs w:val="24"/>
              </w:rPr>
            </w:r>
          </w:p>
          <w:p>
            <w:pPr>
              <w:pStyle w:val="Normal"/>
              <w:ind w:hanging="1"/>
              <w:rPr>
                <w:sz w:val="24"/>
                <w:szCs w:val="24"/>
              </w:rPr>
            </w:pPr>
            <w:r>
              <w:rPr>
                <w:sz w:val="24"/>
                <w:szCs w:val="24"/>
              </w:rPr>
            </w:r>
          </w:p>
          <w:p>
            <w:pPr>
              <w:pStyle w:val="Normal"/>
              <w:ind w:hanging="1"/>
              <w:rPr>
                <w:sz w:val="24"/>
                <w:szCs w:val="24"/>
              </w:rPr>
            </w:pPr>
            <w:r>
              <w:rPr>
                <w:sz w:val="24"/>
                <w:szCs w:val="24"/>
              </w:rPr>
            </w:r>
          </w:p>
          <w:p>
            <w:pPr>
              <w:pStyle w:val="Normal"/>
              <w:ind w:hanging="1"/>
              <w:rPr>
                <w:sz w:val="24"/>
                <w:szCs w:val="24"/>
              </w:rPr>
            </w:pPr>
            <w:r>
              <w:rPr>
                <w:sz w:val="24"/>
                <w:szCs w:val="24"/>
              </w:rPr>
            </w:r>
          </w:p>
          <w:p>
            <w:pPr>
              <w:pStyle w:val="Normal"/>
              <w:ind w:hanging="1"/>
              <w:rPr>
                <w:sz w:val="24"/>
                <w:szCs w:val="24"/>
              </w:rPr>
            </w:pPr>
            <w:r>
              <w:rPr>
                <w:sz w:val="24"/>
                <w:szCs w:val="24"/>
              </w:rPr>
              <w:t>_____________________/____________</w:t>
            </w:r>
          </w:p>
          <w:p>
            <w:pPr>
              <w:pStyle w:val="Normal"/>
              <w:ind w:firstLine="709"/>
              <w:rPr>
                <w:b/>
                <w:sz w:val="24"/>
                <w:szCs w:val="24"/>
              </w:rPr>
            </w:pPr>
            <w:r>
              <w:rPr>
                <w:b/>
                <w:sz w:val="24"/>
                <w:szCs w:val="24"/>
              </w:rPr>
            </w:r>
          </w:p>
        </w:tc>
      </w:tr>
    </w:tbl>
    <w:p>
      <w:pPr>
        <w:pStyle w:val="Normal"/>
        <w:widowControl/>
        <w:rPr>
          <w:sz w:val="24"/>
          <w:szCs w:val="24"/>
        </w:rPr>
      </w:pPr>
      <w:r>
        <w:rPr>
          <w:sz w:val="24"/>
          <w:szCs w:val="24"/>
        </w:rPr>
      </w:r>
    </w:p>
    <w:p>
      <w:pPr>
        <w:pStyle w:val="Normal"/>
        <w:widowControl/>
        <w:rPr>
          <w:sz w:val="24"/>
          <w:szCs w:val="24"/>
        </w:rPr>
      </w:pPr>
      <w:r>
        <w:rPr>
          <w:sz w:val="24"/>
          <w:szCs w:val="24"/>
        </w:rPr>
      </w:r>
      <w:r>
        <w:br w:type="page"/>
      </w:r>
    </w:p>
    <w:p>
      <w:pPr>
        <w:pStyle w:val="Normal"/>
        <w:jc w:val="right"/>
        <w:rPr>
          <w:sz w:val="22"/>
          <w:szCs w:val="22"/>
        </w:rPr>
      </w:pPr>
      <w:r>
        <w:rPr>
          <w:sz w:val="22"/>
          <w:szCs w:val="22"/>
        </w:rPr>
        <w:t>Приложение № 3</w:t>
      </w:r>
    </w:p>
    <w:p>
      <w:pPr>
        <w:pStyle w:val="Normal"/>
        <w:jc w:val="right"/>
        <w:rPr>
          <w:sz w:val="22"/>
          <w:szCs w:val="22"/>
        </w:rPr>
      </w:pPr>
      <w:r>
        <w:rPr>
          <w:sz w:val="22"/>
          <w:szCs w:val="22"/>
        </w:rPr>
        <w:t>к Договору поставки</w:t>
      </w:r>
    </w:p>
    <w:p>
      <w:pPr>
        <w:pStyle w:val="Normal"/>
        <w:jc w:val="right"/>
        <w:rPr>
          <w:bCs/>
          <w:sz w:val="22"/>
          <w:szCs w:val="22"/>
        </w:rPr>
      </w:pPr>
      <w:r>
        <w:rPr>
          <w:sz w:val="22"/>
          <w:szCs w:val="22"/>
        </w:rPr>
        <w:t>от «____» __________ 20 _ г. № _____</w:t>
      </w:r>
    </w:p>
    <w:p>
      <w:pPr>
        <w:pStyle w:val="Normal"/>
        <w:widowControl/>
        <w:shd w:val="clear" w:color="auto" w:fill="FFFFFF"/>
        <w:tabs>
          <w:tab w:val="clear" w:pos="708"/>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055"/>
        <w:gridCol w:w="6149"/>
      </w:tblGrid>
      <w:tr>
        <w:trPr/>
        <w:tc>
          <w:tcPr>
            <w:tcW w:w="4055" w:type="dxa"/>
            <w:tcBorders>
              <w:top w:val="single" w:sz="4" w:space="0" w:color="000000"/>
              <w:left w:val="single" w:sz="4" w:space="0" w:color="000000"/>
              <w:bottom w:val="single" w:sz="4" w:space="0" w:color="000000"/>
              <w:right w:val="single" w:sz="4" w:space="0" w:color="000000"/>
            </w:tcBorders>
          </w:tcPr>
          <w:p>
            <w:pPr>
              <w:pStyle w:val="Normal"/>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pPr>
              <w:pStyle w:val="Normal"/>
              <w:rPr>
                <w:b/>
                <w:sz w:val="24"/>
                <w:szCs w:val="24"/>
              </w:rPr>
            </w:pPr>
            <w:r>
              <w:rPr>
                <w:b/>
                <w:sz w:val="24"/>
                <w:szCs w:val="24"/>
              </w:rPr>
              <w:t>Штрафные санкции</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1.1. Нарушение ППБ без возникновения пожара</w:t>
            </w:r>
          </w:p>
          <w:p>
            <w:pPr>
              <w:pStyle w:val="Normal"/>
              <w:rPr>
                <w:b/>
                <w:sz w:val="24"/>
                <w:szCs w:val="24"/>
              </w:rPr>
            </w:pPr>
            <w:r>
              <w:rPr>
                <w:b/>
                <w:sz w:val="24"/>
                <w:szCs w:val="24"/>
              </w:rPr>
            </w:r>
          </w:p>
        </w:tc>
        <w:tc>
          <w:tcPr>
            <w:tcW w:w="6149"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25 000 (двадцать пять тысяч) рублей за каждый случай нарушения.</w:t>
            </w:r>
          </w:p>
          <w:p>
            <w:pPr>
              <w:pStyle w:val="Normal"/>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50 000 (пятьдесят тысяч) рублей за каждый случай нарушения.</w:t>
            </w:r>
          </w:p>
          <w:p>
            <w:pPr>
              <w:pStyle w:val="Normal"/>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4055" w:type="dxa"/>
            <w:tcBorders>
              <w:top w:val="single" w:sz="4" w:space="0" w:color="000000"/>
              <w:left w:val="single" w:sz="4" w:space="0" w:color="000000"/>
              <w:bottom w:val="single" w:sz="4" w:space="0" w:color="000000"/>
              <w:right w:val="single" w:sz="4" w:space="0" w:color="000000"/>
            </w:tcBorders>
          </w:tcPr>
          <w:p>
            <w:pPr>
              <w:pStyle w:val="Normal"/>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- 50 000 (пятьдесят тысяч) рублей за каждый случай нарушения;</w:t>
            </w:r>
          </w:p>
          <w:p>
            <w:pPr>
              <w:pStyle w:val="Normal"/>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ind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rPr>
                <w:b/>
                <w:sz w:val="24"/>
                <w:szCs w:val="24"/>
              </w:rPr>
            </w:pPr>
            <w:r>
              <w:rPr>
                <w:b/>
                <w:sz w:val="24"/>
                <w:szCs w:val="24"/>
              </w:rPr>
              <w:t>Покупатель:</w:t>
            </w:r>
          </w:p>
          <w:p>
            <w:pPr>
              <w:pStyle w:val="Normal"/>
              <w:rPr>
                <w:sz w:val="24"/>
                <w:szCs w:val="24"/>
              </w:rPr>
            </w:pPr>
            <w:r>
              <w:rPr>
                <w:sz w:val="24"/>
                <w:szCs w:val="24"/>
              </w:rPr>
              <w:t>АО «СК РусГидро»</w:t>
            </w:r>
          </w:p>
          <w:p>
            <w:pPr>
              <w:pStyle w:val="Normal"/>
              <w:rPr>
                <w:sz w:val="24"/>
                <w:szCs w:val="24"/>
              </w:rPr>
            </w:pPr>
            <w:r>
              <w:rPr>
                <w:sz w:val="24"/>
                <w:szCs w:val="24"/>
              </w:rPr>
              <w:t>Заместитель генерального директора</w:t>
            </w:r>
          </w:p>
          <w:p>
            <w:pPr>
              <w:pStyle w:val="Normal"/>
              <w:rPr>
                <w:sz w:val="24"/>
                <w:szCs w:val="24"/>
              </w:rPr>
            </w:pPr>
            <w:r>
              <w:rPr>
                <w:sz w:val="24"/>
                <w:szCs w:val="24"/>
              </w:rPr>
              <w:t>По управлению ресурсами</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 Н.Н. Клочков</w:t>
            </w:r>
          </w:p>
          <w:p>
            <w:pPr>
              <w:pStyle w:val="Normal"/>
              <w:ind w:firstLine="709"/>
              <w:rPr>
                <w:sz w:val="24"/>
                <w:szCs w:val="24"/>
              </w:rPr>
            </w:pPr>
            <w:r>
              <w:rPr>
                <w:sz w:val="24"/>
                <w:szCs w:val="24"/>
              </w:rPr>
            </w:r>
          </w:p>
        </w:tc>
        <w:tc>
          <w:tcPr>
            <w:tcW w:w="4831" w:type="dxa"/>
            <w:tcBorders/>
            <w:shd w:color="auto" w:fill="auto" w:val="clear"/>
          </w:tcPr>
          <w:p>
            <w:pPr>
              <w:pStyle w:val="Normal"/>
              <w:rPr>
                <w:b/>
                <w:sz w:val="24"/>
                <w:szCs w:val="24"/>
              </w:rPr>
            </w:pPr>
            <w:r>
              <w:rPr>
                <w:b/>
                <w:sz w:val="24"/>
                <w:szCs w:val="24"/>
              </w:rPr>
              <w:t>Поставщик:</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_____________________/___________</w:t>
            </w:r>
          </w:p>
          <w:p>
            <w:pPr>
              <w:pStyle w:val="Normal"/>
              <w:ind w:firstLine="709"/>
              <w:rPr>
                <w:b/>
                <w:sz w:val="24"/>
                <w:szCs w:val="24"/>
              </w:rPr>
            </w:pPr>
            <w:r>
              <w:rPr>
                <w:b/>
                <w:sz w:val="24"/>
                <w:szCs w:val="24"/>
              </w:rPr>
            </w:r>
          </w:p>
        </w:tc>
      </w:tr>
    </w:tbl>
    <w:p>
      <w:pPr>
        <w:pStyle w:val="Normal"/>
        <w:widowControl/>
        <w:rPr>
          <w:sz w:val="24"/>
          <w:szCs w:val="24"/>
        </w:rPr>
      </w:pPr>
      <w:r>
        <w:rPr>
          <w:sz w:val="24"/>
          <w:szCs w:val="24"/>
        </w:rPr>
      </w:r>
    </w:p>
    <w:sectPr>
      <w:headerReference w:type="default" r:id="rId11"/>
      <w:footerReference w:type="default" r:id="rId12"/>
      <w:type w:val="nextPage"/>
      <w:pgSz w:w="11906" w:h="16838"/>
      <w:pgMar w:left="1134" w:right="567" w:gutter="0" w:header="567" w:top="1134" w:footer="709" w:bottom="1134"/>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PT Sans">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4462283"/>
    </w:sdtPr>
    <w:sdtContent>
      <w:p>
        <w:pPr>
          <w:pStyle w:val="Footer"/>
          <w:jc w:val="center"/>
          <w:rPr/>
        </w:pPr>
        <w:r>
          <w:rPr/>
          <w:fldChar w:fldCharType="begin"/>
        </w:r>
        <w:r>
          <w:rPr/>
          <w:instrText xml:space="preserve"> PAGE </w:instrText>
        </w:r>
        <w:r>
          <w:rPr/>
          <w:fldChar w:fldCharType="separate"/>
        </w:r>
        <w:r>
          <w:rPr/>
          <w:t>23</w:t>
        </w:r>
        <w:r>
          <w:rPr/>
          <w:fldChar w:fldCharType="end"/>
        </w:r>
      </w:p>
    </w:sdtContent>
  </w:sdt>
  <w:p>
    <w:pPr>
      <w:pStyle w:val="Footer"/>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rPr>
    </w:pPr>
    <w:r>
      <w:rPr>
        <w:color w:val="A6A6A6" w:themeColor="background1" w:themeShade="a6"/>
      </w:rPr>
      <w:t>Договор № ___ от __.__.202_</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16">
    <w:lvl w:ilvl="0">
      <w:start w:val="1"/>
      <w:numFmt w:val="decimal"/>
      <w:lvlText w:val="%1."/>
      <w:lvlJc w:val="left"/>
      <w:pPr>
        <w:tabs>
          <w:tab w:val="num" w:pos="0"/>
        </w:tabs>
        <w:ind w:left="720" w:hanging="360"/>
      </w:pPr>
      <w:rPr>
        <w:sz w:val="24"/>
        <w:i w:val="false"/>
        <w:szCs w:val="24"/>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1" w:customStyle="1">
    <w:name w:val="Неразрешенное упоминание1"/>
    <w:basedOn w:val="DefaultParagraphFont"/>
    <w:uiPriority w:val="99"/>
    <w:semiHidden/>
    <w:unhideWhenUsed/>
    <w:qFormat/>
    <w:rsid w:val="00231bfe"/>
    <w:rPr>
      <w:color w:val="605E5C"/>
      <w:shd w:fill="E1DFDD" w:val="clear"/>
    </w:rPr>
  </w:style>
  <w:style w:type="character" w:styleId="Style19" w:customStyle="1">
    <w:name w:val="Символ нумерации"/>
    <w:qFormat/>
    <w:rPr/>
  </w:style>
  <w:style w:type="paragraph" w:styleId="Style20">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2"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customStyle="1">
    <w:name w:val="Раздел положения"/>
    <w:basedOn w:val="Normal"/>
    <w:autoRedefine/>
    <w:qFormat/>
    <w:rsid w:val="00d507c7"/>
    <w:pPr>
      <w:widowControl/>
      <w:numPr>
        <w:ilvl w:val="0"/>
        <w:numId w:val="15"/>
      </w:numPr>
      <w:spacing w:before="80" w:after="80"/>
      <w:jc w:val="center"/>
    </w:pPr>
    <w:rPr>
      <w:b/>
      <w:sz w:val="32"/>
      <w:szCs w:val="32"/>
    </w:rPr>
  </w:style>
  <w:style w:type="paragraph" w:styleId="Style29" w:customStyle="1">
    <w:name w:val="Подраздел раздела положения"/>
    <w:basedOn w:val="Normal"/>
    <w:autoRedefine/>
    <w:qFormat/>
    <w:rsid w:val="00d507c7"/>
    <w:pPr>
      <w:widowControl/>
      <w:numPr>
        <w:ilvl w:val="1"/>
        <w:numId w:val="15"/>
      </w:numPr>
      <w:spacing w:before="80" w:after="80"/>
      <w:jc w:val="both"/>
    </w:pPr>
    <w:rPr>
      <w:sz w:val="28"/>
      <w:szCs w:val="28"/>
    </w:rPr>
  </w:style>
  <w:style w:type="paragraph" w:styleId="Style30" w:customStyle="1">
    <w:name w:val="Содержимое таблицы"/>
    <w:basedOn w:val="Normal"/>
    <w:qFormat/>
    <w:pPr>
      <w:suppressLineNumbers/>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d">
    <w:name w:val="Table Grid"/>
    <w:basedOn w:val="a3"/>
    <w:uiPriority w:val="39"/>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ubinVYu@rushydro.ru" TargetMode="External"/><Relationship Id="rId3" Type="http://schemas.openxmlformats.org/officeDocument/2006/relationships/hyperlink" Target="mailto:AntonovPE@rushydro.ru" TargetMode="External"/><Relationship Id="rId4" Type="http://schemas.openxmlformats.org/officeDocument/2006/relationships/hyperlink" Target="mailto:BaevaVV@rushydro.ru" TargetMode="External"/><Relationship Id="rId5" Type="http://schemas.openxmlformats.org/officeDocument/2006/relationships/hyperlink" Target="mailto:BagryantsevEE@rushydro.ru" TargetMode="External"/><Relationship Id="rId6" Type="http://schemas.openxmlformats.org/officeDocument/2006/relationships/hyperlink" Target="mailto:ld@rushydro.ru" TargetMode="External"/><Relationship Id="rId7" Type="http://schemas.openxmlformats.org/officeDocument/2006/relationships/hyperlink" Target="consultantplus://offline/ref=94D5CE8889791A29DE57299515463A9D6134D8237B999C803E6F853513x2A2P" TargetMode="External"/><Relationship Id="rId8" Type="http://schemas.openxmlformats.org/officeDocument/2006/relationships/hyperlink" Target="consultantplus://offline/ref=94D5CE8889791A29DE57299515463A9D6135D2287D929C803E6F853513x2A2P" TargetMode="External"/><Relationship Id="rId9" Type="http://schemas.openxmlformats.org/officeDocument/2006/relationships/hyperlink" Target="consultantplus://offline/ref=79440D5123ABA6A25F43346AB59DBAAC7032C8E1556DA64FAED62E167F76889C2B7C475C32EFC59BJ8rDH" TargetMode="External"/><Relationship Id="rId10" Type="http://schemas.openxmlformats.org/officeDocument/2006/relationships/image" Target="media/image1.pn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4.xml><?xml version="1.0" encoding="utf-8"?>
<ds:datastoreItem xmlns:ds="http://schemas.openxmlformats.org/officeDocument/2006/customXml" ds:itemID="{7245F010-B91C-4CB9-B37A-3E8BDFBAA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Application>AlterOffice/2026.2.0.0$Linux_X86_64 LibreOffice_project/bc4ef1adf80b36c7a6365f8ed6cbf29021361edd</Application>
  <AppVersion>15.0000</AppVersion>
  <Pages>23</Pages>
  <Words>8030</Words>
  <Characters>56278</Characters>
  <CharactersWithSpaces>63946</CharactersWithSpaces>
  <Paragraphs>462</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2024-10-31T23:53:00Z</dcterms:created>
  <dc:creator>tsypilev_ag</dc:creator>
  <dc:description/>
  <dc:language>ru-RU</dc:language>
  <cp:lastModifiedBy>bagryantsevee@corp.gidroogk.com</cp:lastModifiedBy>
  <cp:lastPrinted>2018-05-22T09:46:00Z</cp:lastPrinted>
  <dcterms:modified xsi:type="dcterms:W3CDTF">2026-09-09T10:54:45Z</dcterms:modified>
  <cp:revision>30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